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80" w:right="1620" w:hanging="3859"/>
        <w:spacing w:after="0" w:line="378"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160" w:right="1600" w:hanging="4139"/>
        <w:spacing w:after="0" w:line="383" w:lineRule="auto"/>
        <w:tabs>
          <w:tab w:leader="none" w:pos="47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__to 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320040</wp:posOffset>
            </wp:positionV>
            <wp:extent cx="1997075"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1520" w:type="dxa"/>
            <w:vAlign w:val="bottom"/>
          </w:tcPr>
          <w:p>
            <w:pPr>
              <w:spacing w:after="0"/>
              <w:rPr>
                <w:sz w:val="20"/>
                <w:szCs w:val="20"/>
                <w:color w:val="auto"/>
              </w:rPr>
            </w:pPr>
          </w:p>
        </w:tc>
        <w:tc>
          <w:tcPr>
            <w:tcW w:w="450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98-1488978</w:t>
            </w:r>
          </w:p>
        </w:tc>
      </w:tr>
      <w:tr>
        <w:trPr>
          <w:trHeight w:val="221"/>
        </w:trPr>
        <w:tc>
          <w:tcPr>
            <w:tcW w:w="5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52"/>
        </w:trPr>
        <w:tc>
          <w:tcPr>
            <w:tcW w:w="5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64"/>
        </w:trPr>
        <w:tc>
          <w:tcPr>
            <w:tcW w:w="5220" w:type="dxa"/>
            <w:vAlign w:val="bottom"/>
            <w:gridSpan w:val="4"/>
          </w:tcPr>
          <w:p>
            <w:pPr>
              <w:ind w:left="1880"/>
              <w:spacing w:after="0"/>
              <w:rPr>
                <w:sz w:val="20"/>
                <w:szCs w:val="20"/>
                <w:color w:val="auto"/>
              </w:rPr>
            </w:pPr>
            <w:r>
              <w:rPr>
                <w:rFonts w:ascii="Times New Roman" w:cs="Times New Roman" w:eastAsia="Times New Roman" w:hAnsi="Times New Roman"/>
                <w:sz w:val="18"/>
                <w:szCs w:val="18"/>
                <w:b w:val="1"/>
                <w:bCs w:val="1"/>
                <w:color w:val="auto"/>
              </w:rPr>
              <w:t>680 Fifth Ave., 24th Floor</w:t>
            </w:r>
          </w:p>
        </w:tc>
        <w:tc>
          <w:tcPr>
            <w:tcW w:w="1520" w:type="dxa"/>
            <w:vAlign w:val="bottom"/>
          </w:tcPr>
          <w:p>
            <w:pPr>
              <w:spacing w:after="0"/>
              <w:rPr>
                <w:sz w:val="24"/>
                <w:szCs w:val="24"/>
                <w:color w:val="auto"/>
              </w:rPr>
            </w:pPr>
          </w:p>
        </w:tc>
        <w:tc>
          <w:tcPr>
            <w:tcW w:w="45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8"/>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7"/>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97"/>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634-7100</w:t>
            </w:r>
          </w:p>
        </w:tc>
      </w:tr>
      <w:tr>
        <w:trPr>
          <w:trHeight w:val="135"/>
        </w:trPr>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spacing w:after="0"/>
              <w:rPr>
                <w:sz w:val="11"/>
                <w:szCs w:val="11"/>
                <w:color w:val="auto"/>
              </w:rPr>
            </w:pPr>
          </w:p>
        </w:tc>
      </w:tr>
      <w:tr>
        <w:trPr>
          <w:trHeight w:val="318"/>
        </w:trPr>
        <w:tc>
          <w:tcPr>
            <w:tcW w:w="52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23"/>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45"/>
        </w:trPr>
        <w:tc>
          <w:tcPr>
            <w:tcW w:w="4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gridSpan w:val="2"/>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bl>
    <w:p>
      <w:pPr>
        <w:spacing w:after="0" w:line="144" w:lineRule="exact"/>
        <w:rPr>
          <w:sz w:val="24"/>
          <w:szCs w:val="24"/>
          <w:color w:val="auto"/>
        </w:rPr>
      </w:pPr>
    </w:p>
    <w:p>
      <w:pPr>
        <w:jc w:val="both"/>
        <w:ind w:right="60" w:firstLine="5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60" w:firstLine="5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60" w:firstLine="599"/>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35" w:lineRule="exact"/>
        <w:rPr>
          <w:sz w:val="24"/>
          <w:szCs w:val="24"/>
          <w:color w:val="auto"/>
        </w:rPr>
      </w:pPr>
    </w:p>
    <w:p>
      <w:pPr>
        <w:jc w:val="both"/>
        <w:ind w:right="220" w:firstLine="59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1" w:lineRule="exact"/>
        <w:rPr>
          <w:sz w:val="24"/>
          <w:szCs w:val="24"/>
          <w:color w:val="auto"/>
        </w:rPr>
      </w:pPr>
    </w:p>
    <w:p>
      <w:pPr>
        <w:ind w:right="140" w:firstLine="59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August 5, 2024, there were 462,020,116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104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1"/>
                <w:szCs w:val="21"/>
                <w:color w:val="auto"/>
              </w:rPr>
            </w:pPr>
          </w:p>
        </w:tc>
      </w:tr>
      <w:tr>
        <w:trPr>
          <w:trHeight w:val="24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20" w:type="dxa"/>
            <w:vAlign w:val="bottom"/>
            <w:tcBorders>
              <w:bottom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w w:val="99"/>
              </w:rPr>
              <w:t>Condensed Consolidated Interim Balance Sheets</w:t>
            </w:r>
          </w:p>
        </w:tc>
        <w:tc>
          <w:tcPr>
            <w:tcW w:w="20" w:type="dxa"/>
            <w:vAlign w:val="bottom"/>
            <w:tcBorders>
              <w:bottom w:val="single" w:sz="8" w:color="0000EE"/>
            </w:tcBorders>
          </w:tcPr>
          <w:p>
            <w:pPr>
              <w:spacing w:after="0"/>
              <w:rPr>
                <w:sz w:val="17"/>
                <w:szCs w:val="17"/>
                <w:color w:val="auto"/>
              </w:rPr>
            </w:pPr>
          </w:p>
        </w:tc>
        <w:tc>
          <w:tcPr>
            <w:tcW w:w="5760" w:type="dxa"/>
            <w:vAlign w:val="bottom"/>
            <w:gridSpan w:val="9"/>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Changes in Equity</w:t>
            </w:r>
          </w:p>
        </w:tc>
        <w:tc>
          <w:tcPr>
            <w:tcW w:w="32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460" w:type="dxa"/>
            <w:vAlign w:val="bottom"/>
            <w:tcBorders>
              <w:top w:val="single" w:sz="8" w:color="0000FF"/>
            </w:tcBorders>
            <w:gridSpan w:val="4"/>
          </w:tcPr>
          <w:p>
            <w:pPr>
              <w:spacing w:after="0"/>
              <w:rPr>
                <w:sz w:val="18"/>
                <w:szCs w:val="18"/>
                <w:color w:val="auto"/>
              </w:rPr>
            </w:pPr>
          </w:p>
        </w:tc>
        <w:tc>
          <w:tcPr>
            <w:tcW w:w="45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Interim Financial Statements</w:t>
            </w:r>
          </w:p>
        </w:tc>
        <w:tc>
          <w:tcPr>
            <w:tcW w:w="47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0" w:type="dxa"/>
            <w:vAlign w:val="bottom"/>
            <w:tcBorders>
              <w:bottom w:val="single" w:sz="8" w:color="0000EE"/>
            </w:tcBorders>
          </w:tcPr>
          <w:p>
            <w:pPr>
              <w:spacing w:after="0"/>
              <w:rPr>
                <w:sz w:val="18"/>
                <w:szCs w:val="18"/>
                <w:color w:val="auto"/>
              </w:rPr>
            </w:pPr>
          </w:p>
        </w:tc>
        <w:tc>
          <w:tcPr>
            <w:tcW w:w="74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6"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termination of the Cresco Labs Inc. transaction on the Company’s current and future operations, financial condition and prospects;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Company's corporate restructuring plan;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marijuana remains illegal under federal law;</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anti-money laundering laws and regulations to the Company;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regulatory, or political change to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public and private capital;</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or consumer perception of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to the adult-use markets;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regulations, and guidelines;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Section 280E of the Internal Revenue Code;</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state laws pertaining to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reliance on key inputs, suppliers and skilled labor;</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forecasting the Company’s sales;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marketing products;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cyber-attacks and security breaches;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loss and other tax attribute limitations;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tax laws;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the market price of the Common Shares;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management;</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results and financial projections; and</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global financial conditions.</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2023.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Cash</w:t>
            </w:r>
          </w:p>
        </w:tc>
        <w:tc>
          <w:tcPr>
            <w:tcW w:w="2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22,332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35,764</w:t>
            </w:r>
          </w:p>
        </w:tc>
      </w:tr>
      <w:tr>
        <w:trPr>
          <w:trHeight w:val="159"/>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 net of allowances of $7,385 and, $6,512, respectively</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13,505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15,601</w:t>
            </w:r>
          </w:p>
        </w:tc>
      </w:tr>
      <w:tr>
        <w:trPr>
          <w:trHeight w:val="16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Inventory</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116,131</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111,633</w:t>
            </w:r>
          </w:p>
        </w:tc>
      </w:tr>
      <w:tr>
        <w:trPr>
          <w:trHeight w:val="159"/>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15,190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22,777</w:t>
            </w:r>
          </w:p>
        </w:tc>
      </w:tr>
      <w:tr>
        <w:trPr>
          <w:trHeight w:val="162"/>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Assets held for sale</w:t>
            </w:r>
          </w:p>
        </w:tc>
        <w:tc>
          <w:tcPr>
            <w:tcW w:w="2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1,752</w:t>
            </w:r>
          </w:p>
        </w:tc>
      </w:tr>
      <w:tr>
        <w:trPr>
          <w:trHeight w:val="155"/>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167,258</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187,527</w:t>
            </w:r>
          </w:p>
        </w:tc>
      </w:tr>
      <w:tr>
        <w:trPr>
          <w:trHeight w:val="159"/>
        </w:trPr>
        <w:tc>
          <w:tcPr>
            <w:tcW w:w="7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284,434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298,498</w:t>
            </w:r>
          </w:p>
        </w:tc>
      </w:tr>
      <w:tr>
        <w:trPr>
          <w:trHeight w:val="16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Right of use assets - operating leases, net</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177,570</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181,823</w:t>
            </w: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Right of use assets - finance leases, net</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31,724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36,450</w:t>
            </w:r>
          </w:p>
        </w:tc>
      </w:tr>
      <w:tr>
        <w:trPr>
          <w:trHeight w:val="16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70,273</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76,767</w:t>
            </w: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taxes</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24,050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22,970</w:t>
            </w:r>
          </w:p>
        </w:tc>
      </w:tr>
      <w:tr>
        <w:trPr>
          <w:trHeight w:val="16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Notes Receivable</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6,689</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3,960</w:t>
            </w: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15,117</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15,116</w:t>
            </w:r>
          </w:p>
        </w:tc>
      </w:tr>
      <w:tr>
        <w:trPr>
          <w:trHeight w:val="19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2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777,115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823,111</w:t>
            </w:r>
          </w:p>
        </w:tc>
      </w:tr>
      <w:tr>
        <w:trPr>
          <w:trHeight w:val="146"/>
        </w:trPr>
        <w:tc>
          <w:tcPr>
            <w:tcW w:w="768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16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Accounts payable</w:t>
            </w:r>
          </w:p>
        </w:tc>
        <w:tc>
          <w:tcPr>
            <w:tcW w:w="2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33,555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29,797</w:t>
            </w:r>
          </w:p>
        </w:tc>
      </w:tr>
      <w:tr>
        <w:trPr>
          <w:trHeight w:val="159"/>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44,299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58,659</w:t>
            </w:r>
          </w:p>
        </w:tc>
      </w:tr>
      <w:tr>
        <w:trPr>
          <w:trHeight w:val="16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Income tax payable</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64,724</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47,358</w:t>
            </w:r>
          </w:p>
        </w:tc>
      </w:tr>
      <w:tr>
        <w:trPr>
          <w:trHeight w:val="159"/>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 portion of lease liability - operating leases</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9,520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9,711</w:t>
            </w:r>
          </w:p>
        </w:tc>
      </w:tr>
      <w:tr>
        <w:trPr>
          <w:trHeight w:val="16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 portion of lease liability - finance leases</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7,172</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7,339</w:t>
            </w:r>
          </w:p>
        </w:tc>
      </w:tr>
      <w:tr>
        <w:trPr>
          <w:trHeight w:val="159"/>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 portion of long-term debt, net</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50,575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5,905</w:t>
            </w:r>
          </w:p>
        </w:tc>
      </w:tr>
      <w:tr>
        <w:trPr>
          <w:trHeight w:val="162"/>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Liabilities held for sale</w:t>
            </w:r>
          </w:p>
        </w:tc>
        <w:tc>
          <w:tcPr>
            <w:tcW w:w="2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1,275</w:t>
            </w:r>
          </w:p>
        </w:tc>
      </w:tr>
      <w:tr>
        <w:trPr>
          <w:trHeight w:val="156"/>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209,845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160,044</w:t>
            </w:r>
          </w:p>
        </w:tc>
      </w:tr>
      <w:tr>
        <w:trPr>
          <w:trHeight w:val="159"/>
        </w:trPr>
        <w:tc>
          <w:tcPr>
            <w:tcW w:w="768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debt, net</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247,456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297,478</w:t>
            </w:r>
          </w:p>
        </w:tc>
      </w:tr>
      <w:tr>
        <w:trPr>
          <w:trHeight w:val="16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Long-term lease liability - operating leases</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178,959</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182,001</w:t>
            </w: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lease liability - finance leases</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40,475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43,890</w:t>
            </w:r>
          </w:p>
        </w:tc>
      </w:tr>
      <w:tr>
        <w:trPr>
          <w:trHeight w:val="16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Derivative liability</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2,448</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119</w:t>
            </w:r>
          </w:p>
        </w:tc>
      </w:tr>
      <w:tr>
        <w:trPr>
          <w:trHeight w:val="159"/>
        </w:trPr>
        <w:tc>
          <w:tcPr>
            <w:tcW w:w="7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74,548</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74,227</w:t>
            </w:r>
          </w:p>
        </w:tc>
      </w:tr>
      <w:tr>
        <w:trPr>
          <w:trHeight w:val="15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liabilities</w:t>
            </w:r>
          </w:p>
        </w:tc>
        <w:tc>
          <w:tcPr>
            <w:tcW w:w="2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753,731</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757,759</w:t>
            </w:r>
          </w:p>
        </w:tc>
      </w:tr>
      <w:tr>
        <w:trPr>
          <w:trHeight w:val="159"/>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Stockholders' Equity:</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40"/>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Common Stock, no par value, unlimited shares authorized as of June 30, 2024 and</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35"/>
        </w:trPr>
        <w:tc>
          <w:tcPr>
            <w:tcW w:w="7680" w:type="dxa"/>
            <w:vAlign w:val="bottom"/>
          </w:tcPr>
          <w:p>
            <w:pPr>
              <w:ind w:left="260"/>
              <w:spacing w:after="0" w:line="135" w:lineRule="exact"/>
              <w:rPr>
                <w:sz w:val="20"/>
                <w:szCs w:val="20"/>
                <w:color w:val="auto"/>
              </w:rPr>
            </w:pPr>
            <w:r>
              <w:rPr>
                <w:rFonts w:ascii="Times New Roman" w:cs="Times New Roman" w:eastAsia="Times New Roman" w:hAnsi="Times New Roman"/>
                <w:sz w:val="12"/>
                <w:szCs w:val="12"/>
                <w:color w:val="auto"/>
              </w:rPr>
              <w:t>December 31, 2023, respectively, 461,943,098 and 420,265,306 shares issued and outstanding</w:t>
            </w: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3"/>
        </w:trPr>
        <w:tc>
          <w:tcPr>
            <w:tcW w:w="7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as of June 30, 2024 and December 31, 2023, respectively</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Preferred Stock, no par value, unlimited shares authorized as of June 30, 2024 and</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r>
      <w:tr>
        <w:trPr>
          <w:trHeight w:val="135"/>
        </w:trPr>
        <w:tc>
          <w:tcPr>
            <w:tcW w:w="768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2"/>
                <w:szCs w:val="12"/>
                <w:color w:val="auto"/>
              </w:rPr>
              <w:t>December 31, 2023, respectively, none issued and outstanding as of June 30, 2024 and</w:t>
            </w:r>
          </w:p>
        </w:tc>
        <w:tc>
          <w:tcPr>
            <w:tcW w:w="28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r>
      <w:tr>
        <w:trPr>
          <w:trHeight w:val="157"/>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December 31, 2023</w:t>
            </w:r>
          </w:p>
        </w:tc>
        <w:tc>
          <w:tcPr>
            <w:tcW w:w="28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Proportionate voting shares, no par value, unlimited shares authorized as of June 30, 2024</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35"/>
        </w:trPr>
        <w:tc>
          <w:tcPr>
            <w:tcW w:w="7680" w:type="dxa"/>
            <w:vAlign w:val="bottom"/>
          </w:tcPr>
          <w:p>
            <w:pPr>
              <w:ind w:left="260"/>
              <w:spacing w:after="0" w:line="135" w:lineRule="exact"/>
              <w:rPr>
                <w:sz w:val="20"/>
                <w:szCs w:val="20"/>
                <w:color w:val="auto"/>
              </w:rPr>
            </w:pPr>
            <w:r>
              <w:rPr>
                <w:rFonts w:ascii="Times New Roman" w:cs="Times New Roman" w:eastAsia="Times New Roman" w:hAnsi="Times New Roman"/>
                <w:sz w:val="12"/>
                <w:szCs w:val="12"/>
                <w:color w:val="auto"/>
              </w:rPr>
              <w:t>and December 31, 2023, respectively; 7,701,826 and 9,807,881 shares issued and outstanding</w:t>
            </w: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3"/>
        </w:trPr>
        <w:tc>
          <w:tcPr>
            <w:tcW w:w="7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as of June 30, 2024 and December 31, 2023, respectively</w:t>
            </w:r>
          </w:p>
        </w:tc>
        <w:tc>
          <w:tcPr>
            <w:tcW w:w="28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Additional paid-in-capital</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1,152,757</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1,146,154</w:t>
            </w:r>
          </w:p>
        </w:tc>
      </w:tr>
      <w:tr>
        <w:trPr>
          <w:trHeight w:val="159"/>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Accumulated deficit</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(1,129,056 )</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(1,079,282 )</w:t>
            </w:r>
          </w:p>
        </w:tc>
      </w:tr>
      <w:tr>
        <w:trPr>
          <w:trHeight w:val="156"/>
        </w:trPr>
        <w:tc>
          <w:tcPr>
            <w:tcW w:w="76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Equity attributable to The Cannabist Company Holdings Inc.</w:t>
            </w:r>
          </w:p>
        </w:tc>
        <w:tc>
          <w:tcPr>
            <w:tcW w:w="2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23,701</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66,872</w:t>
            </w:r>
          </w:p>
        </w:tc>
      </w:tr>
      <w:tr>
        <w:trPr>
          <w:trHeight w:val="155"/>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Non-controlling interest</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(317 )</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(1,520 )</w:t>
            </w:r>
          </w:p>
        </w:tc>
      </w:tr>
      <w:tr>
        <w:trPr>
          <w:trHeight w:val="156"/>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Total equity</w:t>
            </w:r>
          </w:p>
        </w:tc>
        <w:tc>
          <w:tcPr>
            <w:tcW w:w="2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23,384</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65,352</w:t>
            </w:r>
          </w:p>
        </w:tc>
      </w:tr>
      <w:tr>
        <w:trPr>
          <w:trHeight w:val="155"/>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777,115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823,111</w:t>
            </w:r>
          </w:p>
        </w:tc>
      </w:tr>
      <w:tr>
        <w:trPr>
          <w:trHeight w:val="20"/>
        </w:trPr>
        <w:tc>
          <w:tcPr>
            <w:tcW w:w="7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-4671060</wp:posOffset>
            </wp:positionV>
            <wp:extent cx="85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-3616960</wp:posOffset>
            </wp:positionV>
            <wp:extent cx="85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-3599815</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-2562225</wp:posOffset>
            </wp:positionV>
            <wp:extent cx="8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-1713865</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-359410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-136525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Interim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125,190</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129,244</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247,801</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253,779</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(77,138 )</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(77,122 )</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(157,212 )</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(154,576 )</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48,052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52,122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90,589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99,203</w:t>
            </w:r>
          </w:p>
        </w:tc>
        <w:tc>
          <w:tcPr>
            <w:tcW w:w="0" w:type="dxa"/>
            <w:vAlign w:val="bottom"/>
          </w:tcPr>
          <w:p>
            <w:pPr>
              <w:spacing w:after="0"/>
              <w:rPr>
                <w:sz w:val="1"/>
                <w:szCs w:val="1"/>
                <w:color w:val="auto"/>
              </w:rPr>
            </w:pPr>
          </w:p>
        </w:tc>
      </w:tr>
      <w:tr>
        <w:trPr>
          <w:trHeight w:val="223"/>
        </w:trPr>
        <w:tc>
          <w:tcPr>
            <w:tcW w:w="4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(40,046 )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(52,073 )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(93,319 )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(107,423 )</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Profit / (loss) from operations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8,006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(2,730 )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(8,220 )</w:t>
            </w: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(2,157 )</w:t>
            </w:r>
          </w:p>
        </w:tc>
        <w:tc>
          <w:tcPr>
            <w:tcW w:w="0" w:type="dxa"/>
            <w:vAlign w:val="bottom"/>
          </w:tcPr>
          <w:p>
            <w:pPr>
              <w:spacing w:after="0"/>
              <w:rPr>
                <w:sz w:val="1"/>
                <w:szCs w:val="1"/>
                <w:color w:val="auto"/>
              </w:rPr>
            </w:pPr>
          </w:p>
        </w:tc>
      </w:tr>
      <w:tr>
        <w:trPr>
          <w:trHeight w:val="220"/>
        </w:trPr>
        <w:tc>
          <w:tcPr>
            <w:tcW w:w="4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(12,726 )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(25,299 )</w:t>
            </w:r>
          </w:p>
        </w:tc>
        <w:tc>
          <w:tcPr>
            <w:tcW w:w="0" w:type="dxa"/>
            <w:vAlign w:val="bottom"/>
          </w:tcPr>
          <w:p>
            <w:pPr>
              <w:spacing w:after="0"/>
              <w:rPr>
                <w:sz w:val="1"/>
                <w:szCs w:val="1"/>
                <w:color w:val="auto"/>
              </w:rPr>
            </w:pPr>
          </w:p>
        </w:tc>
      </w:tr>
      <w:tr>
        <w:trPr>
          <w:trHeight w:val="233"/>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(8,996 )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(6,386 )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(12,939 )</w:t>
            </w:r>
          </w:p>
        </w:tc>
        <w:tc>
          <w:tcPr>
            <w:tcW w:w="0" w:type="dxa"/>
            <w:vAlign w:val="bottom"/>
          </w:tcPr>
          <w:p>
            <w:pPr>
              <w:spacing w:after="0"/>
              <w:rPr>
                <w:sz w:val="1"/>
                <w:szCs w:val="1"/>
                <w:color w:val="auto"/>
              </w:rPr>
            </w:pPr>
          </w:p>
        </w:tc>
      </w:tr>
      <w:tr>
        <w:trPr>
          <w:trHeight w:val="223"/>
        </w:trPr>
        <w:tc>
          <w:tcPr>
            <w:tcW w:w="4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(12,007 )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(22,781 )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(26,971 )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(40,395 )</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(4,001 )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(22,732 )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(29,701 )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(48,615 )</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(9,642 )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(18,510 )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(16,994 )</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(13,643 )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(29,037 )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(48,211 )</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(65,609 )</w:t>
            </w:r>
          </w:p>
        </w:tc>
        <w:tc>
          <w:tcPr>
            <w:tcW w:w="0" w:type="dxa"/>
            <w:vAlign w:val="bottom"/>
          </w:tcPr>
          <w:p>
            <w:pPr>
              <w:spacing w:after="0"/>
              <w:rPr>
                <w:sz w:val="1"/>
                <w:szCs w:val="1"/>
                <w:color w:val="auto"/>
              </w:rPr>
            </w:pPr>
          </w:p>
        </w:tc>
      </w:tr>
      <w:tr>
        <w:trPr>
          <w:trHeight w:val="223"/>
        </w:trPr>
        <w:tc>
          <w:tcPr>
            <w:tcW w:w="4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profit / (loss) attributable to non-controlling interests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63"/>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(14,341 )</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(28,863 )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(49,414 )</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(66,203 )</w:t>
            </w:r>
          </w:p>
        </w:tc>
        <w:tc>
          <w:tcPr>
            <w:tcW w:w="0" w:type="dxa"/>
            <w:vAlign w:val="bottom"/>
          </w:tcPr>
          <w:p>
            <w:pPr>
              <w:spacing w:after="0"/>
              <w:rPr>
                <w:sz w:val="1"/>
                <w:szCs w:val="1"/>
                <w:color w:val="auto"/>
              </w:rPr>
            </w:pPr>
          </w:p>
        </w:tc>
      </w:tr>
      <w:tr>
        <w:trPr>
          <w:trHeight w:val="217"/>
        </w:trPr>
        <w:tc>
          <w:tcPr>
            <w:tcW w:w="4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 share</w:t>
            </w:r>
          </w:p>
        </w:tc>
        <w:tc>
          <w:tcPr>
            <w:tcW w:w="20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460,653,957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405,782,234</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453,143,911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403,622,389</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attributable to shares (basic and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-2524760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-2524760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-2524760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-1487170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-1487170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-1487170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-578485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-561340</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-578485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-561340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-578485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-561340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-158750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-141605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-158750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-141605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-158750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-141605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color w:val="auto"/>
        </w:rPr>
        <w:t>THE CANNABIST COMPANY HOLDINGS INC.</w:t>
      </w:r>
    </w:p>
    <w:p>
      <w:pPr>
        <w:jc w:val="center"/>
        <w:spacing w:after="0" w:line="219" w:lineRule="auto"/>
        <w:rPr>
          <w:sz w:val="20"/>
          <w:szCs w:val="20"/>
          <w:color w:val="auto"/>
        </w:rPr>
      </w:pPr>
      <w:r>
        <w:rPr>
          <w:rFonts w:ascii="Times New Roman" w:cs="Times New Roman" w:eastAsia="Times New Roman" w:hAnsi="Times New Roman"/>
          <w:sz w:val="13"/>
          <w:szCs w:val="13"/>
          <w:color w:val="auto"/>
        </w:rPr>
        <w:t>CONDENSED CONSOLIDATED INTERIM STATEMENTS OF CHANGES IN EQUITY</w:t>
      </w:r>
    </w:p>
    <w:p>
      <w:pPr>
        <w:jc w:val="center"/>
        <w:spacing w:after="0" w:line="216" w:lineRule="auto"/>
        <w:rPr>
          <w:sz w:val="20"/>
          <w:szCs w:val="20"/>
          <w:color w:val="auto"/>
        </w:rPr>
      </w:pPr>
      <w:r>
        <w:rPr>
          <w:rFonts w:ascii="Times New Roman" w:cs="Times New Roman" w:eastAsia="Times New Roman" w:hAnsi="Times New Roman"/>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(Expressed in thousands of U.S. dollars, except for number of shares)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 The Cannabist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Company Holdings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2460" w:type="dxa"/>
            <w:vAlign w:val="bottom"/>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9"/>
                <w:szCs w:val="19"/>
                <w:color w:val="auto"/>
              </w:rPr>
            </w:pPr>
          </w:p>
        </w:tc>
        <w:tc>
          <w:tcPr>
            <w:tcW w:w="168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21"/>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391,238,484</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10,009,819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1,117,287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(904,003 )</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213,284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(6,381 )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206,903</w:t>
            </w:r>
          </w:p>
        </w:tc>
      </w:tr>
      <w:tr>
        <w:trPr>
          <w:trHeight w:val="238"/>
        </w:trPr>
        <w:tc>
          <w:tcPr>
            <w:tcW w:w="2460" w:type="dxa"/>
            <w:vAlign w:val="bottom"/>
            <w:shd w:val="clear" w:color="auto" w:fill="CFF0FC"/>
          </w:tcPr>
          <w:p>
            <w:pPr>
              <w:ind w:left="20"/>
              <w:spacing w:after="0" w:line="238"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(1)</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2,116,944</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6,611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6,611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6,611</w:t>
            </w: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54,158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(54,158 )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4,383</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(37,340 )</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(36,572 )</w:t>
            </w:r>
          </w:p>
        </w:tc>
      </w:tr>
      <w:tr>
        <w:trPr>
          <w:trHeight w:val="26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393,409,586</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9,955,661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1,123,898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(941,343 )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182,555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(1,230 )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181,325</w:t>
            </w:r>
          </w:p>
        </w:tc>
      </w:tr>
      <w:tr>
        <w:trPr>
          <w:trHeight w:val="217"/>
        </w:trPr>
        <w:tc>
          <w:tcPr>
            <w:tcW w:w="2460" w:type="dxa"/>
            <w:vAlign w:val="bottom"/>
            <w:tcBorders>
              <w:top w:val="single" w:sz="8" w:color="CFF0FC"/>
            </w:tcBorders>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(1)</w:t>
            </w: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3,413,933</w:t>
            </w: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2,939</w:t>
            </w: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2,939</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2,939</w:t>
            </w:r>
          </w:p>
        </w:tc>
      </w:tr>
      <w:tr>
        <w:trPr>
          <w:trHeight w:val="202"/>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230"/>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(431 )</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(28,863 )</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(28,863 )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(29,037 )</w:t>
            </w:r>
          </w:p>
        </w:tc>
      </w:tr>
      <w:tr>
        <w:trPr>
          <w:trHeight w:val="26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396,823,519</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9,955,661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1,126,837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(970,206 )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156,631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(1,835 )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154,796</w:t>
            </w:r>
          </w:p>
        </w:tc>
      </w:tr>
      <w:tr>
        <w:trPr>
          <w:trHeight w:val="592"/>
        </w:trPr>
        <w:tc>
          <w:tcPr>
            <w:tcW w:w="246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 The Cannabist</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Company Holdings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2460" w:type="dxa"/>
            <w:vAlign w:val="bottom"/>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9"/>
                <w:szCs w:val="19"/>
                <w:color w:val="auto"/>
              </w:rPr>
            </w:pPr>
          </w:p>
        </w:tc>
        <w:tc>
          <w:tcPr>
            <w:tcW w:w="168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30"/>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420,265,306</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9,807,881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1,146,154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(1,079,282 )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66,872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(1,520 )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65,352</w:t>
            </w:r>
          </w:p>
        </w:tc>
      </w:tr>
      <w:tr>
        <w:trPr>
          <w:trHeight w:val="229"/>
        </w:trPr>
        <w:tc>
          <w:tcPr>
            <w:tcW w:w="24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(1)</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3,182</w:t>
            </w:r>
          </w:p>
        </w:tc>
      </w:tr>
      <w:tr>
        <w:trPr>
          <w:trHeight w:val="230"/>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25,845,259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2,106,055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(2,106,055 )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(1,058 )</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(1,058 )</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(35,073 )</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(34,568 )</w:t>
            </w:r>
          </w:p>
        </w:tc>
      </w:tr>
      <w:tr>
        <w:trPr>
          <w:trHeight w:val="26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448,216,620</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1,159,336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(1,115,413 )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43,923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(1,015 )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42,908</w:t>
            </w:r>
          </w:p>
        </w:tc>
      </w:tr>
      <w:tr>
        <w:trPr>
          <w:trHeight w:val="216"/>
        </w:trPr>
        <w:tc>
          <w:tcPr>
            <w:tcW w:w="2460" w:type="dxa"/>
            <w:vAlign w:val="bottom"/>
            <w:tcBorders>
              <w:top w:val="single" w:sz="8" w:color="CFF0FC"/>
            </w:tcBorders>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(1)</w:t>
            </w: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8,225,383</w:t>
            </w: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(9,399 )</w:t>
            </w: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(9,399 )</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(9,399 )</w:t>
            </w:r>
          </w:p>
        </w:tc>
      </w:tr>
      <w:tr>
        <w:trPr>
          <w:trHeight w:val="230"/>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655,736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4,845,359</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2,620</w:t>
            </w:r>
          </w:p>
        </w:tc>
      </w:tr>
      <w:tr>
        <w:trPr>
          <w:trHeight w:val="23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r>
      <w:tr>
        <w:trPr>
          <w:trHeight w:val="233"/>
        </w:trPr>
        <w:tc>
          <w:tcPr>
            <w:tcW w:w="2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(14,341 )</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(14,341 )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(13,643 )</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461,943,098</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1,152,757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(1,129,056 )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23,701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(317 )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23,384</w:t>
            </w:r>
          </w:p>
        </w:tc>
      </w:tr>
      <w:tr>
        <w:trPr>
          <w:trHeight w:val="20"/>
        </w:trPr>
        <w:tc>
          <w:tcPr>
            <w:tcW w:w="2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-3805555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-3788410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-3805555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-3788410</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-3805555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-3788410</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-3805555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-3788410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-3805555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-3788410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-3805555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-3788410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-3060065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-3042285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-3060065</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-3042285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-3060065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-3042285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-3060065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-3042285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-3060065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-3042285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-3060065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-3042285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-1079500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-1062355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-1079500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-1062355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-1079500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-1062355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-1079500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-1062355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-1079500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-1062355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-1079500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-1062355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-179705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-179705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-179705</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-179705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-179705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-179705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amounts shown are net of any shares withheld by the Company to satisfy certain tax withholdings in connection with vesting of equity-based awards.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1193"/>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9"/>
        </w:trPr>
        <w:tc>
          <w:tcPr>
            <w:tcW w:w="7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16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(48,211 )</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(65,609 )</w:t>
            </w: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27,547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29,678</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(4,962 )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9,983</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amortization expense</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4,307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4,485</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Loss on deconsolidation of subsidiary</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2,473</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on disposal group</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9,049</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Provision for obsolete inventory and other assets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5,642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979</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2,329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30</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taxes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(4,384 )</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Legal Settlement</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1,832</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acquisitions</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(3,904 )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(4,454 )</w:t>
            </w:r>
          </w:p>
        </w:tc>
      </w:tr>
      <w:tr>
        <w:trPr>
          <w:trHeight w:val="175"/>
        </w:trPr>
        <w:tc>
          <w:tcPr>
            <w:tcW w:w="7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(5,397 )</w:t>
            </w:r>
          </w:p>
        </w:tc>
      </w:tr>
      <w:tr>
        <w:trPr>
          <w:trHeight w:val="17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(3,214 )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(6,538 )</w:t>
            </w:r>
          </w:p>
        </w:tc>
      </w:tr>
      <w:tr>
        <w:trPr>
          <w:trHeight w:val="175"/>
        </w:trPr>
        <w:tc>
          <w:tcPr>
            <w:tcW w:w="7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728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9,317</w:t>
            </w:r>
          </w:p>
        </w:tc>
      </w:tr>
      <w:tr>
        <w:trPr>
          <w:trHeight w:val="17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4,138</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10,949</w:t>
            </w:r>
          </w:p>
        </w:tc>
      </w:tr>
      <w:tr>
        <w:trPr>
          <w:trHeight w:val="175"/>
        </w:trPr>
        <w:tc>
          <w:tcPr>
            <w:tcW w:w="7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Payroll liabilities</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(859 )</w:t>
            </w:r>
          </w:p>
        </w:tc>
      </w:tr>
      <w:tr>
        <w:trPr>
          <w:trHeight w:val="17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(4,241 )</w:t>
            </w:r>
          </w:p>
        </w:tc>
      </w:tr>
      <w:tr>
        <w:trPr>
          <w:trHeight w:val="175"/>
        </w:trPr>
        <w:tc>
          <w:tcPr>
            <w:tcW w:w="7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Income taxes payable</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17,367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13,485</w:t>
            </w:r>
          </w:p>
        </w:tc>
      </w:tr>
      <w:tr>
        <w:trPr>
          <w:trHeight w:val="176"/>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609</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(4,496 )</w:t>
            </w:r>
          </w:p>
        </w:tc>
      </w:tr>
      <w:tr>
        <w:trPr>
          <w:trHeight w:val="169"/>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(9,659 )</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(3,718 )</w:t>
            </w:r>
          </w:p>
        </w:tc>
      </w:tr>
      <w:tr>
        <w:trPr>
          <w:trHeight w:val="16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(5,740 )</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sale of plant, property and equipment</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169</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 of license</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329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proceeds from sale of Utah business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2,999</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deconsolidation of Missouri entity</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3,040</w:t>
            </w:r>
          </w:p>
        </w:tc>
      </w:tr>
      <w:tr>
        <w:trPr>
          <w:trHeight w:val="175"/>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received on deposits, net</w:t>
            </w:r>
          </w:p>
        </w:tc>
        <w:tc>
          <w:tcPr>
            <w:tcW w:w="2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157</w:t>
            </w:r>
          </w:p>
        </w:tc>
        <w:tc>
          <w:tcPr>
            <w:tcW w:w="1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216</w:t>
            </w:r>
          </w:p>
        </w:tc>
      </w:tr>
      <w:tr>
        <w:trPr>
          <w:trHeight w:val="169"/>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856</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(2,315 )</w:t>
            </w:r>
          </w:p>
        </w:tc>
      </w:tr>
      <w:tr>
        <w:trPr>
          <w:trHeight w:val="16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issuance of convertible debt</w:t>
            </w:r>
          </w:p>
        </w:tc>
        <w:tc>
          <w:tcPr>
            <w:tcW w:w="240" w:type="dxa"/>
            <w:vAlign w:val="bottom"/>
          </w:tcPr>
          <w:p>
            <w:pPr>
              <w:spacing w:after="0"/>
              <w:rPr>
                <w:sz w:val="15"/>
                <w:szCs w:val="15"/>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15,600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lease liabilities</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(3,196 )</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Repayment of sellers note</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(750 )</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 of debt</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(13,228 )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(313 )</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Repayment of mortgage notes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Distributions</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(431 )</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Taxes paid on equity based compensation</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(1,255 )</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(433 )</w:t>
            </w:r>
          </w:p>
        </w:tc>
      </w:tr>
      <w:tr>
        <w:trPr>
          <w:trHeight w:val="169"/>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(4,629 )</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(5,123 )</w:t>
            </w:r>
          </w:p>
        </w:tc>
      </w:tr>
      <w:tr>
        <w:trPr>
          <w:trHeight w:val="169"/>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(13,432 )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(11,156 )</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restricted cash at beginning of the period</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39,337</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49,488</w:t>
            </w:r>
          </w:p>
        </w:tc>
      </w:tr>
      <w:tr>
        <w:trPr>
          <w:trHeight w:val="20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restricted cash at end of period</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25,905</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38,332</w:t>
            </w:r>
          </w:p>
        </w:tc>
      </w:tr>
      <w:tr>
        <w:trPr>
          <w:trHeight w:val="156"/>
        </w:trPr>
        <w:tc>
          <w:tcPr>
            <w:tcW w:w="7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and cash equivalents and restricted cash:</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22,332</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36,997</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3,573</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1,335</w:t>
            </w:r>
          </w:p>
        </w:tc>
      </w:tr>
      <w:tr>
        <w:trPr>
          <w:trHeight w:val="20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restricted cash, end of period</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25,905</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38,332</w:t>
            </w:r>
          </w:p>
        </w:tc>
      </w:tr>
      <w:tr>
        <w:trPr>
          <w:trHeight w:val="156"/>
        </w:trPr>
        <w:tc>
          <w:tcPr>
            <w:tcW w:w="7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13,565</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11,393</w:t>
            </w:r>
          </w:p>
        </w:tc>
      </w:tr>
      <w:tr>
        <w:trPr>
          <w:trHeight w:val="17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Operating cash flows from finance leases</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1,835</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2,117</w:t>
            </w:r>
          </w:p>
        </w:tc>
      </w:tr>
      <w:tr>
        <w:trPr>
          <w:trHeight w:val="175"/>
        </w:trPr>
        <w:tc>
          <w:tcPr>
            <w:tcW w:w="7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Financing cash flows from finance leases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3,582</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3,196</w:t>
            </w: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paid for interest on other obligations</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20,575</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21,342</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1,507</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8,336</w:t>
            </w: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Lease liabilities arising from the recognition of finance right-of-use assets</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3,639</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1,016</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 arising from the recognition of operating right-of-use assets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7,436</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4,711</w:t>
            </w: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fixed asset additions within accounts payable and accrued expenses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386</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2,637</w:t>
            </w: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Discount on issuance of convertible debt</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(5,150 )</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Reduction in debt from debt to equity conversion</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(10,200 )</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issued for legal settlement</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2,620</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in equity from debt to equity conversion</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10,200</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Assets held for sale</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(1,652 )</w:t>
            </w:r>
          </w:p>
        </w:tc>
        <w:tc>
          <w:tcPr>
            <w:tcW w:w="3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 held for sale</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1,274</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-5133975</wp:posOffset>
            </wp:positionV>
            <wp:extent cx="93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-4237990</wp:posOffset>
            </wp:positionV>
            <wp:extent cx="11938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93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-2861945</wp:posOffset>
            </wp:positionV>
            <wp:extent cx="93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-2399030</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-2381885</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-1918970</wp:posOffset>
            </wp:positionV>
            <wp:extent cx="93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-1901825</wp:posOffset>
            </wp:positionV>
            <wp:extent cx="93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122"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ind w:right="4440"/>
        <w:spacing w:after="0" w:line="250" w:lineRule="auto"/>
        <w:rPr>
          <w:sz w:val="20"/>
          <w:szCs w:val="20"/>
          <w:color w:val="auto"/>
        </w:rPr>
      </w:pPr>
      <w:r>
        <w:rPr>
          <w:rFonts w:ascii="Times New Roman" w:cs="Times New Roman" w:eastAsia="Times New Roman" w:hAnsi="Times New Roman"/>
          <w:sz w:val="18"/>
          <w:szCs w:val="18"/>
          <w:color w:val="auto"/>
        </w:rPr>
        <w:t>NOTES TO THE CONDENSED CONSOLIDATED INTERIM FINANCIAL STATEMENTS FOR THE THREE AND SIX MONTHS ENDED JUNE 30, 2024, and 2023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OF THE COMPANY</w:t>
      </w:r>
    </w:p>
    <w:p>
      <w:pPr>
        <w:spacing w:after="0" w:line="161" w:lineRule="exact"/>
        <w:rPr>
          <w:rFonts w:ascii="Times New Roman" w:cs="Times New Roman" w:eastAsia="Times New Roman" w:hAnsi="Times New Roman"/>
          <w:sz w:val="18"/>
          <w:szCs w:val="18"/>
          <w:b w:val="1"/>
          <w:bCs w:val="1"/>
          <w:color w:val="auto"/>
        </w:rPr>
      </w:pPr>
    </w:p>
    <w:p>
      <w:pPr>
        <w:jc w:val="both"/>
        <w:ind w:left="3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15" w:lineRule="exact"/>
        <w:rPr>
          <w:rFonts w:ascii="Times New Roman" w:cs="Times New Roman" w:eastAsia="Times New Roman" w:hAnsi="Times New Roman"/>
          <w:sz w:val="18"/>
          <w:szCs w:val="18"/>
          <w:b w:val="1"/>
          <w:bCs w:val="1"/>
          <w:color w:val="auto"/>
        </w:rPr>
      </w:pPr>
    </w:p>
    <w:p>
      <w:pPr>
        <w:jc w:val="both"/>
        <w:ind w:left="3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The Company’s Common Shares are also listed on the Frankfurt Stock Exchange under the symbol “3LP”.</w:t>
      </w:r>
    </w:p>
    <w:p>
      <w:pPr>
        <w:spacing w:after="0" w:line="200" w:lineRule="exact"/>
        <w:rPr>
          <w:rFonts w:ascii="Times New Roman" w:cs="Times New Roman" w:eastAsia="Times New Roman" w:hAnsi="Times New Roman"/>
          <w:sz w:val="18"/>
          <w:szCs w:val="18"/>
          <w:b w:val="1"/>
          <w:bCs w:val="1"/>
          <w:color w:val="auto"/>
        </w:rPr>
      </w:pPr>
    </w:p>
    <w:p>
      <w:pPr>
        <w:spacing w:after="0" w:line="266" w:lineRule="exact"/>
        <w:rPr>
          <w:rFonts w:ascii="Times New Roman" w:cs="Times New Roman" w:eastAsia="Times New Roman" w:hAnsi="Times New Roman"/>
          <w:sz w:val="18"/>
          <w:szCs w:val="18"/>
          <w:b w:val="1"/>
          <w:bCs w:val="1"/>
          <w:color w:val="auto"/>
        </w:rPr>
      </w:pPr>
    </w:p>
    <w:p>
      <w:pPr>
        <w:ind w:left="380" w:right="6160" w:hanging="372"/>
        <w:spacing w:after="0" w:line="424"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preparation</w:t>
      </w:r>
    </w:p>
    <w:p>
      <w:pPr>
        <w:spacing w:after="0" w:line="1" w:lineRule="exact"/>
        <w:rPr>
          <w:rFonts w:ascii="Times New Roman" w:cs="Times New Roman" w:eastAsia="Times New Roman" w:hAnsi="Times New Roman"/>
          <w:sz w:val="18"/>
          <w:szCs w:val="18"/>
          <w:b w:val="1"/>
          <w:bCs w:val="1"/>
          <w:color w:val="auto"/>
        </w:rPr>
      </w:pPr>
    </w:p>
    <w:p>
      <w:pPr>
        <w:jc w:val="both"/>
        <w:ind w:lef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94" w:lineRule="exact"/>
        <w:rPr>
          <w:rFonts w:ascii="Times New Roman" w:cs="Times New Roman" w:eastAsia="Times New Roman" w:hAnsi="Times New Roman"/>
          <w:sz w:val="18"/>
          <w:szCs w:val="18"/>
          <w:b w:val="1"/>
          <w:bCs w:val="1"/>
          <w:color w:val="auto"/>
        </w:rPr>
      </w:pPr>
    </w:p>
    <w:p>
      <w:pPr>
        <w:jc w:val="both"/>
        <w:ind w:left="3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six months ended June 30, 2024 are not necessarily indicative of the results that may be expected for the current year ending December 31, 2024. The financial data presented herein should be read in conjunction with the audited consolidated financial statements and accompanying notes as of and for the years ended December 31, 2023, and 2022 included in the Annual Report on Form 10-K for the year ended December 31, 2023 (the “2023 Form 10-K”).</w:t>
      </w:r>
    </w:p>
    <w:p>
      <w:pPr>
        <w:spacing w:after="0" w:line="121" w:lineRule="exact"/>
        <w:rPr>
          <w:rFonts w:ascii="Times New Roman" w:cs="Times New Roman" w:eastAsia="Times New Roman" w:hAnsi="Times New Roman"/>
          <w:sz w:val="18"/>
          <w:szCs w:val="18"/>
          <w:b w:val="1"/>
          <w:bCs w:val="1"/>
          <w:color w:val="auto"/>
        </w:rPr>
      </w:pPr>
    </w:p>
    <w:p>
      <w:pPr>
        <w:jc w:val="both"/>
        <w:ind w:lef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these unaudited condensed consolidated interim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108" w:lineRule="exact"/>
        <w:rPr>
          <w:rFonts w:ascii="Times New Roman" w:cs="Times New Roman" w:eastAsia="Times New Roman" w:hAnsi="Times New Roman"/>
          <w:sz w:val="18"/>
          <w:szCs w:val="18"/>
          <w:b w:val="1"/>
          <w:bCs w:val="1"/>
          <w:color w:val="auto"/>
        </w:rPr>
      </w:pPr>
    </w:p>
    <w:p>
      <w:pPr>
        <w:ind w:left="3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80" w:lineRule="exact"/>
        <w:rPr>
          <w:rFonts w:ascii="Times New Roman" w:cs="Times New Roman" w:eastAsia="Times New Roman" w:hAnsi="Times New Roman"/>
          <w:sz w:val="18"/>
          <w:szCs w:val="18"/>
          <w:b w:val="1"/>
          <w:bCs w:val="1"/>
          <w:color w:val="auto"/>
        </w:rPr>
      </w:pPr>
    </w:p>
    <w:p>
      <w:pPr>
        <w:ind w:lef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interim financial statements are presented in United States dollars except as otherwise indicated. All references to C$, CAD$ and CDN$ are to Canadian dollars.</w:t>
      </w:r>
    </w:p>
    <w:p>
      <w:pPr>
        <w:spacing w:after="0" w:line="9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161" w:lineRule="exact"/>
        <w:rPr>
          <w:rFonts w:ascii="Times New Roman" w:cs="Times New Roman" w:eastAsia="Times New Roman" w:hAnsi="Times New Roman"/>
          <w:sz w:val="18"/>
          <w:szCs w:val="18"/>
          <w:b w:val="1"/>
          <w:bCs w:val="1"/>
          <w:color w:val="auto"/>
        </w:rPr>
      </w:pPr>
    </w:p>
    <w:p>
      <w:pPr>
        <w:ind w:lef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significant accounting policies are described in Note 2 to the Company’s 2023 Form 10-K, filed with the SEC, on March 13, 2024. There have been no material changes to the Company’s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revenues are disaggregated as follows:</w:t>
      </w:r>
    </w:p>
    <w:p>
      <w:pPr>
        <w:spacing w:after="0" w:line="390" w:lineRule="exact"/>
        <w:rPr>
          <w:sz w:val="20"/>
          <w:szCs w:val="20"/>
          <w:color w:val="auto"/>
        </w:rPr>
      </w:pPr>
    </w:p>
    <w:tbl>
      <w:tblPr>
        <w:tblLayout w:type="fixed"/>
        <w:tblInd w:w="760" w:type="dxa"/>
        <w:tblCellMar>
          <w:top w:w="0" w:type="dxa"/>
          <w:left w:w="0" w:type="dxa"/>
          <w:bottom w:w="0" w:type="dxa"/>
          <w:right w:w="0" w:type="dxa"/>
        </w:tblCellMar>
      </w:tblPr>
      <w:tr>
        <w:trPr>
          <w:trHeight w:val="225"/>
        </w:trPr>
        <w:tc>
          <w:tcPr>
            <w:tcW w:w="2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3"/>
        </w:trPr>
        <w:tc>
          <w:tcPr>
            <w:tcW w:w="2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Dispensary</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106,093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114,038</w:t>
            </w:r>
          </w:p>
        </w:tc>
        <w:tc>
          <w:tcPr>
            <w:tcW w:w="160" w:type="dxa"/>
            <w:vAlign w:val="bottom"/>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213,331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223,194</w:t>
            </w: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Cultivation and wholesale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19,097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15,190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30,552</w:t>
            </w:r>
          </w:p>
        </w:tc>
      </w:tr>
      <w:tr>
        <w:trPr>
          <w:trHeight w:val="24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28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125,190</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129,244</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247,801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253,779</w:t>
            </w:r>
          </w:p>
        </w:tc>
      </w:tr>
      <w:tr>
        <w:trPr>
          <w:trHeight w:val="20"/>
        </w:trPr>
        <w:tc>
          <w:tcPr>
            <w:tcW w:w="2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-179705</wp:posOffset>
            </wp:positionV>
            <wp:extent cx="111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-179705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5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netted discounts of $37,505 and $73,884, respectively, against the revenues. During the three and six months ended June 30, 2023, the Company netted discounts of $34,539 and $67,764, respectively, against the revenues, respectively. Discounts are provided by the Company during promotional days or weekends. Discounts are also provided to employees, seniors and other categories of customers and may include price reductions and coupons.</w:t>
      </w:r>
    </w:p>
    <w:p>
      <w:pPr>
        <w:spacing w:after="0" w:line="10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tab/>
        <w:t>INVENTORY</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inventory are shown in the table below:</w:t>
      </w:r>
    </w:p>
    <w:p>
      <w:pPr>
        <w:spacing w:after="0" w:line="174" w:lineRule="exact"/>
        <w:rPr>
          <w:sz w:val="20"/>
          <w:szCs w:val="20"/>
          <w:color w:val="auto"/>
        </w:rPr>
      </w:pPr>
    </w:p>
    <w:tbl>
      <w:tblPr>
        <w:tblLayout w:type="fixed"/>
        <w:tblInd w:w="1240" w:type="dxa"/>
        <w:tblCellMar>
          <w:top w:w="0" w:type="dxa"/>
          <w:left w:w="0" w:type="dxa"/>
          <w:bottom w:w="0" w:type="dxa"/>
          <w:right w:w="0" w:type="dxa"/>
        </w:tblCellMar>
      </w:tblPr>
      <w:tr>
        <w:trPr>
          <w:trHeight w:val="225"/>
        </w:trPr>
        <w:tc>
          <w:tcPr>
            <w:tcW w:w="5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9"/>
                <w:szCs w:val="19"/>
                <w:color w:val="auto"/>
              </w:rPr>
            </w:pPr>
          </w:p>
        </w:tc>
        <w:tc>
          <w:tcPr>
            <w:tcW w:w="15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Accessories and supplies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1,483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1,158</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 - cannabis in cures and final vault</w:t>
            </w:r>
          </w:p>
        </w:tc>
        <w:tc>
          <w:tcPr>
            <w:tcW w:w="22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89,936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86,396</w:t>
            </w:r>
          </w:p>
        </w:tc>
      </w:tr>
      <w:tr>
        <w:trPr>
          <w:trHeight w:val="23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 - dried cannabis, concentrate and edible products</w:t>
            </w: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24,712</w:t>
            </w:r>
          </w:p>
        </w:tc>
        <w:tc>
          <w:tcPr>
            <w:tcW w:w="1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24,079</w:t>
            </w:r>
          </w:p>
        </w:tc>
      </w:tr>
      <w:tr>
        <w:trPr>
          <w:trHeight w:val="22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116,131</w:t>
            </w:r>
          </w:p>
        </w:tc>
        <w:tc>
          <w:tcPr>
            <w:tcW w:w="6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111,633</w:t>
            </w: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-179705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6"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The inventory values are net of inventory write-downs as a result of obsolescence or unmarketability charged to cost of sales. As a result of certain restructuring efforts, there were write-downs of $211 and $5,617, respectively, during the three and six months ended June 30, 2024. As a result of certain restructuring efforts, there were write-downs of $36 and $637, respectively, during the three and six months ended June 30, 2023.</w:t>
      </w:r>
    </w:p>
    <w:p>
      <w:pPr>
        <w:spacing w:after="0" w:line="200" w:lineRule="exact"/>
        <w:rPr>
          <w:sz w:val="20"/>
          <w:szCs w:val="20"/>
          <w:color w:val="auto"/>
        </w:rPr>
      </w:pPr>
    </w:p>
    <w:p>
      <w:pPr>
        <w:spacing w:after="0" w:line="29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AND LONG-TERM DEBT</w:t>
      </w:r>
    </w:p>
    <w:p>
      <w:pPr>
        <w:spacing w:after="0" w:line="16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long-term obligations, net, are shown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80" w:type="dxa"/>
            <w:vAlign w:val="bottom"/>
            <w:shd w:val="clear" w:color="auto" w:fill="CFF0FC"/>
          </w:tcPr>
          <w:p>
            <w:pPr>
              <w:spacing w:after="0"/>
              <w:rPr>
                <w:sz w:val="19"/>
                <w:szCs w:val="19"/>
                <w:color w:val="auto"/>
              </w:rPr>
            </w:pPr>
          </w:p>
        </w:tc>
      </w:tr>
      <w:tr>
        <w:trPr>
          <w:trHeight w:val="22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2024 Notes</w:t>
            </w:r>
          </w:p>
        </w:tc>
        <w:tc>
          <w:tcPr>
            <w:tcW w:w="22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80" w:type="dxa"/>
            <w:vAlign w:val="bottom"/>
          </w:tcPr>
          <w:p>
            <w:pPr>
              <w:spacing w:after="0"/>
              <w:rPr>
                <w:sz w:val="19"/>
                <w:szCs w:val="19"/>
                <w:color w:val="auto"/>
              </w:rPr>
            </w:pPr>
          </w:p>
        </w:tc>
      </w:tr>
      <w:tr>
        <w:trPr>
          <w:trHeight w:val="239"/>
        </w:trPr>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25,550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80" w:type="dxa"/>
            <w:vAlign w:val="bottom"/>
          </w:tcPr>
          <w:p>
            <w:pPr>
              <w:spacing w:after="0"/>
              <w:rPr>
                <w:sz w:val="19"/>
                <w:szCs w:val="19"/>
                <w:color w:val="auto"/>
              </w:rPr>
            </w:pPr>
          </w:p>
        </w:tc>
      </w:tr>
      <w:tr>
        <w:trPr>
          <w:trHeight w:val="239"/>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43,221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80" w:type="dxa"/>
            <w:vAlign w:val="bottom"/>
            <w:shd w:val="clear" w:color="auto" w:fill="CFF0FC"/>
          </w:tcPr>
          <w:p>
            <w:pPr>
              <w:spacing w:after="0"/>
              <w:rPr>
                <w:sz w:val="20"/>
                <w:szCs w:val="20"/>
                <w:color w:val="auto"/>
              </w:rPr>
            </w:pPr>
          </w:p>
        </w:tc>
      </w:tr>
      <w:tr>
        <w:trPr>
          <w:trHeight w:val="223"/>
        </w:trPr>
        <w:tc>
          <w:tcPr>
            <w:tcW w:w="54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Acquisition related promissory notes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FF0FC"/>
            </w:tcBorders>
          </w:tcPr>
          <w:p>
            <w:pPr>
              <w:spacing w:after="0"/>
              <w:rPr>
                <w:sz w:val="19"/>
                <w:szCs w:val="19"/>
                <w:color w:val="auto"/>
              </w:rPr>
            </w:pPr>
          </w:p>
        </w:tc>
      </w:tr>
      <w:tr>
        <w:trPr>
          <w:trHeight w:val="230"/>
        </w:trPr>
        <w:tc>
          <w:tcPr>
            <w:tcW w:w="360" w:type="dxa"/>
            <w:vAlign w:val="bottom"/>
            <w:shd w:val="clear" w:color="auto" w:fill="CFF0FC"/>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317,728</w:t>
            </w:r>
          </w:p>
        </w:tc>
        <w:tc>
          <w:tcPr>
            <w:tcW w:w="80" w:type="dxa"/>
            <w:vAlign w:val="bottom"/>
            <w:shd w:val="clear" w:color="auto" w:fill="CFF0FC"/>
          </w:tcPr>
          <w:p>
            <w:pPr>
              <w:spacing w:after="0"/>
              <w:rPr>
                <w:sz w:val="19"/>
                <w:szCs w:val="19"/>
                <w:color w:val="auto"/>
              </w:rPr>
            </w:pPr>
          </w:p>
        </w:tc>
      </w:tr>
      <w:tr>
        <w:trPr>
          <w:trHeight w:val="22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2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(9,243 )</w:t>
            </w:r>
          </w:p>
        </w:tc>
        <w:tc>
          <w:tcPr>
            <w:tcW w:w="10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(6,598 )</w:t>
            </w:r>
          </w:p>
        </w:tc>
      </w:tr>
      <w:tr>
        <w:trPr>
          <w:trHeight w:val="239"/>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(6,747 )</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(7,747 )</w:t>
            </w:r>
          </w:p>
        </w:tc>
      </w:tr>
      <w:tr>
        <w:trPr>
          <w:trHeight w:val="213"/>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298,031</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303,383</w:t>
            </w:r>
          </w:p>
        </w:tc>
        <w:tc>
          <w:tcPr>
            <w:tcW w:w="80" w:type="dxa"/>
            <w:vAlign w:val="bottom"/>
          </w:tcPr>
          <w:p>
            <w:pPr>
              <w:spacing w:after="0"/>
              <w:rPr>
                <w:sz w:val="18"/>
                <w:szCs w:val="18"/>
                <w:color w:val="auto"/>
              </w:rPr>
            </w:pPr>
          </w:p>
        </w:tc>
      </w:tr>
      <w:tr>
        <w:trPr>
          <w:trHeight w:val="233"/>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net*</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(50,575 )</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(5,905 )</w:t>
            </w:r>
          </w:p>
        </w:tc>
      </w:tr>
      <w:tr>
        <w:trPr>
          <w:trHeight w:val="223"/>
        </w:trPr>
        <w:tc>
          <w:tcPr>
            <w:tcW w:w="54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247,456</w:t>
            </w: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297,478</w:t>
            </w:r>
          </w:p>
        </w:tc>
        <w:tc>
          <w:tcPr>
            <w:tcW w:w="80" w:type="dxa"/>
            <w:vAlign w:val="bottom"/>
            <w:tcBorders>
              <w:top w:val="single" w:sz="8" w:color="CFF0FC"/>
            </w:tcBorders>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-925195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-179705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0"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162"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and was not in default of any provisions under any of its debt arrangements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described in Note 4 under the sub-heading “Term debt” of the Financial Statements incorporated by reference in the Company’s Form 10-K for the year ended December 31, 2023, on October 23, 2023, the Company retired $25 million of its 13% Notes due May 2024 (the “2024 Notes”) through a proportional redemption process.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require interest-only payments through May 14, 2024, at a rate of 13.0% per annum, payable semi-annually on May 31 and November 30, which commenced on November 30, 2020. The 2024 Notes were paid in full on May 14, 2024. The Company incurred financing costs of $3,373 in connection with the issuance of these 2024 Notes. The 2024 Notes contain customary terms and conditions, representations and warranties, and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 Through June 30, 2024, 655,736 shares were issued to convert $200 principal.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are denominated in U.S. dollars. As the functional currency of the Company is Canadian dollars, the amount of the liability to be settled depends on the applicable foreign exchange rate on the date of settlement. The 2027 Convertible Notes therefore represent an obligation to issue a fixed number of shares for a variable amount of liability. Due to this conversion feature within the 2027 Convertible Notes, the Company is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$74,500.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w:t>
      </w:r>
    </w:p>
    <w:p>
      <w:pPr>
        <w:spacing w:after="0" w:line="19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3"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price of the 2025 Convertible Notes at a Redemption Price equal to 100.0% of the principal amount of the 2025 Convertible Notes redeemed, plus accrued but unpaid interest, if any, up to but excluding the Redemption Date.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22, 2024, the Company entered into the Exchange Agreement with certain Holders of the Company’s 6.0% senior secured 2025 Convertible Notes, pursuant to which the Company agreed to the Repurchase of up to $25 million principal amount of the 2025 Convertible Notes in exchange for Common Shares (the “January 2024 Debt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333" w:lineRule="exact"/>
        <w:rPr>
          <w:sz w:val="20"/>
          <w:szCs w:val="20"/>
          <w:color w:val="auto"/>
        </w:rPr>
      </w:pPr>
    </w:p>
    <w:p>
      <w:pPr>
        <w:jc w:val="both"/>
        <w:ind w:left="640" w:right="20" w:hanging="503"/>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Notes in consideration of Common Shares issued at a price per Common Share equal to the greater of C$0.41 per Common Share and the 12.5% discount to the 5-day volume weighted average price of the Common Shares on Cboe prior to receipt of a Transfer notice;</w:t>
      </w:r>
    </w:p>
    <w:p>
      <w:pPr>
        <w:spacing w:after="0" w:line="67" w:lineRule="exact"/>
        <w:rPr>
          <w:rFonts w:ascii="Times New Roman" w:cs="Times New Roman" w:eastAsia="Times New Roman" w:hAnsi="Times New Roman"/>
          <w:sz w:val="18"/>
          <w:szCs w:val="18"/>
          <w:color w:val="auto"/>
        </w:rPr>
      </w:pPr>
    </w:p>
    <w:p>
      <w:pPr>
        <w:jc w:val="both"/>
        <w:ind w:left="640" w:hanging="503"/>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67" w:lineRule="exact"/>
        <w:rPr>
          <w:rFonts w:ascii="Times New Roman" w:cs="Times New Roman" w:eastAsia="Times New Roman" w:hAnsi="Times New Roman"/>
          <w:sz w:val="18"/>
          <w:szCs w:val="18"/>
          <w:color w:val="auto"/>
        </w:rPr>
      </w:pPr>
    </w:p>
    <w:p>
      <w:pPr>
        <w:jc w:val="both"/>
        <w:ind w:left="640" w:hanging="503"/>
        <w:spacing w:after="0" w:line="254"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2024, (which date the parties extended to September 30, 2024, by amendment dated June 30, 2024), transfer in three separate equal tranches, an aggregate of $15 million principal amount of 2025 Convertible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June 30, 2024 (which date the parties extended to September 30, 2024, by amendment dated June 30, 2024).</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 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June 30, 2024, $10 million of the potential $25 million exchange has been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$20,000 mortgage on real property in New York and carries interest at a variable rate per annum equal to the Wall Street Prime Rate (“Index”) plus 2.25%. The debt is repayable in 59 monthly installments and a final balloon payment due on January 1, 2027, which is estimated at $18,133 as of September 30, 2023. In connection with this mortgage, the Company incurred financing costs of $655.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$16,500 mortgage on real property in New Jersey and carries interest at a variable rate per annum equal to the Index plus 2.25%. The debt</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11" w:name="page12"/>
    <w:bookmarkEnd w:id="11"/>
    <w:p>
      <w:pPr>
        <w:ind w:left="380"/>
        <w:spacing w:after="0" w:line="282" w:lineRule="auto"/>
        <w:rPr>
          <w:sz w:val="20"/>
          <w:szCs w:val="20"/>
          <w:color w:val="auto"/>
        </w:rPr>
      </w:pPr>
      <w:r>
        <w:rPr>
          <w:rFonts w:ascii="Times New Roman" w:cs="Times New Roman" w:eastAsia="Times New Roman" w:hAnsi="Times New Roman"/>
          <w:sz w:val="18"/>
          <w:szCs w:val="18"/>
          <w:color w:val="auto"/>
        </w:rPr>
        <w:t>is repayable in 59 monthly installments and a final balloon payment due on July 15, 2027, which is estimated at $15,734 as of September 30, 2023. In connection with this mortgage, the Company incurred financing costs of $209.</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6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second agreement provides for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incurred financing costs of $77 and netted $1,723.</w:t>
      </w:r>
    </w:p>
    <w:p>
      <w:pPr>
        <w:spacing w:after="0" w:line="176"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Total interest and amortization expense on the Company’s debt obligations during the three and six months ended June 30, 2024 and 2023 are as follows:</w:t>
      </w:r>
    </w:p>
    <w:p>
      <w:pPr>
        <w:spacing w:after="0" w:line="326"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2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June 30, 2023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8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on debt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7,398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10,638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14,713</w:t>
            </w:r>
          </w:p>
        </w:tc>
        <w:tc>
          <w:tcPr>
            <w:tcW w:w="64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21,033</w:t>
            </w:r>
          </w:p>
        </w:tc>
      </w:tr>
      <w:tr>
        <w:trPr>
          <w:trHeight w:val="220"/>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2,651</w:t>
            </w:r>
          </w:p>
        </w:tc>
      </w:tr>
      <w:tr>
        <w:trPr>
          <w:trHeight w:val="23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1,834</w:t>
            </w:r>
          </w:p>
        </w:tc>
      </w:tr>
      <w:tr>
        <w:trPr>
          <w:trHeight w:val="233"/>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interest expense (income), net</w:t>
            </w: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18,750</w:t>
            </w:r>
          </w:p>
        </w:tc>
        <w:tc>
          <w:tcPr>
            <w:tcW w:w="64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25,299</w:t>
            </w:r>
          </w:p>
        </w:tc>
      </w:tr>
      <w:tr>
        <w:trPr>
          <w:trHeight w:val="20"/>
        </w:trPr>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-179070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-179070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-179070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9.05%.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property and equipment and related depreciation expense are summarized in the tables below:</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and buildings</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c>
          <w:tcPr>
            <w:tcW w:w="2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c>
          <w:tcPr>
            <w:tcW w:w="80" w:type="dxa"/>
            <w:vAlign w:val="bottom"/>
            <w:shd w:val="clear" w:color="auto" w:fill="CFF0FC"/>
          </w:tcPr>
          <w:p>
            <w:pPr>
              <w:spacing w:after="0"/>
              <w:rPr>
                <w:sz w:val="19"/>
                <w:szCs w:val="19"/>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8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43,497</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43,123</w:t>
            </w:r>
          </w:p>
        </w:tc>
        <w:tc>
          <w:tcPr>
            <w:tcW w:w="80" w:type="dxa"/>
            <w:vAlign w:val="bottom"/>
            <w:shd w:val="clear" w:color="auto" w:fill="CFF0FC"/>
          </w:tcPr>
          <w:p>
            <w:pPr>
              <w:spacing w:after="0"/>
              <w:rPr>
                <w:sz w:val="20"/>
                <w:szCs w:val="20"/>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Computers and software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236,956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207,846</w:t>
            </w:r>
          </w:p>
        </w:tc>
        <w:tc>
          <w:tcPr>
            <w:tcW w:w="80" w:type="dxa"/>
            <w:vAlign w:val="bottom"/>
            <w:shd w:val="clear" w:color="auto" w:fill="CFF0FC"/>
          </w:tcPr>
          <w:p>
            <w:pPr>
              <w:spacing w:after="0"/>
              <w:rPr>
                <w:sz w:val="20"/>
                <w:szCs w:val="20"/>
                <w:color w:val="auto"/>
              </w:rPr>
            </w:pPr>
          </w:p>
        </w:tc>
      </w:tr>
      <w:tr>
        <w:trPr>
          <w:trHeight w:val="22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33,429</w:t>
            </w:r>
          </w:p>
        </w:tc>
        <w:tc>
          <w:tcPr>
            <w:tcW w:w="80" w:type="dxa"/>
            <w:vAlign w:val="bottom"/>
          </w:tcPr>
          <w:p>
            <w:pPr>
              <w:spacing w:after="0"/>
              <w:rPr>
                <w:sz w:val="19"/>
                <w:szCs w:val="19"/>
                <w:color w:val="auto"/>
              </w:rPr>
            </w:pPr>
          </w:p>
        </w:tc>
      </w:tr>
      <w:tr>
        <w:trPr>
          <w:trHeight w:val="226"/>
        </w:trPr>
        <w:tc>
          <w:tcPr>
            <w:tcW w:w="5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gross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417,210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414,689</w:t>
            </w:r>
          </w:p>
        </w:tc>
        <w:tc>
          <w:tcPr>
            <w:tcW w:w="80" w:type="dxa"/>
            <w:vAlign w:val="bottom"/>
            <w:shd w:val="clear" w:color="auto" w:fill="CFF0FC"/>
          </w:tcPr>
          <w:p>
            <w:pPr>
              <w:spacing w:after="0"/>
              <w:rPr>
                <w:sz w:val="19"/>
                <w:szCs w:val="19"/>
                <w:color w:val="auto"/>
              </w:rPr>
            </w:pPr>
          </w:p>
        </w:tc>
      </w:tr>
      <w:tr>
        <w:trPr>
          <w:trHeight w:val="227"/>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(132,776 )</w:t>
            </w:r>
          </w:p>
        </w:tc>
        <w:tc>
          <w:tcPr>
            <w:tcW w:w="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(116,191 )</w:t>
            </w:r>
          </w:p>
        </w:tc>
      </w:tr>
      <w:tr>
        <w:trPr>
          <w:trHeight w:val="266"/>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284,434</w:t>
            </w:r>
          </w:p>
        </w:tc>
        <w:tc>
          <w:tcPr>
            <w:tcW w:w="2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298,498</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580" w:type="dxa"/>
            <w:vAlign w:val="bottom"/>
            <w:tcBorders>
              <w:bottom w:val="single" w:sz="8" w:color="auto"/>
            </w:tcBorders>
          </w:tcPr>
          <w:p>
            <w:pPr>
              <w:spacing w:after="0"/>
              <w:rPr>
                <w:sz w:val="19"/>
                <w:szCs w:val="19"/>
                <w:color w:val="auto"/>
              </w:rPr>
            </w:pPr>
          </w:p>
        </w:tc>
      </w:tr>
      <w:tr>
        <w:trPr>
          <w:trHeight w:val="223"/>
        </w:trPr>
        <w:tc>
          <w:tcPr>
            <w:tcW w:w="404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depreciation expense for three and six months ended</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8,314</w:t>
            </w:r>
          </w:p>
        </w:tc>
        <w:tc>
          <w:tcPr>
            <w:tcW w:w="760" w:type="dxa"/>
            <w:vAlign w:val="bottom"/>
            <w:gridSpan w:val="2"/>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7,644</w:t>
            </w:r>
          </w:p>
        </w:tc>
        <w:tc>
          <w:tcPr>
            <w:tcW w:w="4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16,652</w:t>
            </w:r>
          </w:p>
        </w:tc>
        <w:tc>
          <w:tcPr>
            <w:tcW w:w="64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15,497</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Included in: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of sales related to inventory production</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5,216</w:t>
            </w:r>
          </w:p>
        </w:tc>
        <w:tc>
          <w:tcPr>
            <w:tcW w:w="760" w:type="dxa"/>
            <w:vAlign w:val="bottom"/>
            <w:gridSpan w:val="2"/>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10,417</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9,225</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3,098</w:t>
            </w: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6,235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6,272</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prepaid expenses and other current assets are summarized in the table below:</w:t>
      </w:r>
    </w:p>
    <w:p>
      <w:pPr>
        <w:spacing w:after="0" w:line="174" w:lineRule="exact"/>
        <w:rPr>
          <w:sz w:val="20"/>
          <w:szCs w:val="20"/>
          <w:color w:val="auto"/>
        </w:rPr>
      </w:pPr>
    </w:p>
    <w:tbl>
      <w:tblPr>
        <w:tblLayout w:type="fixed"/>
        <w:tblInd w:w="120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6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11,819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8,486</w:t>
            </w:r>
          </w:p>
        </w:tc>
      </w:tr>
      <w:tr>
        <w:trPr>
          <w:trHeight w:val="22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 term deposits</w:t>
            </w:r>
          </w:p>
        </w:tc>
        <w:tc>
          <w:tcPr>
            <w:tcW w:w="1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1,148</w:t>
            </w:r>
          </w:p>
        </w:tc>
      </w:tr>
      <w:tr>
        <w:trPr>
          <w:trHeight w:val="23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1,401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12,023</w:t>
            </w:r>
          </w:p>
        </w:tc>
      </w:tr>
      <w:tr>
        <w:trPr>
          <w:trHeight w:val="22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and sales tax receivable</w:t>
            </w:r>
          </w:p>
        </w:tc>
        <w:tc>
          <w:tcPr>
            <w:tcW w:w="1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w:t>
            </w:r>
          </w:p>
        </w:tc>
      </w:tr>
      <w:tr>
        <w:trPr>
          <w:trHeight w:val="23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taxes</w:t>
            </w:r>
          </w:p>
        </w:tc>
        <w:tc>
          <w:tcPr>
            <w:tcW w:w="1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753</w:t>
            </w:r>
          </w:p>
        </w:tc>
      </w:tr>
      <w:tr>
        <w:trPr>
          <w:trHeight w:val="21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15,190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22,777</w:t>
            </w: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The decrease in other current assets includes the resolution of a previously disclosed lawsuit relating to the Green Leaf Transaction, as disclosed in the Company's Form 10-Q for the quarter-ending March 31, 2024.</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OTHER NON-CURRENT ASSETS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other non-current assets are summarized in the table below:</w:t>
      </w:r>
    </w:p>
    <w:p>
      <w:pPr>
        <w:spacing w:after="0" w:line="174"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6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8,721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8,686</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1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775</w:t>
            </w:r>
          </w:p>
        </w:tc>
      </w:tr>
      <w:tr>
        <w:trPr>
          <w:trHeight w:val="239"/>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3,573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3,573</w:t>
            </w:r>
          </w:p>
        </w:tc>
      </w:tr>
      <w:tr>
        <w:trPr>
          <w:trHeight w:val="223"/>
        </w:trPr>
        <w:tc>
          <w:tcPr>
            <w:tcW w:w="6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2,048</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2,082</w:t>
            </w:r>
          </w:p>
        </w:tc>
      </w:tr>
      <w:tr>
        <w:trPr>
          <w:trHeight w:val="263"/>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15,117</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ACCRUED EXPENSES AND OTHER CURRENT LIABILITIES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accrued expenses and other current liabilities are summarized in the table below:</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 property and other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11,697</w:t>
            </w:r>
          </w:p>
        </w:tc>
        <w:tc>
          <w:tcPr>
            <w:tcW w:w="66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12,067</w:t>
            </w: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13,837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26,323</w:t>
            </w: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liabilities</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10,905</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13,260</w:t>
            </w:r>
          </w:p>
        </w:tc>
      </w:tr>
      <w:tr>
        <w:trPr>
          <w:trHeight w:val="223"/>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7,860</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7,009</w:t>
            </w:r>
          </w:p>
        </w:tc>
      </w:tr>
      <w:tr>
        <w:trPr>
          <w:trHeight w:val="26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44,299</w:t>
            </w:r>
          </w:p>
        </w:tc>
        <w:tc>
          <w:tcPr>
            <w:tcW w:w="1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93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93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-179070</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26"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The change in other accrued expenses includes the resolution of a previously disclosed lawsuit relating to the Green Leaf Transaction, as disclosed in the Company's Form 10-Q for the quarter-ending March 31,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SHAREHOLDERS’ EQUITY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had the following activity during the three and six months ended June 30, 2024:</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8,225,383 Common Shares upon vesting of Restricted Stock Units (RSUs) during the six months ended June 30,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25,845,259 Common Shares in connection with the January 2024 Debt Exchange (as defined below and further detailed in Note 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655,736 Common Shares in connection with the 2027 Convertible Notes in exchange for principal debt of $200.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4,845,359 Common Shares to resolve a lawsuit relating to the Green Leaf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and December 31, 2023, outstanding equity-classified warrants to purchase Common Shares consisted of the following:</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Borders>
              <w:bottom w:val="single" w:sz="8" w:color="auto"/>
            </w:tcBorders>
            <w:gridSpan w:val="4"/>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9"/>
                <w:szCs w:val="19"/>
                <w:color w:val="auto"/>
              </w:rPr>
            </w:pPr>
          </w:p>
        </w:tc>
        <w:tc>
          <w:tcPr>
            <w:tcW w:w="368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0"/>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7"/>
                <w:szCs w:val="17"/>
                <w:color w:val="auto"/>
              </w:rPr>
            </w:pPr>
          </w:p>
        </w:tc>
        <w:tc>
          <w:tcPr>
            <w:tcW w:w="1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25"/>
        </w:trPr>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Issued and Exercisable</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Issued and Exercisable</w:t>
            </w:r>
          </w:p>
        </w:tc>
        <w:tc>
          <w:tcPr>
            <w:tcW w:w="120" w:type="dxa"/>
            <w:vAlign w:val="bottom"/>
          </w:tcPr>
          <w:p>
            <w:pPr>
              <w:spacing w:after="0"/>
              <w:rPr>
                <w:sz w:val="19"/>
                <w:szCs w:val="19"/>
                <w:color w:val="auto"/>
              </w:rPr>
            </w:pPr>
          </w:p>
        </w:tc>
        <w:tc>
          <w:tcPr>
            <w:tcW w:w="16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(Canadian Dollars)</w:t>
            </w:r>
          </w:p>
        </w:tc>
      </w:tr>
      <w:tr>
        <w:trPr>
          <w:trHeight w:val="229"/>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21,2026</w:t>
            </w:r>
          </w:p>
        </w:tc>
        <w:tc>
          <w:tcPr>
            <w:tcW w:w="1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11,122,105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w:t>
            </w:r>
          </w:p>
        </w:tc>
        <w:tc>
          <w:tcPr>
            <w:tcW w:w="2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11,122,105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r>
      <w:tr>
        <w:trPr>
          <w:trHeight w:val="220"/>
        </w:trPr>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1, 2025</w:t>
            </w: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648,783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8.12</w:t>
            </w:r>
          </w:p>
        </w:tc>
        <w:tc>
          <w:tcPr>
            <w:tcW w:w="2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648,783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8.12</w:t>
            </w:r>
          </w:p>
        </w:tc>
      </w:tr>
      <w:tr>
        <w:trPr>
          <w:trHeight w:val="239"/>
        </w:trPr>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April 26, 2024</w:t>
            </w:r>
          </w:p>
        </w:tc>
        <w:tc>
          <w:tcPr>
            <w:tcW w:w="1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w:t>
            </w:r>
          </w:p>
        </w:tc>
        <w:tc>
          <w:tcPr>
            <w:tcW w:w="2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5,394,945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w:t>
            </w:r>
          </w:p>
        </w:tc>
      </w:tr>
      <w:tr>
        <w:trPr>
          <w:trHeight w:val="223"/>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11,770,888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17,165,833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Warrant activity for the six months ended June 30, 2024 and 2023 are summarized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9"/>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76"/>
        </w:trPr>
        <w:tc>
          <w:tcPr>
            <w:tcW w:w="466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(Canadian Dollars)</w:t>
            </w: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20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11,482,766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7.22</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16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(5,439,038 )</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4.01</w:t>
            </w:r>
          </w:p>
        </w:tc>
      </w:tr>
      <w:tr>
        <w:trPr>
          <w:trHeight w:val="263"/>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60" w:type="dxa"/>
            <w:vAlign w:val="bottom"/>
            <w:tcBorders>
              <w:bottom w:val="single" w:sz="8" w:color="CFF0FC"/>
            </w:tcBorders>
            <w:shd w:val="clear" w:color="auto" w:fill="CFF0FC"/>
          </w:tcPr>
          <w:p>
            <w:pPr>
              <w:spacing w:after="0"/>
              <w:rPr>
                <w:sz w:val="22"/>
                <w:szCs w:val="22"/>
                <w:color w:val="auto"/>
              </w:rPr>
            </w:pP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6,043,728</w:t>
            </w:r>
          </w:p>
        </w:tc>
        <w:tc>
          <w:tcPr>
            <w:tcW w:w="18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10.11</w:t>
            </w:r>
          </w:p>
        </w:tc>
      </w:tr>
      <w:tr>
        <w:trPr>
          <w:trHeight w:val="666"/>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17,165,833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r>
      <w:tr>
        <w:trPr>
          <w:trHeight w:val="233"/>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6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(5,394,945 )</w:t>
            </w:r>
          </w:p>
        </w:tc>
        <w:tc>
          <w:tcPr>
            <w:tcW w:w="1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2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11,770,888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2.30</w:t>
            </w: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LOSS PER SHARE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attributable to the Company was calculated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3"/>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June 30, 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June 30, 2023</w:t>
            </w: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0"/>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(13,643 )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(48,211 )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(65,609 )</w:t>
            </w:r>
          </w:p>
        </w:tc>
      </w:tr>
      <w:tr>
        <w:trPr>
          <w:trHeight w:val="23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Net profit / (loss) attributable to non-controlling interests</w:t>
            </w: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594</w:t>
            </w:r>
          </w:p>
        </w:tc>
      </w:tr>
      <w:tr>
        <w:trPr>
          <w:trHeight w:val="223"/>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(14,341 )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(28,863 )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(49,414 )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(66,203 )</w:t>
            </w: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460,653,957</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405,782,234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453,143,911</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403,622,389</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(0.16 )</w:t>
            </w: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-796290</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-796290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-796290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-179070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Certain share-based equity awards were excluded from the computation of dilutive loss per share because inclusion of these awards would have had an anti-dilutive effect.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2"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20"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left="380" w:right="5400" w:hanging="372"/>
        <w:spacing w:after="0" w:line="417" w:lineRule="auto"/>
        <w:tabs>
          <w:tab w:leader="none" w:pos="32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FAIR VALUE MEASUREMENTS </w:t>
      </w:r>
      <w:r>
        <w:rPr>
          <w:rFonts w:ascii="Times New Roman" w:cs="Times New Roman" w:eastAsia="Times New Roman" w:hAnsi="Times New Roman"/>
          <w:sz w:val="18"/>
          <w:szCs w:val="18"/>
          <w:i w:val="1"/>
          <w:iCs w:val="1"/>
          <w:u w:val="single" w:color="auto"/>
          <w:color w:val="auto"/>
        </w:rPr>
        <w:t>Fair Value Measurements</w:t>
      </w: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instruments that are measured at fair value on a recurring basis: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(2,448 )</w:t>
            </w:r>
          </w:p>
        </w:tc>
      </w:tr>
      <w:tr>
        <w:trPr>
          <w:trHeight w:val="260"/>
        </w:trPr>
        <w:tc>
          <w:tcPr>
            <w:tcW w:w="46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(2,448 )</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(2,448 )</w:t>
            </w:r>
          </w:p>
        </w:tc>
      </w:tr>
      <w:tr>
        <w:trPr>
          <w:trHeight w:val="216"/>
        </w:trPr>
        <w:tc>
          <w:tcPr>
            <w:tcW w:w="46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60"/>
        </w:trPr>
        <w:tc>
          <w:tcPr>
            <w:tcW w:w="46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-642620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-624840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-642620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-624840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-642620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-624840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period included in these financial statements, there were no transfers of amounts between levels.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valuation techniques and key inputs used in the fair value measurement of Level 3 financial instruments: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2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Financial asset/financial</w:t>
            </w:r>
          </w:p>
        </w:tc>
        <w:tc>
          <w:tcPr>
            <w:tcW w:w="19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1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of unobservable</w:t>
            </w:r>
          </w:p>
        </w:tc>
        <w:tc>
          <w:tcPr>
            <w:tcW w:w="0" w:type="dxa"/>
            <w:vAlign w:val="bottom"/>
          </w:tcPr>
          <w:p>
            <w:pPr>
              <w:spacing w:after="0"/>
              <w:rPr>
                <w:sz w:val="1"/>
                <w:szCs w:val="1"/>
                <w:color w:val="auto"/>
              </w:rPr>
            </w:pPr>
          </w:p>
        </w:tc>
      </w:tr>
      <w:tr>
        <w:trPr>
          <w:trHeight w:val="104"/>
        </w:trPr>
        <w:tc>
          <w:tcPr>
            <w:tcW w:w="22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liability</w:t>
            </w:r>
          </w:p>
        </w:tc>
        <w:tc>
          <w:tcPr>
            <w:tcW w:w="1960" w:type="dxa"/>
            <w:vAlign w:val="bottom"/>
            <w:vMerge w:val="continue"/>
          </w:tcPr>
          <w:p>
            <w:pPr>
              <w:spacing w:after="0"/>
              <w:rPr>
                <w:sz w:val="9"/>
                <w:szCs w:val="9"/>
                <w:color w:val="auto"/>
              </w:rPr>
            </w:pPr>
          </w:p>
        </w:tc>
        <w:tc>
          <w:tcPr>
            <w:tcW w:w="210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to fair value</w:t>
            </w:r>
          </w:p>
        </w:tc>
        <w:tc>
          <w:tcPr>
            <w:tcW w:w="0" w:type="dxa"/>
            <w:vAlign w:val="bottom"/>
          </w:tcPr>
          <w:p>
            <w:pPr>
              <w:spacing w:after="0"/>
              <w:rPr>
                <w:sz w:val="1"/>
                <w:szCs w:val="1"/>
                <w:color w:val="auto"/>
              </w:rPr>
            </w:pPr>
          </w:p>
        </w:tc>
      </w:tr>
      <w:tr>
        <w:trPr>
          <w:trHeight w:val="118"/>
        </w:trPr>
        <w:tc>
          <w:tcPr>
            <w:tcW w:w="22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Derivative liability</w:t>
            </w:r>
          </w:p>
        </w:tc>
        <w:tc>
          <w:tcPr>
            <w:tcW w:w="1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Market approach</w:t>
            </w:r>
          </w:p>
        </w:tc>
        <w:tc>
          <w:tcPr>
            <w:tcW w:w="2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Conversion Period</w:t>
            </w: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or decrease in conversion</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period will result in an increase or</w:t>
            </w: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fair value</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restricted cash, accounts receivable, other current assets, accounts payable, accrued expenses, other current liabilities, the current portion of long-term debt, and lease liability as of June 30, 2024 and December 31, 2023 approximate their fair values because of the short-term nature of these items and are not included in the table above. The Company’s other long-term liabilities and long-term debt approximate fair value due to the market rate of interest used on initial recognition.</w:t>
      </w:r>
    </w:p>
    <w:p>
      <w:pPr>
        <w:spacing w:after="0" w:line="9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June 30, 2024 and December 31, 2023. These estimates require management's judgment and may not be indicative of the future fair values of the assets and liabilities.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GOODWILL AND INTANGIBLE ASSETS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Goodwill and intangible assets consist of the following:</w:t>
      </w:r>
    </w:p>
    <w:p>
      <w:pPr>
        <w:spacing w:after="0" w:line="174" w:lineRule="exact"/>
        <w:rPr>
          <w:sz w:val="20"/>
          <w:szCs w:val="20"/>
          <w:color w:val="auto"/>
        </w:rPr>
      </w:pPr>
    </w:p>
    <w:tbl>
      <w:tblPr>
        <w:tblLayout w:type="fixed"/>
        <w:tblInd w:w="1540" w:type="dxa"/>
        <w:tblCellMar>
          <w:top w:w="0" w:type="dxa"/>
          <w:left w:w="0" w:type="dxa"/>
          <w:bottom w:w="0" w:type="dxa"/>
          <w:right w:w="0" w:type="dxa"/>
        </w:tblCellMar>
      </w:tblPr>
      <w:tr>
        <w:trPr>
          <w:trHeight w:val="225"/>
        </w:trPr>
        <w:tc>
          <w:tcPr>
            <w:tcW w:w="5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19,274</w:t>
            </w: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impairment on goodwill</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(19,274 )</w:t>
            </w:r>
          </w:p>
        </w:tc>
      </w:tr>
      <w:tr>
        <w:trPr>
          <w:trHeight w:val="26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goodwill, net</w:t>
            </w:r>
          </w:p>
        </w:tc>
        <w:tc>
          <w:tcPr>
            <w:tcW w:w="200" w:type="dxa"/>
            <w:vAlign w:val="bottom"/>
            <w:tcBorders>
              <w:bottom w:val="single" w:sz="8" w:color="auto"/>
            </w:tcBorders>
            <w:shd w:val="clear" w:color="auto" w:fill="CFF0FC"/>
          </w:tcPr>
          <w:p>
            <w:pPr>
              <w:spacing w:after="0"/>
              <w:rPr>
                <w:sz w:val="23"/>
                <w:szCs w:val="23"/>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108,371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108,700</w:t>
            </w:r>
          </w:p>
        </w:tc>
      </w:tr>
      <w:tr>
        <w:trPr>
          <w:trHeight w:val="22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20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45,936</w:t>
            </w:r>
          </w:p>
        </w:tc>
      </w:tr>
      <w:tr>
        <w:trPr>
          <w:trHeight w:val="23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15,263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15,263</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169,899</w:t>
            </w:r>
          </w:p>
        </w:tc>
      </w:tr>
      <w:tr>
        <w:trPr>
          <w:trHeight w:val="23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(99,297 )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(93,132 )</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70,273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76,767</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-1087755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-1070610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-479425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-179070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amortization expenses for the three and six months ended June 30, 2024 and 2023 are as follows:</w:t>
      </w:r>
    </w:p>
    <w:p>
      <w:pPr>
        <w:spacing w:after="0" w:line="174" w:lineRule="exact"/>
        <w:rPr>
          <w:sz w:val="20"/>
          <w:szCs w:val="20"/>
          <w:color w:val="auto"/>
        </w:rPr>
      </w:pPr>
    </w:p>
    <w:tbl>
      <w:tblPr>
        <w:tblLayout w:type="fixed"/>
        <w:tblInd w:w="760" w:type="dxa"/>
        <w:tblCellMar>
          <w:top w:w="0" w:type="dxa"/>
          <w:left w:w="0" w:type="dxa"/>
          <w:bottom w:w="0" w:type="dxa"/>
          <w:right w:w="0" w:type="dxa"/>
        </w:tblCellMar>
      </w:tblPr>
      <w:tr>
        <w:trPr>
          <w:trHeight w:val="225"/>
        </w:trPr>
        <w:tc>
          <w:tcPr>
            <w:tcW w:w="4140" w:type="dxa"/>
            <w:vAlign w:val="bottom"/>
          </w:tcPr>
          <w:p>
            <w:pPr>
              <w:spacing w:after="0"/>
              <w:rPr>
                <w:sz w:val="19"/>
                <w:szCs w:val="19"/>
                <w:color w:val="auto"/>
              </w:rPr>
            </w:pPr>
          </w:p>
        </w:tc>
        <w:tc>
          <w:tcPr>
            <w:tcW w:w="276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c>
          <w:tcPr>
            <w:tcW w:w="27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3"/>
        </w:trPr>
        <w:tc>
          <w:tcPr>
            <w:tcW w:w="4140" w:type="dxa"/>
            <w:vAlign w:val="bottom"/>
          </w:tcPr>
          <w:p>
            <w:pPr>
              <w:spacing w:after="0"/>
              <w:rPr>
                <w:sz w:val="19"/>
                <w:szCs w:val="19"/>
                <w:color w:val="auto"/>
              </w:rPr>
            </w:pP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expenses</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2,904</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4,651</w:t>
            </w:r>
          </w:p>
        </w:tc>
        <w:tc>
          <w:tcPr>
            <w:tcW w:w="100" w:type="dxa"/>
            <w:vAlign w:val="bottom"/>
          </w:tcPr>
          <w:p>
            <w:pPr>
              <w:spacing w:after="0"/>
              <w:rPr>
                <w:sz w:val="19"/>
                <w:szCs w:val="19"/>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6,165</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9,454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15. SELLING, GENERAL AND ADMINISTRATIVE EXPENSES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are summarized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22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0"/>
        </w:trPr>
        <w:tc>
          <w:tcPr>
            <w:tcW w:w="4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25"/>
        </w:trPr>
        <w:tc>
          <w:tcPr>
            <w:tcW w:w="4600" w:type="dxa"/>
            <w:vAlign w:val="bottom"/>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13,362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25,191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39,136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53,757</w:t>
            </w:r>
          </w:p>
        </w:tc>
      </w:tr>
      <w:tr>
        <w:trPr>
          <w:trHeight w:val="22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6,137</w:t>
            </w:r>
          </w:p>
        </w:tc>
      </w:tr>
      <w:tr>
        <w:trPr>
          <w:trHeight w:val="23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6,685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8,463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13,765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17,052</w:t>
            </w:r>
          </w:p>
        </w:tc>
      </w:tr>
      <w:tr>
        <w:trPr>
          <w:trHeight w:val="22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Operating facilities costs</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21,075</w:t>
            </w:r>
          </w:p>
        </w:tc>
      </w:tr>
      <w:tr>
        <w:trPr>
          <w:trHeight w:val="23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office and general expenses</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5,335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10,707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4,038</w:t>
            </w:r>
          </w:p>
        </w:tc>
      </w:tr>
      <w:tr>
        <w:trPr>
          <w:trHeight w:val="22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Advertising and promotion</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3,170</w:t>
            </w:r>
          </w:p>
        </w:tc>
      </w:tr>
      <w:tr>
        <w:trPr>
          <w:trHeight w:val="233"/>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fees and expenses</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2,194</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selling, general and administrative expenses</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52,073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107,423</w:t>
            </w:r>
          </w:p>
        </w:tc>
      </w:tr>
      <w:tr>
        <w:trPr>
          <w:trHeight w:val="20"/>
        </w:trPr>
        <w:tc>
          <w:tcPr>
            <w:tcW w:w="4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-179070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-179070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 NET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expense, net is summarized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0"/>
        </w:trPr>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25"/>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the derivative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2,329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Loss on deconsolidation</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2,473</w:t>
            </w: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4,542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3,244</w:t>
            </w: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of group</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9,649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9,049</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Rental income</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(1,747 )</w:t>
            </w:r>
          </w:p>
        </w:tc>
      </w:tr>
      <w:tr>
        <w:trPr>
          <w:trHeight w:val="263"/>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8,996</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7"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recorded $4,542 and $3,244 in restructuring expense. As of June 30, 2024. the balance outstanding on the Company’s restructuring reserve was $4,731.</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Utah Business Divestiture</w:t>
      </w:r>
    </w:p>
    <w:p>
      <w:pPr>
        <w:spacing w:after="0" w:line="160"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was divested for gross proceeds of approximately $6.5 million, with approximately $3.9 million due on closing of the transaction, and a $2.6 million Seller note payable to the Company not later than July 2025. The sale of the Utah assets was completed on March 7, 2024.</w:t>
      </w:r>
    </w:p>
    <w:p>
      <w:pPr>
        <w:spacing w:after="0" w:line="99"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As of June 30, 2024, no assets or liabilities of the disposed-of business remained on our consolidated balance sheets. The table below summarizes the operating results of Columbia Care UT, LLC for the three and six months ended June 30, 2024, and 2023:</w:t>
      </w:r>
    </w:p>
    <w:p>
      <w:pPr>
        <w:spacing w:after="0" w:line="178" w:lineRule="exact"/>
        <w:rPr>
          <w:sz w:val="20"/>
          <w:szCs w:val="20"/>
          <w:color w:val="auto"/>
        </w:rPr>
      </w:pPr>
    </w:p>
    <w:tbl>
      <w:tblPr>
        <w:tblLayout w:type="fixed"/>
        <w:tblInd w:w="1150" w:type="dxa"/>
        <w:tblCellMar>
          <w:top w:w="0" w:type="dxa"/>
          <w:left w:w="0" w:type="dxa"/>
          <w:bottom w:w="0" w:type="dxa"/>
          <w:right w:w="0" w:type="dxa"/>
        </w:tblCellMar>
      </w:tblPr>
      <w:tr>
        <w:trPr>
          <w:trHeight w:val="225"/>
        </w:trPr>
        <w:tc>
          <w:tcPr>
            <w:tcW w:w="3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3"/>
        </w:trPr>
        <w:tc>
          <w:tcPr>
            <w:tcW w:w="3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2,504</w:t>
            </w:r>
          </w:p>
        </w:tc>
      </w:tr>
      <w:tr>
        <w:trPr>
          <w:trHeight w:val="223"/>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1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2,396</w:t>
            </w:r>
          </w:p>
        </w:tc>
      </w:tr>
    </w:tbl>
    <w:p>
      <w:pPr>
        <w:spacing w:after="0" w:line="194" w:lineRule="exact"/>
        <w:rPr>
          <w:sz w:val="20"/>
          <w:szCs w:val="20"/>
          <w:color w:val="auto"/>
        </w:rPr>
      </w:pPr>
    </w:p>
    <w:p>
      <w:pPr>
        <w:ind w:left="380" w:right="8840" w:hanging="372"/>
        <w:spacing w:after="0" w:line="449" w:lineRule="auto"/>
        <w:tabs>
          <w:tab w:leader="none" w:pos="32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i w:val="1"/>
          <w:iCs w:val="1"/>
          <w:color w:val="auto"/>
        </w:rPr>
        <w:t>Eastern Virginia Divestiture</w:t>
      </w:r>
    </w:p>
    <w:p>
      <w:pPr>
        <w:spacing w:after="0" w:line="2"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On July 29, 2024, the Company entered into a definitive agreement, subject to closing conditions, to dispose of a portion of its Virginia operations (the "East Virginia Business") which are comprised of six dispensaries and one cultivation / manufacturing facility. The East Virginia Business is being divested for gross proceeds of $90 million, consisting of approximately $20 million in cash, $40 million of equity in the Buyer, Verano Holdings Corp., due on closing of the transaction, and a $30 million seller note payable to the Company over a two-year period.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Arizona Divestiture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29, 2024, the Company entered into definitive agreements, subject to closing conditions, to dispose of its Arizona operations (the "Arizona Business") which are comprised of two dispensaries and one cultivation / manufacturing facility. The Arizona Business is being divested for gross proceeds of $15 million, with approximately all $15 million which was received on signing of the definitive agreement.</w:t>
      </w:r>
    </w:p>
    <w:p>
      <w:pPr>
        <w:spacing w:after="0" w:line="3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4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(“MD&amp;A”) of the financial condition and results of operations of The Cannabist Company Holdings Inc. (“The Cannabist Company”, the “Company”, “us”, “our” or “we”) is supplemental to, and should be read in conjunction with, The Cannabist Company's unaudited condensed consolidated interim financial statements and the accompanying notes for the three and six months ended June 30, 2024 and 2023.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2023 Form 10-K filed with the SEC on March 13, 2024 and subsequent securities filings.</w:t>
      </w:r>
    </w:p>
    <w:p>
      <w:pPr>
        <w:spacing w:after="0" w:line="1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Cannabist Company's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CANNABIST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CANNABIST COMPANY OBJECTIVES AND FACTORS AFFECTING OUR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largest fully integrated operators in the cannabis industry, our strategy to grow our business is comprised of the following key components:</w:t>
      </w:r>
    </w:p>
    <w:p>
      <w:pPr>
        <w:spacing w:after="0" w:line="158" w:lineRule="exact"/>
        <w:rPr>
          <w:sz w:val="20"/>
          <w:szCs w:val="20"/>
          <w:color w:val="auto"/>
        </w:rPr>
      </w:pPr>
    </w:p>
    <w:p>
      <w:pPr>
        <w:ind w:left="1140" w:hanging="75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development within and outside our current markets</w:t>
      </w:r>
    </w:p>
    <w:p>
      <w:pPr>
        <w:spacing w:after="0" w:line="144"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and customer-centric, leveraging health and wellness focus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and quality of proprietary product portfolio, including branded consumer products</w:t>
      </w:r>
    </w:p>
    <w:p>
      <w:pPr>
        <w:spacing w:after="0" w:line="15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data-driven innovation</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are dependent on several factors. These factors are also subject to inherent risks and challenges, some of which are discussed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Branding</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 national branding strategy across each of the jurisdictions in which we operate. Maintaining and growing our brand appeal is critical to our continued success. Effective September 2023, the Company changed its name from “Columbia Care Inc.” to “The Cannabist Company Holdings Inc.” reflecting the Company's "Cannabist" national retail brand that was established in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Innovation and Consumer Trends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Growth and Profitability Strategies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successful history of growing revenue and we believe we have a strong strategy aimed at increasing profitability. Our future depends, in part, on our ability to implement our strategy including (i) product innovations; (ii) penetration of current and new markets; (iii) growth of wholesale revenue through third party retailers and distributors; (iv) future development of e-commerce and home delivery distribution capabilities; (v) expansion of our cultivation and manufacturing capacity; and (vi) controlling costs. Our ability to implement this strategy depends, among other things, on our ability to develop new products that appeal to consumers, maintain and expand brand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loyalty, maintain and improve product quality and brand recognition, maintain and improve competitive position in our current markets, and identify and successfully enter and market products in new geographic areas and segments.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unaudited condensed consolidated interim financial statements and the respective accompanying notes prepared in accordance with U.S. GAAP.</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$125,190</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$129,244</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$247,801</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$253,779</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related to inventory production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(77,122)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(154,576)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$90,589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$99,203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(107,423)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33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Profit / (loss) from operations</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12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1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100" w:type="dxa"/>
            <w:vAlign w:val="bottom"/>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12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2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12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 (expense), net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(9,642)</w:t>
            </w: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(18,510)</w:t>
            </w: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(16,994)</w:t>
            </w: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(65,609)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profit / (loss) attributable to non-controlling</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20" w:type="dxa"/>
            <w:vAlign w:val="bottom"/>
            <w:vMerge w:val="restart"/>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vMerge w:val="restart"/>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vMerge w:val="restart"/>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20" w:type="dxa"/>
            <w:vAlign w:val="bottom"/>
            <w:vMerge w:val="restart"/>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vMerge w:val="restart"/>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vMerge w:val="restart"/>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Net loss attributable to The Cannabist Company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$(28,863)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$(49,414)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$(66,203)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Holdings Inc.</w:t>
            </w:r>
          </w:p>
        </w:tc>
        <w:tc>
          <w:tcPr>
            <w:tcW w:w="90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3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Loss per share attributable to The Cannabist Company</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vMerge w:val="restart"/>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4"/>
        </w:trPr>
        <w:tc>
          <w:tcPr>
            <w:tcW w:w="3320" w:type="dxa"/>
            <w:vAlign w:val="bottom"/>
            <w:tcBorders>
              <w:bottom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Holdings Inc.—based and diluted</w:t>
            </w: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CFF0FC"/>
            </w:tcBorders>
            <w:gridSpan w:val="2"/>
            <w:vMerge w:val="continue"/>
            <w:shd w:val="clear" w:color="auto" w:fill="CFF0FC"/>
          </w:tcPr>
          <w:p>
            <w:pPr>
              <w:spacing w:after="0"/>
              <w:rPr>
                <w:sz w:val="16"/>
                <w:szCs w:val="16"/>
                <w:color w:val="auto"/>
              </w:rPr>
            </w:pPr>
          </w:p>
        </w:tc>
        <w:tc>
          <w:tcPr>
            <w:tcW w:w="100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CFF0FC"/>
            </w:tcBorders>
            <w:gridSpan w:val="2"/>
            <w:vMerge w:val="continue"/>
            <w:shd w:val="clear" w:color="auto" w:fill="CFF0FC"/>
          </w:tcPr>
          <w:p>
            <w:pPr>
              <w:spacing w:after="0"/>
              <w:rPr>
                <w:sz w:val="16"/>
                <w:szCs w:val="16"/>
                <w:color w:val="auto"/>
              </w:rPr>
            </w:pPr>
          </w:p>
        </w:tc>
        <w:tc>
          <w:tcPr>
            <w:tcW w:w="1020" w:type="dxa"/>
            <w:vAlign w:val="bottom"/>
            <w:tcBorders>
              <w:bottom w:val="single" w:sz="8" w:color="CFF0FC"/>
            </w:tcBorders>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3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Weighted average number of shares outstanding—</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460,653,957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405,782,234</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453,143,911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403,622,389</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basic and diluted</w:t>
            </w:r>
          </w:p>
        </w:tc>
        <w:tc>
          <w:tcPr>
            <w:tcW w:w="90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-1285240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-1285240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-1285240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-1285240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-1285240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-1285240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-942340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-942340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-942340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-942340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-942340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-942340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-624840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-624840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-624840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-624840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-624840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-624840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-231140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-213995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-231140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-213995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-231140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-213995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-231140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-213995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Balance Sheet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99060</wp:posOffset>
            </wp:positionV>
            <wp:extent cx="93980" cy="1879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777,115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823,111</w:t>
            </w:r>
          </w:p>
        </w:tc>
      </w:tr>
      <w:tr>
        <w:trPr>
          <w:trHeight w:val="22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753,731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757,759</w:t>
            </w:r>
          </w:p>
        </w:tc>
      </w:tr>
      <w:tr>
        <w:trPr>
          <w:trHeight w:val="23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543,886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597,715</w:t>
            </w: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65,352</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June 30, 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125,190</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129,244</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(4,054 )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(77,138 )</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(77,122 )</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(4,070 )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(40,046 )</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(52,073 )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33"/>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Profit from operations</w:t>
            </w: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1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16239 %</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(expense), net</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(12,007 )</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(22,781 )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10,774</w:t>
            </w: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33"/>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(4,001 )</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(22,732 )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18,731</w:t>
            </w: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(9,642 )</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(6,305 )</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(3,337 )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33"/>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(13,643 )</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(29,037 )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15,394</w:t>
            </w: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Net profit / (loss) attributable to non-controlling</w:t>
            </w:r>
          </w:p>
        </w:tc>
        <w:tc>
          <w:tcPr>
            <w:tcW w:w="8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(174 )</w:t>
            </w:r>
          </w:p>
        </w:tc>
        <w:tc>
          <w:tcPr>
            <w:tcW w:w="2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tcPr>
          <w:p>
            <w:pPr>
              <w:spacing w:after="0"/>
              <w:rPr>
                <w:sz w:val="19"/>
                <w:szCs w:val="19"/>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attributable to The Cannabist Company</w:t>
            </w: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vMerge w:val="continue"/>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(14,341 )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(28,863 )</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14,522</w:t>
            </w:r>
          </w:p>
        </w:tc>
        <w:tc>
          <w:tcPr>
            <w:tcW w:w="160" w:type="dxa"/>
            <w:vAlign w:val="bottom"/>
          </w:tcPr>
          <w:p>
            <w:pPr>
              <w:spacing w:after="0"/>
              <w:rPr>
                <w:sz w:val="17"/>
                <w:szCs w:val="17"/>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Holdings Inc.</w:t>
            </w:r>
          </w:p>
        </w:tc>
        <w:tc>
          <w:tcPr>
            <w:tcW w:w="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-1885315</wp:posOffset>
            </wp:positionV>
            <wp:extent cx="570039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-1593850</wp:posOffset>
            </wp:positionV>
            <wp:extent cx="5700395"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-1293495</wp:posOffset>
            </wp:positionV>
            <wp:extent cx="5700395"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-993775</wp:posOffset>
            </wp:positionV>
            <wp:extent cx="570039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-693420</wp:posOffset>
            </wp:positionV>
            <wp:extent cx="570039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-273685</wp:posOffset>
            </wp:positionV>
            <wp:extent cx="5700395" cy="274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revenue of $4,054 for the three months ended June 30, 2024, as compared to the prior year period, was driven by the net decline in revenue of $2,770 in our existing retail and wholesale operations and a decline of $1,861 from the sale or closure of certain operations. This was partly offset by the expansion of new retail facilities which contributed to a revenue growth of $576 during the three months ended June 30, 2024, as compared to the prior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cost of sales of $16 for the three months ended June 30, 2024, as compared to the prior year period, was driven by a cost of sales increase of $700 in our existing retail and wholesale operations, including from inventory impairment, and by $200 from the expansion of new retail facilities. This was partly offset by a decline of $884 from the sale or closure of certain operations during the three months ended June 30, 2024, as compared to the prior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gross profit of $4,070 for the three months ended June 30, 2024, as compared to the prior year period, was directly attributable to the decline in revenues and increased cost of sales as described above. The decline in gross margin (percent) was primarily driven by production facilities poised for future economies of scale and price compression.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of $12,027 in operating expenses for the three months ended June 30, 2024, as compared to the prior year period, was primarily attributable to a decrease in salary and benefits expenses of $11,829, depreciation and amortization of $1,778, professional fees of $892, advertisement and promotion expenses of $429, operating facilities costs of $201, and other fees and expenses of $407. This was partially offset by an increase in operating office and general expenses of $3,509.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expense, net of $10,774 for the three months ended June 30, 2024, as compared to the prior year period, was primarily due to a decrease in loss on disposal group of $9,649, interest expense on debt of $3,240, amortization of debt premium of $26, interest expense on leases of $164, change in fair value of the derivative liability of $18, other interest expense (income), net of $26, and an increase in other income $1,093. This was partially offset by an increase in restructuring expense $1,900, rental income of $847, amortization of debt discount of $225, loss on deconsolidation of $413, and amortization of debt issuance costs of $57.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$9,642 for the three months ended June 30, 2024, as compared to an income tax expense of $6,305 for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w:t>
      </w:r>
    </w:p>
    <w:p>
      <w:pPr>
        <w:spacing w:after="0" w:line="241" w:lineRule="exact"/>
        <w:rPr>
          <w:sz w:val="20"/>
          <w:szCs w:val="20"/>
          <w:color w:val="auto"/>
        </w:rPr>
      </w:pPr>
    </w:p>
    <w:tbl>
      <w:tblPr>
        <w:tblLayout w:type="fixed"/>
        <w:tblInd w:w="760" w:type="dxa"/>
        <w:tblCellMar>
          <w:top w:w="0" w:type="dxa"/>
          <w:left w:w="0" w:type="dxa"/>
          <w:bottom w:w="0" w:type="dxa"/>
          <w:right w:w="0" w:type="dxa"/>
        </w:tblCellMar>
      </w:tblPr>
      <w:tr>
        <w:trPr>
          <w:trHeight w:val="225"/>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247,801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253,779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(157,212 )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(154,576 )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(2,636 )</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(8,614 )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14,104</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33"/>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5,490</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13,424</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33"/>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18,914</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(1,516 )</w:t>
            </w: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33"/>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17,398</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33"/>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(49,414 )</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16,789</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-1662430</wp:posOffset>
            </wp:positionV>
            <wp:extent cx="619760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9760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-1370965</wp:posOffset>
            </wp:positionV>
            <wp:extent cx="619760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9760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-1070610</wp:posOffset>
            </wp:positionV>
            <wp:extent cx="619760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9760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-770890</wp:posOffset>
            </wp:positionV>
            <wp:extent cx="619760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9760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-470535</wp:posOffset>
            </wp:positionV>
            <wp:extent cx="619760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9760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-170815</wp:posOffset>
            </wp:positionV>
            <wp:extent cx="619760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revenue of $5,978 for the six months ended June 30, 2024, as compared to the prior year period, was driven by the net decline in revenue of $6,182 in our existing retail and wholesale operations and a decline of $2,618 from the sale or closure of certain operations. This was partly offset by the expansion of new retail facilities which contributed to a revenue growth of $2,822 during the six months ended June 30, 2024, as compared to the prior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cost of sales of $2,636 for the six months ended June 30, 2024, as compared to the prior year period, was driven by a cost of sales increase of $3,294 in our existing retail and wholesale operations, including from inventory impairment, and by $905 from the expansion of new retail facilities. This was partly offset by a decline of $1,563 from the sale or closure of certain operations during the six months ended June 30, 2024, as compared to the prior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gross profit of $8,614 for the six months ended June 30, 2024, as compared to the prior year period, was directly attributable to the decline in revenues and increased cost of sales as described above. The decline in gross margin (percent) was primarily driven by production facilities poised for future economies of scale and price compression.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of $14,104 in operating expenses for the six months ended June 30, 2024, as compared to the prior year period, was primarily attributable to a decrease in salary and benefits expenses of $14,621, depreciation and amortization of $3,287, advertisement and promotion expenses of $1,363, professional fees of $1,189, and other fees and expenses of $908. This was partially offset by an increase in operating office and general expenses of $6,669 and operating facilities costs of $595.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expense, net of $13,424 for the six months ended June 30, 2024, as compared to the prior year period, was primarily due to a decrease in interest expense on debt of $6,320, loss on disposal of group of $9,049, loss on deconsolidation from the sale or closure of certain operations of $1,849, amortization of debt discount of $146, amortization of debt issuance costs $32, interest expense on leases of $322, an increase in other interest income of $51 and an increase in other income, net by $884. This was partially offset by an increase in the change in fair value of the derivative liability of $2,299, a decrease in rental income earned of $1,632, and an increase in restructuring expense of $1,298.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$18,510 for the six months ended June 30, 2024, as compared to an income tax expense of $16,994 for the six months ended June 30,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48"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2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three and six months ended June 30,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3"/>
        </w:trPr>
        <w:tc>
          <w:tcPr>
            <w:tcW w:w="5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June 30, 2023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June 30, 2023</w:t>
            </w:r>
          </w:p>
        </w:tc>
        <w:tc>
          <w:tcPr>
            <w:tcW w:w="40" w:type="dxa"/>
            <w:vAlign w:val="bottom"/>
          </w:tcPr>
          <w:p>
            <w:pPr>
              <w:spacing w:after="0"/>
              <w:rPr>
                <w:sz w:val="19"/>
                <w:szCs w:val="19"/>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(13,643 )</w:t>
            </w:r>
          </w:p>
        </w:tc>
        <w:tc>
          <w:tcPr>
            <w:tcW w:w="1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(29,037 )</w:t>
            </w:r>
          </w:p>
        </w:tc>
        <w:tc>
          <w:tcPr>
            <w:tcW w:w="140" w:type="dxa"/>
            <w:vAlign w:val="bottom"/>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(48,211 )</w:t>
            </w: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(65,609 )</w:t>
            </w:r>
          </w:p>
        </w:tc>
        <w:tc>
          <w:tcPr>
            <w:tcW w:w="40" w:type="dxa"/>
            <w:vAlign w:val="bottom"/>
          </w:tcPr>
          <w:p>
            <w:pPr>
              <w:spacing w:after="0"/>
              <w:rPr>
                <w:sz w:val="19"/>
                <w:szCs w:val="19"/>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w:t>
            </w:r>
          </w:p>
        </w:tc>
        <w:tc>
          <w:tcPr>
            <w:tcW w:w="10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16,994</w:t>
            </w:r>
          </w:p>
        </w:tc>
        <w:tc>
          <w:tcPr>
            <w:tcW w:w="4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13,583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14,615</w:t>
            </w:r>
          </w:p>
        </w:tc>
        <w:tc>
          <w:tcPr>
            <w:tcW w:w="14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27,547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29,678</w:t>
            </w:r>
          </w:p>
        </w:tc>
        <w:tc>
          <w:tcPr>
            <w:tcW w:w="40" w:type="dxa"/>
            <w:vAlign w:val="bottom"/>
          </w:tcPr>
          <w:p>
            <w:pPr>
              <w:spacing w:after="0"/>
              <w:rPr>
                <w:sz w:val="20"/>
                <w:szCs w:val="20"/>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 and debt amortization</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13,121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13,785</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25,601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27,456</w:t>
            </w:r>
          </w:p>
        </w:tc>
        <w:tc>
          <w:tcPr>
            <w:tcW w:w="40" w:type="dxa"/>
            <w:vAlign w:val="bottom"/>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(Non-GAAP measure)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22,703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5,668</w:t>
            </w:r>
          </w:p>
        </w:tc>
        <w:tc>
          <w:tcPr>
            <w:tcW w:w="14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23,447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8,519</w:t>
            </w:r>
          </w:p>
        </w:tc>
        <w:tc>
          <w:tcPr>
            <w:tcW w:w="40" w:type="dxa"/>
            <w:vAlign w:val="bottom"/>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(8,144 )</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3,468</w:t>
            </w:r>
          </w:p>
        </w:tc>
        <w:tc>
          <w:tcPr>
            <w:tcW w:w="14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9,983</w:t>
            </w:r>
          </w:p>
        </w:tc>
        <w:tc>
          <w:tcPr>
            <w:tcW w:w="40" w:type="dxa"/>
            <w:vAlign w:val="bottom"/>
          </w:tcPr>
          <w:p>
            <w:pPr>
              <w:spacing w:after="0"/>
              <w:rPr>
                <w:sz w:val="20"/>
                <w:szCs w:val="20"/>
                <w:color w:val="auto"/>
              </w:rPr>
            </w:pPr>
          </w:p>
        </w:tc>
      </w:tr>
      <w:tr>
        <w:trPr>
          <w:trHeight w:val="202"/>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other non-core costs, including costs associated with the Cresco</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Labs Inc. transaction, litigation expenses and other costs related to restructuring</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2,782</w:t>
            </w:r>
          </w:p>
        </w:tc>
        <w:tc>
          <w:tcPr>
            <w:tcW w:w="40" w:type="dxa"/>
            <w:vAlign w:val="bottom"/>
          </w:tcPr>
          <w:p>
            <w:pPr>
              <w:spacing w:after="0"/>
              <w:rPr>
                <w:sz w:val="18"/>
                <w:szCs w:val="18"/>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Fair-value changes on derivative liabilities</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1"/>
                <w:szCs w:val="21"/>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for Acquisition and other non-core costs</w:t>
            </w:r>
          </w:p>
        </w:tc>
        <w:tc>
          <w:tcPr>
            <w:tcW w:w="10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expense</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1,966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4,542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3,244</w:t>
            </w:r>
          </w:p>
        </w:tc>
        <w:tc>
          <w:tcPr>
            <w:tcW w:w="40" w:type="dxa"/>
            <w:vAlign w:val="bottom"/>
          </w:tcPr>
          <w:p>
            <w:pPr>
              <w:spacing w:after="0"/>
              <w:rPr>
                <w:sz w:val="20"/>
                <w:szCs w:val="20"/>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deconsolidation</w:t>
            </w:r>
          </w:p>
        </w:tc>
        <w:tc>
          <w:tcPr>
            <w:tcW w:w="10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2,473</w:t>
            </w:r>
          </w:p>
        </w:tc>
        <w:tc>
          <w:tcPr>
            <w:tcW w:w="4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on disposal group</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9,649</w:t>
            </w:r>
          </w:p>
        </w:tc>
        <w:tc>
          <w:tcPr>
            <w:tcW w:w="14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9,649</w:t>
            </w:r>
          </w:p>
        </w:tc>
        <w:tc>
          <w:tcPr>
            <w:tcW w:w="40" w:type="dxa"/>
            <w:vAlign w:val="bottom"/>
          </w:tcPr>
          <w:p>
            <w:pPr>
              <w:spacing w:after="0"/>
              <w:rPr>
                <w:sz w:val="20"/>
                <w:szCs w:val="20"/>
                <w:color w:val="auto"/>
              </w:rPr>
            </w:pPr>
          </w:p>
        </w:tc>
      </w:tr>
      <w:tr>
        <w:trPr>
          <w:trHeight w:val="21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17,537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20,316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32,842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36,680</w:t>
            </w:r>
          </w:p>
        </w:tc>
        <w:tc>
          <w:tcPr>
            <w:tcW w:w="4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125,190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129,244</w:t>
            </w:r>
          </w:p>
        </w:tc>
        <w:tc>
          <w:tcPr>
            <w:tcW w:w="14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247,801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253,779</w:t>
            </w:r>
          </w:p>
        </w:tc>
        <w:tc>
          <w:tcPr>
            <w:tcW w:w="40" w:type="dxa"/>
            <w:vAlign w:val="bottom"/>
          </w:tcPr>
          <w:p>
            <w:pPr>
              <w:spacing w:after="0"/>
              <w:rPr>
                <w:sz w:val="18"/>
                <w:szCs w:val="18"/>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36,680</w:t>
            </w:r>
          </w:p>
        </w:tc>
        <w:tc>
          <w:tcPr>
            <w:tcW w:w="40" w:type="dxa"/>
            <w:vAlign w:val="bottom"/>
          </w:tcPr>
          <w:p>
            <w:pPr>
              <w:spacing w:after="0"/>
              <w:rPr>
                <w:sz w:val="18"/>
                <w:szCs w:val="18"/>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margin (Non-GAAP measure)</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125,190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129,244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247,801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253,779</w:t>
            </w:r>
          </w:p>
        </w:tc>
        <w:tc>
          <w:tcPr>
            <w:tcW w:w="40" w:type="dxa"/>
            <w:vAlign w:val="bottom"/>
          </w:tcPr>
          <w:p>
            <w:pPr>
              <w:spacing w:after="0"/>
              <w:rPr>
                <w:sz w:val="19"/>
                <w:szCs w:val="19"/>
                <w:color w:val="auto"/>
              </w:rPr>
            </w:pPr>
          </w:p>
        </w:tc>
      </w:tr>
      <w:tr>
        <w:trPr>
          <w:trHeight w:val="23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48,052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52,122</w:t>
            </w:r>
          </w:p>
        </w:tc>
        <w:tc>
          <w:tcPr>
            <w:tcW w:w="14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90,589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99,203</w:t>
            </w:r>
          </w:p>
        </w:tc>
        <w:tc>
          <w:tcPr>
            <w:tcW w:w="40" w:type="dxa"/>
            <w:vAlign w:val="bottom"/>
          </w:tcPr>
          <w:p>
            <w:pPr>
              <w:spacing w:after="0"/>
              <w:rPr>
                <w:sz w:val="20"/>
                <w:szCs w:val="20"/>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38.4 %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36.6 %</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-2344420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-2344420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-570230</wp:posOffset>
            </wp:positionV>
            <wp:extent cx="1654175"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54175" cy="14605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decrease in Adjusted EBITDA for the three and six months ended June 30, 2024, as compared to the prior year period, was primarily driven by declines in gross profit in the ongoing wholesale and retail operations and through restructuring and disposal activity, partially offset by improved leverage of revenues across selling, general, and administrative expenses such as facility costs, salary costs, and benefit costs.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46" w:right="29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ability to improve our future operating performance and cash flows, which are subject to prevailing economic conditions and financial, business and other factors, some of which are beyond our control.</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focus on profitability, we endeavor to remain opportunistic on growth through expansion or acquisition, therefore our cash flow requirements and obligations could materially change. As of June 30, 2024, we did not have any significant external capital requirements.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18, 2023, the Company entered into subscription agreements with the September 2023 Investors for the purchase and sale of 22,244,210 September 2023 Units at a price of C$1.52 per September 2023 Unit pursuant to a private placement, for aggregate gross proceeds of approximately C$33.8 million or approximately $25 million. Each September 2023 Unit consists of one Common Share (or Common Share equivalent) and one half of one September 2023 Warrant that entitles the holder to acquire one Common Share at a price of C$1.96 per Common Share, a 29% premium to issue, for a period of three years following the closing of the Initial Tranche. The Initial Tranche consisted of an aggregate of 21,887,240 Common Shares, 11,122,105 September 2023 Warrants and 356,970 September 2023 Pre-Funded Warrants that provide the holder the right to purchase one Common Share at an exercise price of C$0.0001 per Common Share. The September 2023 Offering closed on September 21,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proceeds from the September 2023 Offering to reduce its outstanding indebtedness.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September 2023 Investors had the option to purchase $25 million in additional September 2023 Units at a price equal to the Issue Price, upon written notice to the Company at any time up to November 2, 2023, which was not exercised. In connection with the September 2023 Offering, the Company and the September 2023 Investors entered into a customary registration rights agreement, pursuant to which the Company filed a registration statement on Form S-1 on October 17, 2023 to register the resale of the Common Shares underlying the September 2023 Units. The September 2023 Units were subject to limited lock-up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(the “Exchange Agreement”) with certain holders (the “Holders”) of the Company’s 6.0% senior secured 2025 Convertible Notes, pursuant to which the Company agreed to repurchase (the “Repurchase”) of up to $25 million principal amount of the 2025 Convertible Notes in exchange for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333" w:lineRule="exact"/>
        <w:rPr>
          <w:sz w:val="20"/>
          <w:szCs w:val="20"/>
          <w:color w:val="auto"/>
        </w:rPr>
      </w:pPr>
    </w:p>
    <w:p>
      <w:pPr>
        <w:ind w:left="1020" w:right="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2024 Convertible Notes in consideration of Common Shares issued at a price per Common Share equal to the greater of C$0.41 per Common Share and the 12.5% discount to the 5-day volume weighted average price of the Common Shares (the “Initial Exchange Price”) on Cboe prior to receipt of a Transfer notice;</w:t>
      </w:r>
    </w:p>
    <w:p>
      <w:pPr>
        <w:spacing w:after="0" w:line="28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Cboe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2024 (which date the parties extended to September 30, 2024, by amendment dated June 30, 2024), transfer in three separate equal tranches, an aggregate of $15 million principal amount of 2025 Convertible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June 30, 2024 (which date the parties extended to September 30, 2024, by amendment dated June 30, 2024).</w:t>
      </w:r>
    </w:p>
    <w:p>
      <w:pPr>
        <w:spacing w:after="0" w:line="19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3" w:name="page24"/>
    <w:bookmarkEnd w:id="23"/>
    <w:p>
      <w:pPr>
        <w:ind w:right="120"/>
        <w:spacing w:after="0" w:line="261" w:lineRule="auto"/>
        <w:rPr>
          <w:sz w:val="20"/>
          <w:szCs w:val="20"/>
          <w:color w:val="auto"/>
        </w:rPr>
      </w:pPr>
      <w:r>
        <w:rPr>
          <w:rFonts w:ascii="Times New Roman" w:cs="Times New Roman" w:eastAsia="Times New Roman" w:hAnsi="Times New Roman"/>
          <w:sz w:val="18"/>
          <w:szCs w:val="18"/>
          <w:color w:val="auto"/>
        </w:rPr>
        <w:t>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June 30, 2024, $10 million of the potential $25 million exchange has been completed.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that the 2027 Notes represent an obligation to issue a fixed number of shares for a fixed amount of liability. In accordance with ASC 480 – Distinguishing Liabilities from Equity,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Upon initial recognition, the Company recorded a derivative liability of $2,362 within other long-term liabilities in the consolidated balance sheets and a corresponding debt premium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333" w:lineRule="exact"/>
        <w:rPr>
          <w:sz w:val="20"/>
          <w:szCs w:val="20"/>
          <w:color w:val="auto"/>
        </w:rPr>
      </w:pPr>
    </w:p>
    <w:p>
      <w:pPr>
        <w:jc w:val="both"/>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agreement provides for a $6,250 mortgage on real property in Maryland and carries interest at a variable rate per annum equal to the Index plus 2.25%. The debt is repayable in 59 monthly installments and a final balloon payment due on September 1, 2028, which is estimated at $5,937 as of June 30, 2024. In connection with this mortgage, the Company incurred financing costs of $195 and netted $2,903 after the repayment of a prior outstanding mortgage on the property.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provides for $1,800 mortgage on real property in Delaware and carries interest at a variable rate per annum equal to the Index plus 2.25%. The debt is repayable in 59 monthly installments and a final balloon payment due on September 1, 2028, which is estimated at $1,710 as of June 30, 2024. In connection with this mortgage, the Company incurred financing costs of $77 and netted $1,723.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sources and uses of cash for each of the periods presented:</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3"/>
        </w:trPr>
        <w:tc>
          <w:tcPr>
            <w:tcW w:w="6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(9,659 )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(3,718 )</w:t>
            </w: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(2,315 )</w:t>
            </w: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(4,629 )</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(5,123 )</w:t>
            </w:r>
          </w:p>
        </w:tc>
      </w:tr>
      <w:tr>
        <w:trPr>
          <w:trHeight w:val="23"/>
        </w:trPr>
        <w:tc>
          <w:tcPr>
            <w:tcW w:w="61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(13,432 )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(11,156 )</w:t>
            </w: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-179070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$9,659 of cash, primarily resulting from a net loss of $48,211, deferred taxes of $1,080, other items of $343, and equity-based compensation expense of $4,962; this was partially offset by depreciation and amortization of $27,547, debt amortization expense of $4,307, provision for obsolete inventory of $5,642, loss on deconsolidation of subsidiary of $624, change in fair value of derivative liability of $2,329, legal settlement of $1,108, and net change in operating assets and liabilities of $5,596. The net change in operating assets and liabilities was primarily due to a decrease in prepaid expenses of $3,214, decrease in other assets of $728, increase in accounts payable of $4,138, increase in income tax payable of $17,367, and increase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other long term liabilities of $609. This was offset by an increase in accounts receivable of $3,904, and an increase in inventory of $10,140.</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operating activities used $3,718 of cash, primarily resulting from a net loss of $65,609, a change in deferred taxes of $4,384, and net changes in operating assets and liabilities of $7,766; this was partially offset by depreciation and amortization of $29,678, equity-based compensation expense of $9,983, loss on disposal group of $9,049, loss on deconsolidation of subsidiary of $2,473, and debt amortization expense of $4,485.</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investing activities provided $856 of cash mainly due to the proceeds from the sale of the Utah business of $2,999, cash received on deposits, net of $157 and proceeds from sale of license of $329. This was partially offset by purchases of property and equipment of $2,629.</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investing activities used $2,315 of cash pursuant to purchases of property and equipment of $5,740. This was partially offset by proceeds from the deconsolidation of the Company's Missouri entity of $3,040, proceeds from sale of plant, property, and equipment of $169, and cash received from deposits of $216.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financing activities used $4,629 of cash, mainly due to repayments of debt of $13,228, payment of lease liabilities of $3,582, payment of debt issuance costs of $802, repayment of sellers note of $750, taxes paid on equity based compensation of $1,255, distributions of $333, and repayment of mortgage notes of $279. This was partially offset by proceeds from issuance of convertible debt of $15,600.</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financing activities used $5,123 of cash, mainly due to the payment of lease liabilities of $3,196, distributions to non-controlling interest holders of $431, taxes paid on equity-based compensation of $433, and repayment of a seller's note of $750.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June 30, 2024 and the effects that such obligations are expected to have on our liquidity and cash flows in future periods: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0"/>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 than 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5 and</w:t>
            </w:r>
          </w:p>
        </w:tc>
      </w:tr>
      <w:tr>
        <w:trPr>
          <w:trHeight w:val="225"/>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beyond</w:t>
            </w:r>
          </w:p>
        </w:tc>
        <w:tc>
          <w:tcPr>
            <w:tcW w:w="220" w:type="dxa"/>
            <w:vAlign w:val="bottom"/>
          </w:tcPr>
          <w:p>
            <w:pPr>
              <w:spacing w:after="0"/>
              <w:rPr>
                <w:sz w:val="19"/>
                <w:szCs w:val="19"/>
                <w:color w:val="auto"/>
              </w:rPr>
            </w:pPr>
          </w:p>
        </w:tc>
      </w:tr>
      <w:tr>
        <w:trPr>
          <w:trHeight w:val="22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commitments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376,140</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18,485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33,631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31,073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30,420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28,018</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234,513</w:t>
            </w:r>
          </w:p>
        </w:tc>
        <w:tc>
          <w:tcPr>
            <w:tcW w:w="220" w:type="dxa"/>
            <w:vAlign w:val="bottom"/>
            <w:shd w:val="clear" w:color="auto" w:fill="CFF0FC"/>
          </w:tcPr>
          <w:p>
            <w:pPr>
              <w:spacing w:after="0"/>
              <w:rPr>
                <w:sz w:val="19"/>
                <w:szCs w:val="19"/>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Sale-Leaseback commitments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220" w:type="dxa"/>
            <w:vAlign w:val="bottom"/>
          </w:tcPr>
          <w:p>
            <w:pPr>
              <w:spacing w:after="0"/>
              <w:rPr>
                <w:sz w:val="19"/>
                <w:szCs w:val="19"/>
                <w:color w:val="auto"/>
              </w:rPr>
            </w:pP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2024 Notes and 2026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debt (principal)</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85,050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25,550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convertible debt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notes (principal)</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43,221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notes (interest)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Closing promissory note (principal)</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promissory note (interest)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37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965,879</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38,847</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130,500</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258,937</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87,742</w:t>
            </w:r>
          </w:p>
        </w:tc>
        <w:tc>
          <w:tcPr>
            <w:tcW w:w="2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47,812</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402,041</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-179705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-179705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-179705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-179705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-179705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-179705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-179705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Judgements estimates and assumptions with the most significant effect on the amounts recognized in the consolidated financial statements are described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fair value contained within the hierarchy are:</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Our risk exposures and the impact on our financial instruments is summarized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June 30, 2024 and December 31, 2023,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Cannabist Company National Credit program, we provide credit to customers in certain markets in which we operate.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ind w:right="80"/>
        <w:spacing w:after="0" w:line="414" w:lineRule="auto"/>
        <w:rPr>
          <w:sz w:val="20"/>
          <w:szCs w:val="20"/>
          <w:color w:val="auto"/>
        </w:rPr>
      </w:pPr>
      <w:r>
        <w:rPr>
          <w:rFonts w:ascii="Times New Roman" w:cs="Times New Roman" w:eastAsia="Times New Roman" w:hAnsi="Times New Roman"/>
          <w:sz w:val="18"/>
          <w:szCs w:val="18"/>
          <w:color w:val="auto"/>
        </w:rPr>
        <w:t xml:space="preserve">net cash contribution from our operations and investments to be positive in the near term, and we therefore expect to rely on financing from equity or debt. </w:t>
      </w:r>
      <w:r>
        <w:rPr>
          <w:rFonts w:ascii="Times New Roman" w:cs="Times New Roman" w:eastAsia="Times New Roman" w:hAnsi="Times New Roman"/>
          <w:sz w:val="18"/>
          <w:szCs w:val="18"/>
          <w:i w:val="1"/>
          <w:iCs w:val="1"/>
          <w:color w:val="auto"/>
        </w:rPr>
        <w:t>Market Risk</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thousands of U.S. dollars. We may enter into financial transactions denominated in other currencies, which would result in your operations and financial position becoming subject to currency transaction and translation risks.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we had no hedging agreements in place with respect to foreign exchange rates. We have not entered into any agreements or purchased any instruments to hedge possible currency risks at this time.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material changes to the market risks as disclosed in the Company’s 2023 Form 10-K. See also Financial Risk Management in Part I, Item 2 of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under the Securities Exchange Act of 1934, as amended) during the six months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May 6, 2024, the Company resolved a lawsuit in Maryland state court, relating to the Company’s acquisition of Green Leaf Medical (the “Green Leaf Transaction”), a privately held, multi-state operator. As a part of that resolution, and in conjunction with the exchange of mutual releases of all claims relating to the Green Leaf Transaction, the Company issued 4,848,019 common shares to the former Green Leaf shareholders. The common shares will be issued pursuant to Rule 506(b) of the Securities Act of 1933, as amended. The Company will be relying on Rule 506(b) because the issuances are not being made by general solicitation or advertising and the issuances are only being made to accredited 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except as noted below, there have been no material changes in our risk factors from those disclosed in Part I, Item 1A, of the Company’s 2023 Form 10-K, which is incorporated by reference herein.</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efforts to obtain needed capital resources and sources of liquidity may not be sufficient to support its business operations and future growth strategies.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efforts to obtain needed capital resources and sources of liquidity may not be sufficient to support its business operations and future growth strategies. In addition, the Company is required to make certain interest payments on existing debt and to meet certain cash requirements, including, without limitation, maintaining $10,000 in unrestricted cash. If the Company is unable to satisfy its liquidity and capital resource requirements, the Company may be forced to restructure its obligations to creditors, pursue work-out options or other protective measures.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obtain additional capital on acceptable terms or at all is subject to a variety of uncertainties. Adequate alternative financing may not be available or, if available, may only be available on unfavorable terms or subject to covenants that the Company may not be able to satisfy. There is no assurance that the Company will obtain the capital it requires. As a result, there can be no assurance that the Company will be able to fund its liquidity needs, future operations or growth strategies. Furthermore, the Company may incur substantial costs in pursuing future capital and financing, including investment banking fees, legal fees, accounting fees, printing and distribution expenses and other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Legal Proceedings”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Fractional CHRO Arrangement.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6, 2024, the Company entered into a Fractional CHRO Engagement Agreement (the “Engagement Agreement”) with ourCHRO, LLC ("ourCHRO”), pursuant to which the Company engaged Bryan Olson to serve as the Chief Human Resources Officer of the Company in a non-employee consultant capacity, allocating 50% of his working time to the Company. Mr. Olson joined the Company as an employee in 2017 and served, among other positions, as its Chief People and Administrative Officer and, most recently, as its Chief Human Resources Officer. Mr. Olson transitioned to a non-employee consultant on August 6, 2024.</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Engagement Agreement, the Company will pay ourCHRO $26.250 per month. In addition, the parties agreed that any outstanding unvested equity awards previously granted to Mr. Olson will continue to vest during the term of the Engagement Agreement. Mr. Olson will also be eligible to participate in the Company’s discretionary executive bonus plan for 2024 based on a performance period from January 1, 2024 to July 31, 2024 (the “Bonus Performance Term”), with a target bonus of 55% of Mr. Olson’s salary in effect during the Bonus Performance Term. The initial term of the Engagement Agreement is from August 6, 2024 to August 5, 2025 and may continue until terminated on its terms.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 5 of this Quarterly Report on Form 10-Q contains only a brief description of the material terms of and does not purport to be a complete description of the rights and obligations of the parties to the Engagement Agreement. Such description is qualified in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entirety by reference to the full text of the Engagement Agreement, which is attached hereto as Exhibit 10.6 and is incorporated herein by reference.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Plans of Directors and Executive Officers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gridSpan w:val="22"/>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9900" w:type="dxa"/>
            <w:vAlign w:val="bottom"/>
            <w:tcBorders>
              <w:bottom w:val="single" w:sz="8" w:color="0000FF"/>
            </w:tcBorders>
            <w:gridSpan w:val="25"/>
          </w:tcPr>
          <w:p>
            <w:pPr>
              <w:spacing w:after="0" w:line="17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Arrangement Agreement, dated March 23, 2022, between Cresco Labs Inc. and Columbia Care Inc. (incorporated by reference to Exhibit</w:t>
              </w:r>
            </w:hyperlink>
          </w:p>
        </w:tc>
        <w:tc>
          <w:tcPr>
            <w:tcW w:w="20" w:type="dxa"/>
            <w:vAlign w:val="bottom"/>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the Registrant’s Current Report on Form 8-K, filed with the SEC on March 29, 2022)</w:t>
              </w:r>
            </w:hyperlink>
          </w:p>
        </w:tc>
        <w:tc>
          <w:tcPr>
            <w:tcW w:w="20" w:type="dxa"/>
            <w:vAlign w:val="bottom"/>
            <w:tcBorders>
              <w:bottom w:val="single" w:sz="8" w:color="0000EE"/>
            </w:tcBorders>
          </w:tcPr>
          <w:p>
            <w:pPr>
              <w:spacing w:after="0"/>
              <w:rPr>
                <w:sz w:val="17"/>
                <w:szCs w:val="17"/>
                <w:color w:val="auto"/>
              </w:rPr>
            </w:pPr>
          </w:p>
        </w:tc>
        <w:tc>
          <w:tcPr>
            <w:tcW w:w="3300" w:type="dxa"/>
            <w:vAlign w:val="bottom"/>
            <w:gridSpan w:val="20"/>
          </w:tcPr>
          <w:p>
            <w:pPr>
              <w:spacing w:after="0"/>
              <w:rPr>
                <w:sz w:val="17"/>
                <w:szCs w:val="17"/>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9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Amending Agreement, dated February 27, 2023, between Cresco Labs Inc. and Columbia Care Inc. (incorporated by reference to Exhibit</w:t>
              </w:r>
            </w:hyperlink>
          </w:p>
        </w:tc>
        <w:tc>
          <w:tcPr>
            <w:tcW w:w="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Registrant’s Current Report on Form 8-K, filed with the SEC on February 28, 2023)</w:t>
              </w:r>
            </w:hyperlink>
          </w:p>
        </w:tc>
        <w:tc>
          <w:tcPr>
            <w:tcW w:w="3100" w:type="dxa"/>
            <w:vAlign w:val="bottom"/>
            <w:gridSpan w:val="19"/>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7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Articles, dated April 26, 2019 (incorporated by reference to Exhibit 3.1 of the Registrant’s Form 8-K, filed with the SEC on September</w:t>
              </w:r>
            </w:hyperlink>
          </w:p>
        </w:tc>
        <w:tc>
          <w:tcPr>
            <w:tcW w:w="140" w:type="dxa"/>
            <w:vAlign w:val="bottom"/>
            <w:gridSpan w:val="3"/>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FF"/>
                <w:w w:val="95"/>
              </w:rPr>
            </w:pPr>
            <w:hyperlink r:id="rId237">
              <w:r>
                <w:rPr>
                  <w:rFonts w:ascii="Times New Roman" w:cs="Times New Roman" w:eastAsia="Times New Roman" w:hAnsi="Times New Roman"/>
                  <w:sz w:val="18"/>
                  <w:szCs w:val="18"/>
                  <w:color w:val="0000FF"/>
                  <w:w w:val="95"/>
                </w:rPr>
                <w:t>22, 2023)</w:t>
              </w:r>
            </w:hyperlink>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97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Certificate of Change of Name, dated September 19, 2023 (incorporated by reference to Exhibit 3.2 of the Registrant’s Form 8-K, filed</w:t>
              </w:r>
            </w:hyperlink>
          </w:p>
        </w:tc>
        <w:tc>
          <w:tcPr>
            <w:tcW w:w="160" w:type="dxa"/>
            <w:vAlign w:val="bottom"/>
            <w:gridSpan w:val="4"/>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with the SEC on September 22, 2023)</w:t>
              </w:r>
            </w:hyperlink>
          </w:p>
        </w:tc>
        <w:tc>
          <w:tcPr>
            <w:tcW w:w="20" w:type="dxa"/>
            <w:vAlign w:val="bottom"/>
            <w:tcBorders>
              <w:bottom w:val="single" w:sz="8" w:color="0000EE"/>
            </w:tcBorders>
          </w:tcPr>
          <w:p>
            <w:pPr>
              <w:spacing w:after="0"/>
              <w:rPr>
                <w:sz w:val="17"/>
                <w:szCs w:val="17"/>
                <w:color w:val="auto"/>
              </w:rPr>
            </w:pPr>
          </w:p>
        </w:tc>
        <w:tc>
          <w:tcPr>
            <w:tcW w:w="7160" w:type="dxa"/>
            <w:vAlign w:val="bottom"/>
            <w:gridSpan w:val="22"/>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93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Warrant Agency Agreement dated September 20, 2018 between Canaccord Genuity Growth Corp. and Odyssey Trust Company</w:t>
              </w:r>
            </w:hyperlink>
          </w:p>
        </w:tc>
        <w:tc>
          <w:tcPr>
            <w:tcW w:w="620" w:type="dxa"/>
            <w:vAlign w:val="bottom"/>
            <w:gridSpan w:val="15"/>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(incorporated by reference to Exhibit 4.1 of the Registrant’s Registration Statement on Form 10, filed with the SEC on December 14,</w:t>
              </w:r>
            </w:hyperlink>
          </w:p>
        </w:tc>
        <w:tc>
          <w:tcPr>
            <w:tcW w:w="300" w:type="dxa"/>
            <w:vAlign w:val="bottom"/>
            <w:gridSpan w:val="6"/>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line="196" w:lineRule="exact"/>
              <w:rPr>
                <w:rFonts w:ascii="Times New Roman" w:cs="Times New Roman" w:eastAsia="Times New Roman" w:hAnsi="Times New Roman"/>
                <w:sz w:val="18"/>
                <w:szCs w:val="18"/>
                <w:color w:val="0000FF"/>
                <w:w w:val="95"/>
              </w:rPr>
            </w:pPr>
            <w:hyperlink r:id="rId239">
              <w:r>
                <w:rPr>
                  <w:rFonts w:ascii="Times New Roman" w:cs="Times New Roman" w:eastAsia="Times New Roman" w:hAnsi="Times New Roman"/>
                  <w:sz w:val="18"/>
                  <w:szCs w:val="18"/>
                  <w:color w:val="0000FF"/>
                  <w:w w:val="95"/>
                </w:rPr>
                <w:t>2021)</w:t>
              </w:r>
            </w:hyperlink>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94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Warrant Agreement dated April 26, 2019 between Columbia Care Inc. and Canaccord Genuity Corp. (incorporated by reference to</w:t>
              </w:r>
            </w:hyperlink>
          </w:p>
        </w:tc>
        <w:tc>
          <w:tcPr>
            <w:tcW w:w="440" w:type="dxa"/>
            <w:vAlign w:val="bottom"/>
            <w:gridSpan w:val="11"/>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Exhibit 4.2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20" w:type="dxa"/>
            <w:vAlign w:val="bottom"/>
            <w:gridSpan w:val="8"/>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95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Trust Indenture made as of March 31, 2020 between Columbia Care Inc. and Odyssey Trust Company (incorporated by reference to</w:t>
              </w:r>
            </w:hyperlink>
          </w:p>
        </w:tc>
        <w:tc>
          <w:tcPr>
            <w:tcW w:w="340" w:type="dxa"/>
            <w:vAlign w:val="bottom"/>
            <w:gridSpan w:val="7"/>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Exhibit 4.3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20" w:type="dxa"/>
            <w:vAlign w:val="bottom"/>
            <w:gridSpan w:val="8"/>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9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Warrant Indenture dated March 31, 2020 between Columbia Care Inc. and Odyssey Trust Company (incorporated by reference to Exhibit</w:t>
              </w:r>
            </w:hyperlink>
          </w:p>
        </w:tc>
        <w:tc>
          <w:tcPr>
            <w:tcW w:w="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20" w:type="dxa"/>
            <w:vAlign w:val="bottom"/>
            <w:gridSpan w:val="8"/>
            <w:shd w:val="clear" w:color="auto" w:fill="0000FF"/>
          </w:tcPr>
          <w:p>
            <w:pPr>
              <w:spacing w:after="0" w:line="20" w:lineRule="exact"/>
              <w:rPr>
                <w:sz w:val="1"/>
                <w:szCs w:val="1"/>
                <w:color w:val="auto"/>
              </w:rPr>
            </w:pPr>
          </w:p>
        </w:tc>
        <w:tc>
          <w:tcPr>
            <w:tcW w:w="1500" w:type="dxa"/>
            <w:vAlign w:val="bottom"/>
            <w:tcBorders>
              <w:left w:val="single" w:sz="8" w:color="0000EE"/>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94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Trust Indenture made as of May 14, 2020 between Columbia Care Inc. and Odyssey Trust Company (incorporated by reference to</w:t>
              </w:r>
            </w:hyperlink>
          </w:p>
        </w:tc>
        <w:tc>
          <w:tcPr>
            <w:tcW w:w="480" w:type="dxa"/>
            <w:vAlign w:val="bottom"/>
            <w:gridSpan w:val="12"/>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Exhibit 4.5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900" w:type="dxa"/>
            <w:vAlign w:val="bottom"/>
            <w:gridSpan w:val="9"/>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9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Warrant Indenture dated May 14, 2020 between Columbia Care Inc. and Odyssey Trust Company (incorporated by reference to Exhibit</w:t>
              </w:r>
            </w:hyperlink>
          </w:p>
        </w:tc>
        <w:tc>
          <w:tcPr>
            <w:tcW w:w="100" w:type="dxa"/>
            <w:vAlign w:val="bottom"/>
            <w:gridSpan w:val="2"/>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20" w:type="dxa"/>
            <w:vAlign w:val="bottom"/>
            <w:gridSpan w:val="8"/>
            <w:shd w:val="clear" w:color="auto" w:fill="0000FF"/>
          </w:tcPr>
          <w:p>
            <w:pPr>
              <w:spacing w:after="0" w:line="20" w:lineRule="exact"/>
              <w:rPr>
                <w:sz w:val="1"/>
                <w:szCs w:val="1"/>
                <w:color w:val="auto"/>
              </w:rPr>
            </w:pPr>
          </w:p>
        </w:tc>
        <w:tc>
          <w:tcPr>
            <w:tcW w:w="1500" w:type="dxa"/>
            <w:vAlign w:val="bottom"/>
            <w:tcBorders>
              <w:left w:val="single" w:sz="8" w:color="0000EE"/>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First Supplemental Indentures dated as of June 19, 2020 between Columbia Care Inc and Odyssey Trust Company (incorporated by</w:t>
              </w:r>
            </w:hyperlink>
          </w:p>
        </w:tc>
        <w:tc>
          <w:tcPr>
            <w:tcW w:w="360" w:type="dxa"/>
            <w:vAlign w:val="bottom"/>
            <w:gridSpan w:val="8"/>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reference to Exhibit 4.7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20" w:type="dxa"/>
            <w:vAlign w:val="bottom"/>
            <w:tcBorders>
              <w:right w:val="single" w:sz="8" w:color="0000EE"/>
            </w:tcBorders>
            <w:gridSpan w:val="10"/>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97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Warrant Indenture dated July 2, 2020 between Columbia Care Inc. and Odyssey Trust Company (incorporated by reference to Exhibit</w:t>
              </w:r>
            </w:hyperlink>
          </w:p>
        </w:tc>
        <w:tc>
          <w:tcPr>
            <w:tcW w:w="220" w:type="dxa"/>
            <w:vAlign w:val="bottom"/>
            <w:gridSpan w:val="5"/>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20" w:type="dxa"/>
            <w:vAlign w:val="bottom"/>
            <w:gridSpan w:val="8"/>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95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Warrant Indenture dated October 29, 2020 between Columbia Care Inc. and Odyssey Trust Company (incorporated by reference to</w:t>
              </w:r>
            </w:hyperlink>
          </w:p>
        </w:tc>
        <w:tc>
          <w:tcPr>
            <w:tcW w:w="400" w:type="dxa"/>
            <w:vAlign w:val="bottom"/>
            <w:gridSpan w:val="9"/>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Exhibit 4.9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900" w:type="dxa"/>
            <w:vAlign w:val="bottom"/>
            <w:gridSpan w:val="9"/>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9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Second Supplemental Indenture dated June 29, 2021 between Columbia Care Inc. and Odyssey Trust Company (incorporated by</w:t>
              </w:r>
            </w:hyperlink>
          </w:p>
        </w:tc>
        <w:tc>
          <w:tcPr>
            <w:tcW w:w="580" w:type="dxa"/>
            <w:vAlign w:val="bottom"/>
            <w:gridSpan w:val="14"/>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26"/>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reference to Exhibit 4.10 of the Registrant’s amended Registration Statement on Form 10, filed with the SEC on January 28, 2022)</w:t>
              </w:r>
            </w:hyperlink>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8"/>
                <w:szCs w:val="18"/>
                <w:color w:val="auto"/>
              </w:rPr>
            </w:pPr>
          </w:p>
        </w:tc>
        <w:tc>
          <w:tcPr>
            <w:tcW w:w="940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Third Supplemental Indenture dated February 2, 2022 between Columbia Care Inc. and Odyssey Trust Company (incorporated by</w:t>
              </w:r>
            </w:hyperlink>
          </w:p>
        </w:tc>
        <w:tc>
          <w:tcPr>
            <w:tcW w:w="40" w:type="dxa"/>
            <w:vAlign w:val="bottom"/>
            <w:tcBorders>
              <w:bottom w:val="single" w:sz="8" w:color="0000FF"/>
            </w:tcBorders>
          </w:tcPr>
          <w:p>
            <w:pPr>
              <w:spacing w:after="0"/>
              <w:rPr>
                <w:sz w:val="18"/>
                <w:szCs w:val="18"/>
                <w:color w:val="auto"/>
              </w:rPr>
            </w:pPr>
          </w:p>
        </w:tc>
        <w:tc>
          <w:tcPr>
            <w:tcW w:w="480" w:type="dxa"/>
            <w:vAlign w:val="bottom"/>
            <w:gridSpan w:val="12"/>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reference to Exhibit 4.11 of the Registrant’s amended Registration Statement on Form 10, filed with the SEC on February 15, 2022)</w:t>
              </w:r>
            </w:hyperlink>
          </w:p>
        </w:tc>
        <w:tc>
          <w:tcPr>
            <w:tcW w:w="420" w:type="dxa"/>
            <w:vAlign w:val="bottom"/>
            <w:gridSpan w:val="10"/>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95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Fourth Supplemental Indenture dated February 3, 2022 between Columbia Care Inc. and Odyssey Trust Company (incorporated by</w:t>
              </w:r>
            </w:hyperlink>
          </w:p>
        </w:tc>
        <w:tc>
          <w:tcPr>
            <w:tcW w:w="400" w:type="dxa"/>
            <w:vAlign w:val="bottom"/>
            <w:gridSpan w:val="9"/>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reference to Exhibit 4.12 of the Registrant’s amended Registration Statement on Form 10, filed with the SEC on February 15, 2022)</w:t>
              </w:r>
            </w:hyperlink>
          </w:p>
        </w:tc>
        <w:tc>
          <w:tcPr>
            <w:tcW w:w="400" w:type="dxa"/>
            <w:vAlign w:val="bottom"/>
            <w:gridSpan w:val="9"/>
          </w:tcPr>
          <w:p>
            <w:pPr>
              <w:spacing w:after="0"/>
              <w:rPr>
                <w:sz w:val="17"/>
                <w:szCs w:val="17"/>
                <w:color w:val="auto"/>
              </w:rPr>
            </w:pPr>
          </w:p>
        </w:tc>
      </w:tr>
      <w:tr>
        <w:trPr>
          <w:trHeight w:val="466"/>
        </w:trPr>
        <w:tc>
          <w:tcPr>
            <w:tcW w:w="1200" w:type="dxa"/>
            <w:vAlign w:val="bottom"/>
          </w:tcPr>
          <w:p>
            <w:pPr>
              <w:spacing w:after="0"/>
              <w:rPr>
                <w:sz w:val="24"/>
                <w:szCs w:val="24"/>
                <w:color w:val="auto"/>
              </w:rPr>
            </w:pPr>
          </w:p>
        </w:tc>
        <w:tc>
          <w:tcPr>
            <w:tcW w:w="6720" w:type="dxa"/>
            <w:vAlign w:val="bottom"/>
            <w:gridSpan w:val="6"/>
          </w:tcPr>
          <w:p>
            <w:pPr>
              <w:jc w:val="right"/>
              <w:ind w:right="21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tbl>
      <w:tblPr>
        <w:tblLayout w:type="fixed"/>
        <w:tblInd w:w="220" w:type="dxa"/>
        <w:tblCellMar>
          <w:top w:w="0" w:type="dxa"/>
          <w:left w:w="0" w:type="dxa"/>
          <w:bottom w:w="0" w:type="dxa"/>
          <w:right w:w="0" w:type="dxa"/>
        </w:tblCellMar>
      </w:tblPr>
      <w:tr>
        <w:trPr>
          <w:trHeight w:val="207"/>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4.13</w:t>
            </w:r>
          </w:p>
        </w:tc>
        <w:tc>
          <w:tcPr>
            <w:tcW w:w="9880" w:type="dxa"/>
            <w:vAlign w:val="bottom"/>
            <w:gridSpan w:val="16"/>
          </w:tcPr>
          <w:p>
            <w:pPr>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Fifth Supplemental Indenture dated May 5, 2022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Exhibit 4.13 of the Registrant’s Form 8-K, filed with the SEC on May 11,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4.14</w:t>
            </w:r>
          </w:p>
        </w:tc>
        <w:tc>
          <w:tcPr>
            <w:tcW w:w="9880" w:type="dxa"/>
            <w:vAlign w:val="bottom"/>
            <w:gridSpan w:val="16"/>
          </w:tcPr>
          <w:p>
            <w:pPr>
              <w:spacing w:after="0"/>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Extension Notice dated March 28, 2023 to Odyssey Trust Company (incorporated by reference to Exhibit 4.14 of the Registrant’s Annual</w:t>
              </w:r>
            </w:hyperlink>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Report on Form 10-K for the fiscal year ended December 31, 2022, filed with the SEC on March 29, 2023)</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4.15</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Sixth Supplemental Indenture dated September 20, 2023 between The Cannabist Company Holdings Inc. and Odyssey Trust Company</w:t>
              </w:r>
            </w:hyperlink>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(incorporated by reference to Exhibit 4.15 of the Registrant's Form 10-Q for the quarter ended March 31, 2024, filed with the SEC on</w:t>
              </w:r>
            </w:hyperlink>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May 9, 2024)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4.16</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Seventh Supplemental Indenture dated March 19, 2024 between The Cannabist Company Holdings Inc. and Odyssey Trust Company</w:t>
              </w:r>
            </w:hyperlink>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(incorporated by reference to Exhibit 4.16 of the Registrant’s Form 8-K, filed with the SEC on March 20, 2024)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Amendment to Exchange Agreement, dated June 30, 2024, among The Cannabist Company Holdings Inc., Nomis Bay Ltd. And BPY</w:t>
            </w: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Limited</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Equity Purchase Agreement, dated July 29, 2024, among Verano Holdings, LLC, Verano Holdings Corp., Columbia Care Eastern</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Virginia LLC and the members of Columbia Care Eastern Virginia LLC and The Cannabist Company Holdings Inc.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reference to Exhibit 10.1 of the Registrant’s Form 8-K, filed with the SEC on July 31, 2024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Verano Holdings, LLC Promissory Note (incorporated by reference to Exhibit 10.2 of the Registrant’s Form 8-K, filed with the</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SEC on July 31, 2024)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10.4#</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Equity Purchase Agreement, dated July 29, 2024, among Verano Arizona, LLC, 203 Organix L.L.C., CC VA HoldCo LLC, Columbia</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Care-Arizona, Prescott, L.L.C. and The Cannabist Company Holdings Inc. (incorporated by reference to Exhibit 10.3 of the Registrant’s</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8-K, filed with the SEC on July 31, 2024)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10.5#</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Equity Purchase Agreement, dated July 29, 2024, among Verano Arizona, LLC, Salubrious Wellness Clinic, Inc., CC VA HoldCo LLC,</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Thomas Allison, Columbia Care-Arizona, Prescott, L.L.C. and The Cannabist Company Holdings Inc.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Exhibit 10.4 of the Registrant’s Form 8-K, filed with the SEC on July 31, 2024)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10.6*</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Fractional CHRO Engagement Agreement, dated August 6, 2024, between ourCHRO, LLC and The Cannabist Company Holdings Inc.</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31.1*</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31.2*</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8160" w:type="dxa"/>
            <w:vAlign w:val="bottom"/>
            <w:gridSpan w:val="9"/>
            <w:shd w:val="clear" w:color="auto" w:fill="0000FF"/>
          </w:tcPr>
          <w:p>
            <w:pPr>
              <w:spacing w:after="0" w:line="20" w:lineRule="exact"/>
              <w:rPr>
                <w:sz w:val="1"/>
                <w:szCs w:val="1"/>
                <w:color w:val="auto"/>
              </w:rPr>
            </w:pPr>
          </w:p>
        </w:tc>
        <w:tc>
          <w:tcPr>
            <w:tcW w:w="340" w:type="dxa"/>
            <w:vAlign w:val="bottom"/>
            <w:tcBorders>
              <w:left w:val="single" w:sz="8" w:color="0000FF"/>
            </w:tcBorders>
            <w:gridSpan w:val="4"/>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32.1‡</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8160" w:type="dxa"/>
            <w:vAlign w:val="bottom"/>
            <w:gridSpan w:val="9"/>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8160" w:type="dxa"/>
            <w:vAlign w:val="bottom"/>
            <w:gridSpan w:val="9"/>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32.2‡</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9540" w:type="dxa"/>
            <w:vAlign w:val="bottom"/>
            <w:gridSpan w:val="1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r>
      <w:tr>
        <w:trPr>
          <w:trHeight w:val="232"/>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101.INS*</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0"/>
        </w:trPr>
        <w:tc>
          <w:tcPr>
            <w:tcW w:w="1120" w:type="dxa"/>
            <w:vAlign w:val="bottom"/>
          </w:tcPr>
          <w:p>
            <w:pPr>
              <w:spacing w:after="0"/>
              <w:rPr>
                <w:sz w:val="19"/>
                <w:szCs w:val="19"/>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101.CAL*</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101.DEF*</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101.LAB*</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101.PRE*</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104*</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520" w:right="240" w:hanging="512"/>
        <w:spacing w:after="0" w:line="282" w:lineRule="auto"/>
        <w:tabs>
          <w:tab w:leader="none" w:pos="1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Company agrees to furnish a copy of any omitted schedule or exhibit to the SEC upon its request.</w:t>
      </w:r>
    </w:p>
    <w:p>
      <w:pPr>
        <w:spacing w:after="0" w:line="54" w:lineRule="exact"/>
        <w:rPr>
          <w:sz w:val="20"/>
          <w:szCs w:val="20"/>
          <w:color w:val="auto"/>
        </w:rPr>
      </w:pPr>
    </w:p>
    <w:p>
      <w:pPr>
        <w:ind w:left="520" w:hanging="512"/>
        <w:spacing w:after="0" w:line="266" w:lineRule="auto"/>
        <w:tabs>
          <w:tab w:leader="none" w:pos="1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380"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tc>
      </w:tr>
      <w:tr>
        <w:trPr>
          <w:trHeight w:val="47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8, 2024</w:t>
            </w:r>
          </w:p>
        </w:tc>
        <w:tc>
          <w:tcPr>
            <w:tcW w:w="23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David Hart</w:t>
            </w:r>
          </w:p>
        </w:tc>
      </w:tr>
      <w:tr>
        <w:trPr>
          <w:trHeight w:val="201"/>
        </w:trPr>
        <w:tc>
          <w:tcPr>
            <w:tcW w:w="35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David Hart</w:t>
            </w:r>
          </w:p>
        </w:tc>
      </w:tr>
      <w:tr>
        <w:trPr>
          <w:trHeight w:val="238"/>
        </w:trPr>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7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8, 2024</w:t>
            </w:r>
          </w:p>
        </w:tc>
        <w:tc>
          <w:tcPr>
            <w:tcW w:w="23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/s/ Derek Watson</w:t>
            </w:r>
          </w:p>
        </w:tc>
      </w:tr>
      <w:tr>
        <w:trPr>
          <w:trHeight w:val="201"/>
        </w:trPr>
        <w:tc>
          <w:tcPr>
            <w:tcW w:w="35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Derek Watson</w:t>
            </w:r>
          </w:p>
        </w:tc>
      </w:tr>
      <w:tr>
        <w:trPr>
          <w:trHeight w:val="238"/>
        </w:trPr>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662"/>
        </w:trPr>
        <w:tc>
          <w:tcPr>
            <w:tcW w:w="3520" w:type="dxa"/>
            <w:vAlign w:val="bottom"/>
          </w:tcPr>
          <w:p>
            <w:pPr>
              <w:spacing w:after="0"/>
              <w:rPr>
                <w:sz w:val="24"/>
                <w:szCs w:val="24"/>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542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924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EXCHANGE AGREEMENT</w:t>
      </w:r>
    </w:p>
    <w:p>
      <w:pPr>
        <w:spacing w:after="0" w:line="146"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9"/>
          <w:szCs w:val="19"/>
          <w:b w:val="1"/>
          <w:bCs w:val="1"/>
          <w:color w:val="auto"/>
        </w:rPr>
        <w:t xml:space="preserve">FIRST AMENDMENT dated June 30, 2024 </w:t>
      </w:r>
      <w:r>
        <w:rPr>
          <w:rFonts w:ascii="Arial" w:cs="Arial" w:eastAsia="Arial" w:hAnsi="Arial"/>
          <w:sz w:val="19"/>
          <w:szCs w:val="19"/>
          <w:color w:val="auto"/>
        </w:rPr>
        <w:t>(the “</w:t>
      </w:r>
      <w:r>
        <w:rPr>
          <w:rFonts w:ascii="Arial" w:cs="Arial" w:eastAsia="Arial" w:hAnsi="Arial"/>
          <w:sz w:val="19"/>
          <w:szCs w:val="19"/>
          <w:b w:val="1"/>
          <w:bCs w:val="1"/>
          <w:color w:val="auto"/>
        </w:rPr>
        <w:t>First Amendment</w:t>
      </w:r>
      <w:r>
        <w:rPr>
          <w:rFonts w:ascii="Arial" w:cs="Arial" w:eastAsia="Arial" w:hAnsi="Arial"/>
          <w:sz w:val="19"/>
          <w:szCs w:val="19"/>
          <w:color w:val="auto"/>
        </w:rPr>
        <w:t>”) to the Exchange Agreement (the “</w:t>
      </w:r>
      <w:r>
        <w:rPr>
          <w:rFonts w:ascii="Arial" w:cs="Arial" w:eastAsia="Arial" w:hAnsi="Arial"/>
          <w:sz w:val="19"/>
          <w:szCs w:val="19"/>
          <w:b w:val="1"/>
          <w:bCs w:val="1"/>
          <w:color w:val="auto"/>
        </w:rPr>
        <w:t>Exchange Agreement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dated January 22, 2024, between The Cannabist Company Holdings Inc., a British Columbia company (the “</w:t>
      </w:r>
      <w:r>
        <w:rPr>
          <w:rFonts w:ascii="Arial" w:cs="Arial" w:eastAsia="Arial" w:hAnsi="Arial"/>
          <w:sz w:val="19"/>
          <w:szCs w:val="19"/>
          <w:b w:val="1"/>
          <w:bCs w:val="1"/>
          <w:color w:val="auto"/>
        </w:rPr>
        <w:t>Company</w:t>
      </w:r>
      <w:r>
        <w:rPr>
          <w:rFonts w:ascii="Arial" w:cs="Arial" w:eastAsia="Arial" w:hAnsi="Arial"/>
          <w:sz w:val="19"/>
          <w:szCs w:val="19"/>
          <w:color w:val="auto"/>
        </w:rPr>
        <w:t>”), Nomis Bay Ltd. and BPY Limited (collectively, the “</w:t>
      </w:r>
      <w:r>
        <w:rPr>
          <w:rFonts w:ascii="Arial" w:cs="Arial" w:eastAsia="Arial" w:hAnsi="Arial"/>
          <w:sz w:val="19"/>
          <w:szCs w:val="19"/>
          <w:b w:val="1"/>
          <w:bCs w:val="1"/>
          <w:color w:val="auto"/>
        </w:rPr>
        <w:t>Holders</w:t>
      </w:r>
      <w:r>
        <w:rPr>
          <w:rFonts w:ascii="Arial" w:cs="Arial" w:eastAsia="Arial" w:hAnsi="Arial"/>
          <w:sz w:val="19"/>
          <w:szCs w:val="19"/>
          <w:color w:val="auto"/>
        </w:rPr>
        <w:t>” and together with the Company,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wish to amend the Exchange Agreement as contemplated in this First Amendment,</w:t>
      </w:r>
    </w:p>
    <w:p>
      <w:pPr>
        <w:spacing w:after="0" w:line="214" w:lineRule="exact"/>
        <w:rPr>
          <w:sz w:val="20"/>
          <w:szCs w:val="20"/>
          <w:color w:val="auto"/>
        </w:rPr>
      </w:pPr>
    </w:p>
    <w:p>
      <w:pPr>
        <w:jc w:val="both"/>
        <w:ind w:right="20" w:firstLine="374"/>
        <w:spacing w:after="0" w:line="270"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and the mutual agreements contained in this Amendment (the receipt and</w:t>
      </w:r>
      <w:r>
        <w:rPr>
          <w:rFonts w:ascii="Arial" w:cs="Arial" w:eastAsia="Arial" w:hAnsi="Arial"/>
          <w:sz w:val="19"/>
          <w:szCs w:val="19"/>
          <w:b w:val="1"/>
          <w:bCs w:val="1"/>
          <w:color w:val="auto"/>
        </w:rPr>
        <w:t xml:space="preserve"> </w:t>
      </w:r>
      <w:r>
        <w:rPr>
          <w:rFonts w:ascii="Arial" w:cs="Arial" w:eastAsia="Arial" w:hAnsi="Arial"/>
          <w:sz w:val="19"/>
          <w:szCs w:val="19"/>
          <w:color w:val="auto"/>
        </w:rPr>
        <w:t>adequacy of which are acknowledged), the parties agree as follows.</w:t>
      </w:r>
    </w:p>
    <w:p>
      <w:pPr>
        <w:spacing w:after="0" w:line="156"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9"/>
          <w:szCs w:val="19"/>
          <w:u w:val="single" w:color="auto"/>
          <w:color w:val="auto"/>
        </w:rPr>
      </w:pPr>
      <w:r>
        <w:rPr>
          <w:rFonts w:ascii="Arial" w:cs="Arial" w:eastAsia="Arial" w:hAnsi="Arial"/>
          <w:sz w:val="19"/>
          <w:szCs w:val="19"/>
          <w:b w:val="1"/>
          <w:bCs w:val="1"/>
          <w:u w:val="single" w:color="auto"/>
          <w:color w:val="auto"/>
        </w:rPr>
        <w:t>Defined Terms.</w:t>
      </w:r>
    </w:p>
    <w:p>
      <w:pPr>
        <w:spacing w:after="0" w:line="213" w:lineRule="exact"/>
        <w:rPr>
          <w:rFonts w:ascii="Arial" w:cs="Arial" w:eastAsia="Arial" w:hAnsi="Arial"/>
          <w:sz w:val="19"/>
          <w:szCs w:val="19"/>
          <w:u w:val="single" w:color="auto"/>
          <w:color w:val="auto"/>
        </w:rPr>
      </w:pPr>
    </w:p>
    <w:p>
      <w:pPr>
        <w:ind w:left="760"/>
        <w:spacing w:after="0"/>
        <w:rPr>
          <w:rFonts w:ascii="Arial" w:cs="Arial" w:eastAsia="Arial" w:hAnsi="Arial"/>
          <w:sz w:val="19"/>
          <w:szCs w:val="19"/>
          <w:u w:val="single" w:color="auto"/>
          <w:color w:val="auto"/>
        </w:rPr>
      </w:pPr>
      <w:r>
        <w:rPr>
          <w:rFonts w:ascii="Arial" w:cs="Arial" w:eastAsia="Arial" w:hAnsi="Arial"/>
          <w:sz w:val="19"/>
          <w:szCs w:val="19"/>
          <w:color w:val="auto"/>
        </w:rPr>
        <w:t>Capitalized terms used but not otherwise defined have the meanings specified in the Exchange Agreement.</w:t>
      </w:r>
    </w:p>
    <w:p>
      <w:pPr>
        <w:spacing w:after="0" w:line="213" w:lineRule="exact"/>
        <w:rPr>
          <w:rFonts w:ascii="Arial" w:cs="Arial" w:eastAsia="Arial" w:hAnsi="Arial"/>
          <w:sz w:val="19"/>
          <w:szCs w:val="19"/>
          <w:u w:val="single" w:color="auto"/>
          <w:color w:val="auto"/>
        </w:rPr>
      </w:pPr>
    </w:p>
    <w:p>
      <w:pPr>
        <w:ind w:left="760" w:hanging="378"/>
        <w:spacing w:after="0"/>
        <w:tabs>
          <w:tab w:leader="none" w:pos="760" w:val="left"/>
        </w:tabs>
        <w:numPr>
          <w:ilvl w:val="0"/>
          <w:numId w:val="18"/>
        </w:numPr>
        <w:rPr>
          <w:rFonts w:ascii="Arial" w:cs="Arial" w:eastAsia="Arial" w:hAnsi="Arial"/>
          <w:sz w:val="19"/>
          <w:szCs w:val="19"/>
          <w:u w:val="single" w:color="auto"/>
          <w:color w:val="auto"/>
        </w:rPr>
      </w:pPr>
      <w:r>
        <w:rPr>
          <w:rFonts w:ascii="Arial" w:cs="Arial" w:eastAsia="Arial" w:hAnsi="Arial"/>
          <w:sz w:val="19"/>
          <w:szCs w:val="19"/>
          <w:b w:val="1"/>
          <w:bCs w:val="1"/>
          <w:u w:val="single" w:color="auto"/>
          <w:color w:val="auto"/>
        </w:rPr>
        <w:t>Outside Date.</w:t>
      </w:r>
    </w:p>
    <w:p>
      <w:pPr>
        <w:spacing w:after="0" w:line="213" w:lineRule="exact"/>
        <w:rPr>
          <w:rFonts w:ascii="Arial" w:cs="Arial" w:eastAsia="Arial" w:hAnsi="Arial"/>
          <w:sz w:val="19"/>
          <w:szCs w:val="19"/>
          <w:u w:val="single" w:color="auto"/>
          <w:color w:val="auto"/>
        </w:rPr>
      </w:pPr>
    </w:p>
    <w:p>
      <w:pPr>
        <w:ind w:left="760"/>
        <w:spacing w:after="0"/>
        <w:rPr>
          <w:rFonts w:ascii="Arial" w:cs="Arial" w:eastAsia="Arial" w:hAnsi="Arial"/>
          <w:sz w:val="19"/>
          <w:szCs w:val="19"/>
          <w:u w:val="single" w:color="auto"/>
          <w:color w:val="auto"/>
        </w:rPr>
      </w:pPr>
      <w:r>
        <w:rPr>
          <w:rFonts w:ascii="Arial" w:cs="Arial" w:eastAsia="Arial" w:hAnsi="Arial"/>
          <w:sz w:val="19"/>
          <w:szCs w:val="19"/>
          <w:color w:val="auto"/>
        </w:rPr>
        <w:t>The definition of “Outside Date” in Section 1(28) is hereby deleted in its entirety and replaced with the following:</w:t>
      </w:r>
    </w:p>
    <w:p>
      <w:pPr>
        <w:spacing w:after="0" w:line="213" w:lineRule="exact"/>
        <w:rPr>
          <w:rFonts w:ascii="Arial" w:cs="Arial" w:eastAsia="Arial" w:hAnsi="Arial"/>
          <w:sz w:val="19"/>
          <w:szCs w:val="19"/>
          <w:u w:val="single" w:color="auto"/>
          <w:color w:val="auto"/>
        </w:rPr>
      </w:pPr>
    </w:p>
    <w:p>
      <w:pPr>
        <w:jc w:val="both"/>
        <w:ind w:left="760"/>
        <w:spacing w:after="0" w:line="254" w:lineRule="auto"/>
        <w:rPr>
          <w:rFonts w:ascii="Arial" w:cs="Arial" w:eastAsia="Arial" w:hAnsi="Arial"/>
          <w:sz w:val="19"/>
          <w:szCs w:val="19"/>
          <w:u w:val="single" w:color="auto"/>
          <w:color w:val="auto"/>
        </w:rPr>
      </w:pPr>
      <w:r>
        <w:rPr>
          <w:rFonts w:ascii="Arial" w:cs="Arial" w:eastAsia="Arial" w:hAnsi="Arial"/>
          <w:sz w:val="19"/>
          <w:szCs w:val="19"/>
          <w:color w:val="auto"/>
        </w:rPr>
        <w:t>“</w:t>
      </w:r>
      <w:r>
        <w:rPr>
          <w:rFonts w:ascii="Arial" w:cs="Arial" w:eastAsia="Arial" w:hAnsi="Arial"/>
          <w:sz w:val="19"/>
          <w:szCs w:val="19"/>
          <w:b w:val="1"/>
          <w:bCs w:val="1"/>
          <w:color w:val="auto"/>
        </w:rPr>
        <w:t>Outside Date</w:t>
      </w:r>
      <w:r>
        <w:rPr>
          <w:rFonts w:ascii="Arial" w:cs="Arial" w:eastAsia="Arial" w:hAnsi="Arial"/>
          <w:sz w:val="19"/>
          <w:szCs w:val="19"/>
          <w:color w:val="auto"/>
        </w:rPr>
        <w:t>” means (i) the Transfer Deadline, or (ii) in the event the Tertiary 2024 Exchange Condition is satisfied and neither the Tertiary 2024 Exchange or the 2024 Alternate Exchange have been completed at or prior to the Transfer Deadline, October 31, 2024.</w:t>
      </w:r>
    </w:p>
    <w:p>
      <w:pPr>
        <w:spacing w:after="0" w:line="170" w:lineRule="exact"/>
        <w:rPr>
          <w:rFonts w:ascii="Arial" w:cs="Arial" w:eastAsia="Arial" w:hAnsi="Arial"/>
          <w:sz w:val="19"/>
          <w:szCs w:val="19"/>
          <w:u w:val="single" w:color="auto"/>
          <w:color w:val="auto"/>
        </w:rPr>
      </w:pPr>
    </w:p>
    <w:p>
      <w:pPr>
        <w:ind w:left="760" w:hanging="378"/>
        <w:spacing w:after="0"/>
        <w:tabs>
          <w:tab w:leader="none" w:pos="760" w:val="left"/>
        </w:tabs>
        <w:numPr>
          <w:ilvl w:val="0"/>
          <w:numId w:val="18"/>
        </w:numPr>
        <w:rPr>
          <w:rFonts w:ascii="Arial" w:cs="Arial" w:eastAsia="Arial" w:hAnsi="Arial"/>
          <w:sz w:val="19"/>
          <w:szCs w:val="19"/>
          <w:u w:val="single" w:color="auto"/>
          <w:color w:val="auto"/>
        </w:rPr>
      </w:pPr>
      <w:r>
        <w:rPr>
          <w:rFonts w:ascii="Arial" w:cs="Arial" w:eastAsia="Arial" w:hAnsi="Arial"/>
          <w:sz w:val="19"/>
          <w:szCs w:val="19"/>
          <w:b w:val="1"/>
          <w:bCs w:val="1"/>
          <w:u w:val="single" w:color="auto"/>
          <w:color w:val="auto"/>
        </w:rPr>
        <w:t>Transfer Deadline.</w:t>
      </w:r>
    </w:p>
    <w:p>
      <w:pPr>
        <w:spacing w:after="0" w:line="213" w:lineRule="exact"/>
        <w:rPr>
          <w:rFonts w:ascii="Arial" w:cs="Arial" w:eastAsia="Arial" w:hAnsi="Arial"/>
          <w:sz w:val="19"/>
          <w:szCs w:val="19"/>
          <w:u w:val="single" w:color="auto"/>
          <w:color w:val="auto"/>
        </w:rPr>
      </w:pPr>
    </w:p>
    <w:p>
      <w:pPr>
        <w:ind w:left="760" w:right="800"/>
        <w:spacing w:after="0" w:line="474" w:lineRule="auto"/>
        <w:rPr>
          <w:rFonts w:ascii="Arial" w:cs="Arial" w:eastAsia="Arial" w:hAnsi="Arial"/>
          <w:sz w:val="19"/>
          <w:szCs w:val="19"/>
          <w:u w:val="single" w:color="auto"/>
          <w:color w:val="auto"/>
        </w:rPr>
      </w:pPr>
      <w:r>
        <w:rPr>
          <w:rFonts w:ascii="Arial" w:cs="Arial" w:eastAsia="Arial" w:hAnsi="Arial"/>
          <w:sz w:val="19"/>
          <w:szCs w:val="19"/>
          <w:color w:val="auto"/>
        </w:rPr>
        <w:t>The definition of “Transfer Deadline” in Section 1(41) is hereby deleted in its entirety and replaced with the following: “</w:t>
      </w:r>
      <w:r>
        <w:rPr>
          <w:rFonts w:ascii="Arial" w:cs="Arial" w:eastAsia="Arial" w:hAnsi="Arial"/>
          <w:sz w:val="19"/>
          <w:szCs w:val="19"/>
          <w:b w:val="1"/>
          <w:bCs w:val="1"/>
          <w:color w:val="auto"/>
        </w:rPr>
        <w:t>Transfer Deadline</w:t>
      </w:r>
      <w:r>
        <w:rPr>
          <w:rFonts w:ascii="Arial" w:cs="Arial" w:eastAsia="Arial" w:hAnsi="Arial"/>
          <w:sz w:val="19"/>
          <w:szCs w:val="19"/>
          <w:color w:val="auto"/>
        </w:rPr>
        <w:t>” means 5:00 p.m. (Toronto time) on September 30, 2024.</w:t>
      </w:r>
    </w:p>
    <w:p>
      <w:pPr>
        <w:ind w:left="760" w:hanging="378"/>
        <w:spacing w:after="0"/>
        <w:tabs>
          <w:tab w:leader="none" w:pos="760" w:val="left"/>
        </w:tabs>
        <w:numPr>
          <w:ilvl w:val="0"/>
          <w:numId w:val="18"/>
        </w:numPr>
        <w:rPr>
          <w:rFonts w:ascii="Arial" w:cs="Arial" w:eastAsia="Arial" w:hAnsi="Arial"/>
          <w:sz w:val="19"/>
          <w:szCs w:val="19"/>
          <w:u w:val="single" w:color="auto"/>
          <w:color w:val="auto"/>
        </w:rPr>
      </w:pPr>
      <w:r>
        <w:rPr>
          <w:rFonts w:ascii="Arial" w:cs="Arial" w:eastAsia="Arial" w:hAnsi="Arial"/>
          <w:sz w:val="19"/>
          <w:szCs w:val="19"/>
          <w:b w:val="1"/>
          <w:bCs w:val="1"/>
          <w:u w:val="single" w:color="auto"/>
          <w:color w:val="auto"/>
        </w:rPr>
        <w:t>Reference to and Effect on Agreements.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On and after the date of this First Amendment, any reference to "this Agreement" in the Exchange Agreement and any reference to the Exchange Agreement in any other agreements will mean the original Exchange Agreement as amended by this First Amendment. Except as specifically amended by this First Amendment, the provisions of the Exchange Agreement shall remain in full force and effect.</w:t>
      </w:r>
    </w:p>
    <w:p>
      <w:pPr>
        <w:spacing w:after="0" w:line="177"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9"/>
          <w:szCs w:val="19"/>
          <w:u w:val="single" w:color="auto"/>
          <w:color w:val="auto"/>
        </w:rPr>
      </w:pPr>
      <w:r>
        <w:rPr>
          <w:rFonts w:ascii="Arial" w:cs="Arial" w:eastAsia="Arial" w:hAnsi="Arial"/>
          <w:sz w:val="19"/>
          <w:szCs w:val="19"/>
          <w:b w:val="1"/>
          <w:bCs w:val="1"/>
          <w:u w:val="single" w:color="auto"/>
          <w:color w:val="auto"/>
        </w:rPr>
        <w:t>Successors and Assigns.</w:t>
      </w:r>
    </w:p>
    <w:p>
      <w:pPr>
        <w:spacing w:after="0" w:line="214" w:lineRule="exact"/>
        <w:rPr>
          <w:sz w:val="20"/>
          <w:szCs w:val="20"/>
          <w:color w:val="auto"/>
        </w:rPr>
      </w:pPr>
    </w:p>
    <w:p>
      <w:pPr>
        <w:ind w:firstLine="749"/>
        <w:spacing w:after="0" w:line="270" w:lineRule="auto"/>
        <w:rPr>
          <w:sz w:val="20"/>
          <w:szCs w:val="20"/>
          <w:color w:val="auto"/>
        </w:rPr>
      </w:pPr>
      <w:r>
        <w:rPr>
          <w:rFonts w:ascii="Arial" w:cs="Arial" w:eastAsia="Arial" w:hAnsi="Arial"/>
          <w:sz w:val="19"/>
          <w:szCs w:val="19"/>
          <w:color w:val="auto"/>
        </w:rPr>
        <w:t>This First Amendment becomes effective when executed by the Parties. After that time, it will be binding upon and (subject to the terms of the Exchange Agreement) enure to the benefit of the Parties and their respective successors and permitted assigns.</w:t>
      </w:r>
    </w:p>
    <w:p>
      <w:pPr>
        <w:spacing w:after="0" w:line="75"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9"/>
          <w:szCs w:val="19"/>
          <w:u w:val="single" w:color="auto"/>
          <w:color w:val="auto"/>
        </w:rPr>
      </w:pPr>
      <w:r>
        <w:rPr>
          <w:rFonts w:ascii="Arial" w:cs="Arial" w:eastAsia="Arial" w:hAnsi="Arial"/>
          <w:sz w:val="19"/>
          <w:szCs w:val="19"/>
          <w:b w:val="1"/>
          <w:bCs w:val="1"/>
          <w:u w:val="single" w:color="auto"/>
          <w:color w:val="auto"/>
        </w:rPr>
        <w:t>Governing Law.</w:t>
      </w:r>
    </w:p>
    <w:p>
      <w:pPr>
        <w:spacing w:after="0" w:line="214" w:lineRule="exact"/>
        <w:rPr>
          <w:sz w:val="20"/>
          <w:szCs w:val="20"/>
          <w:color w:val="auto"/>
        </w:rPr>
      </w:pPr>
    </w:p>
    <w:p>
      <w:pPr>
        <w:ind w:right="2740" w:firstLine="749"/>
        <w:spacing w:after="0" w:line="270" w:lineRule="auto"/>
        <w:rPr>
          <w:sz w:val="20"/>
          <w:szCs w:val="20"/>
          <w:color w:val="auto"/>
        </w:rPr>
      </w:pPr>
      <w:r>
        <w:rPr>
          <w:rFonts w:ascii="Arial" w:cs="Arial" w:eastAsia="Arial" w:hAnsi="Arial"/>
          <w:sz w:val="19"/>
          <w:szCs w:val="19"/>
          <w:color w:val="auto"/>
        </w:rPr>
        <w:t>This First Amendment shall be governed by and interpreted and enforced in accordance with the laws of the Province of British Columbia and the federal laws of Canada applicable therein.</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1"/>
          <w:szCs w:val="11"/>
          <w:color w:val="auto"/>
        </w:rPr>
        <w:t>DOCPROPERTY "CUS_DocIDChunk0" 119554138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ind w:left="760" w:hanging="378"/>
        <w:spacing w:after="0"/>
        <w:tabs>
          <w:tab w:leader="none" w:pos="760" w:val="left"/>
        </w:tabs>
        <w:numPr>
          <w:ilvl w:val="0"/>
          <w:numId w:val="21"/>
        </w:numPr>
        <w:rPr>
          <w:rFonts w:ascii="Arial" w:cs="Arial" w:eastAsia="Arial" w:hAnsi="Arial"/>
          <w:sz w:val="19"/>
          <w:szCs w:val="19"/>
          <w:u w:val="single" w:color="auto"/>
          <w:color w:val="auto"/>
        </w:rPr>
      </w:pPr>
      <w:r>
        <w:rPr>
          <w:rFonts w:ascii="Arial" w:cs="Arial" w:eastAsia="Arial" w:hAnsi="Arial"/>
          <w:sz w:val="19"/>
          <w:szCs w:val="19"/>
          <w:b w:val="1"/>
          <w:bCs w:val="1"/>
          <w:u w:val="single" w:color="auto"/>
          <w:color w:val="auto"/>
        </w:rPr>
        <w:t>Counterparts.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This First Amendment may be executed in two (2) or more counterparts, and by the different parties to this First Amendment in separate counterparts, each of which when executed shall be deemed to be an original but all of which taken together shall constitute one and the same agreement. Delivery of an executed counterpart of a signature page to this First Amendment by facsimile or electronic mail shall be as effective as delivery of a manually executed counterpart of this First Amendment.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1"/>
          <w:szCs w:val="11"/>
          <w:color w:val="auto"/>
        </w:rPr>
        <w:t>DOCPROPERTY "CUS_DocIDChunk0" 119554138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3" w:name="page34"/>
    <w:bookmarkEnd w:id="33"/>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1500"/>
        <w:spacing w:after="0"/>
        <w:rPr>
          <w:sz w:val="20"/>
          <w:szCs w:val="20"/>
          <w:color w:val="auto"/>
        </w:rPr>
      </w:pPr>
      <w:r>
        <w:rPr>
          <w:rFonts w:ascii="Arial" w:cs="Arial" w:eastAsia="Arial" w:hAnsi="Arial"/>
          <w:sz w:val="19"/>
          <w:szCs w:val="19"/>
          <w:b w:val="1"/>
          <w:bCs w:val="1"/>
          <w:color w:val="auto"/>
        </w:rPr>
        <w:t>THE CANNABIST COMPANY HOLDINGS INC.</w:t>
      </w:r>
    </w:p>
    <w:p>
      <w:pPr>
        <w:spacing w:after="0" w:line="281" w:lineRule="exact"/>
        <w:rPr>
          <w:sz w:val="20"/>
          <w:szCs w:val="20"/>
          <w:color w:val="auto"/>
        </w:rPr>
      </w:pPr>
    </w:p>
    <w:tbl>
      <w:tblPr>
        <w:tblLayout w:type="fixed"/>
        <w:tblInd w:w="5720" w:type="dxa"/>
        <w:tblCellMar>
          <w:top w:w="0" w:type="dxa"/>
          <w:left w:w="0" w:type="dxa"/>
          <w:bottom w:w="0" w:type="dxa"/>
          <w:right w:w="0" w:type="dxa"/>
        </w:tblCellMar>
      </w:tblPr>
      <w:tr>
        <w:trPr>
          <w:trHeight w:val="249"/>
        </w:trPr>
        <w:tc>
          <w:tcPr>
            <w:tcW w:w="1120" w:type="dxa"/>
            <w:vAlign w:val="bottom"/>
          </w:tcPr>
          <w:p>
            <w:pPr>
              <w:spacing w:after="0"/>
              <w:rPr>
                <w:sz w:val="20"/>
                <w:szCs w:val="20"/>
                <w:color w:val="auto"/>
              </w:rPr>
            </w:pPr>
            <w:r>
              <w:rPr>
                <w:rFonts w:ascii="Arial" w:cs="Arial" w:eastAsia="Arial" w:hAnsi="Arial"/>
                <w:sz w:val="19"/>
                <w:szCs w:val="19"/>
                <w:color w:val="auto"/>
              </w:rPr>
              <w:t>By:</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rPr>
                <w:sz w:val="20"/>
                <w:szCs w:val="20"/>
                <w:color w:val="auto"/>
              </w:rPr>
            </w:pPr>
            <w:r>
              <w:rPr>
                <w:rFonts w:ascii="Arial" w:cs="Arial" w:eastAsia="Arial" w:hAnsi="Arial"/>
                <w:sz w:val="19"/>
                <w:szCs w:val="19"/>
                <w:color w:val="auto"/>
              </w:rPr>
              <w:t>Name:</w:t>
            </w:r>
          </w:p>
        </w:tc>
        <w:tc>
          <w:tcPr>
            <w:tcW w:w="4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1120" w:type="dxa"/>
            <w:vAlign w:val="bottom"/>
            <w:vMerge w:val="continue"/>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9"/>
                <w:szCs w:val="19"/>
                <w:color w:val="auto"/>
              </w:rPr>
              <w:t>David Hart</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0"/>
                <w:szCs w:val="20"/>
                <w:color w:val="auto"/>
              </w:rPr>
            </w:pPr>
            <w:r>
              <w:rPr>
                <w:rFonts w:ascii="Arial" w:cs="Arial" w:eastAsia="Arial" w:hAnsi="Arial"/>
                <w:sz w:val="19"/>
                <w:szCs w:val="19"/>
                <w:color w:val="auto"/>
              </w:rPr>
              <w:t>Title:</w:t>
            </w:r>
          </w:p>
        </w:tc>
        <w:tc>
          <w:tcPr>
            <w:tcW w:w="4400" w:type="dxa"/>
            <w:vAlign w:val="bottom"/>
          </w:tcPr>
          <w:p>
            <w:pPr>
              <w:ind w:left="200"/>
              <w:spacing w:after="0"/>
              <w:rPr>
                <w:sz w:val="20"/>
                <w:szCs w:val="20"/>
                <w:color w:val="auto"/>
              </w:rPr>
            </w:pPr>
            <w:r>
              <w:rPr>
                <w:rFonts w:ascii="Arial" w:cs="Arial" w:eastAsia="Arial" w:hAnsi="Arial"/>
                <w:sz w:val="19"/>
                <w:szCs w:val="19"/>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720"/>
        <w:spacing w:after="0"/>
        <w:rPr>
          <w:sz w:val="20"/>
          <w:szCs w:val="20"/>
          <w:color w:val="auto"/>
        </w:rPr>
      </w:pPr>
      <w:r>
        <w:rPr>
          <w:rFonts w:ascii="Arial" w:cs="Arial" w:eastAsia="Arial" w:hAnsi="Arial"/>
          <w:sz w:val="19"/>
          <w:szCs w:val="19"/>
          <w:b w:val="1"/>
          <w:bCs w:val="1"/>
          <w:color w:val="auto"/>
        </w:rPr>
        <w:t>BPY LIMITED</w:t>
      </w: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33020</wp:posOffset>
            </wp:positionV>
            <wp:extent cx="27946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2"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Name:</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9"/>
          <w:szCs w:val="19"/>
          <w:b w:val="1"/>
          <w:bCs w:val="1"/>
          <w:color w:val="auto"/>
        </w:rPr>
        <w:t>NOMIS BAY LTD.</w:t>
      </w: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33020</wp:posOffset>
            </wp:positionV>
            <wp:extent cx="27946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2"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Name:</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1"/>
          <w:szCs w:val="11"/>
          <w:color w:val="auto"/>
        </w:rPr>
        <w:t>DOCPROPERTY "CUS_DocIDChunk0" 119554138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39750" cy="540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03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Fractonal CHRO Engagement Agreement</w:t>
      </w:r>
    </w:p>
    <w:p>
      <w:pPr>
        <w:spacing w:after="0" w:line="275" w:lineRule="exact"/>
        <w:rPr>
          <w:sz w:val="20"/>
          <w:szCs w:val="20"/>
          <w:color w:val="auto"/>
        </w:rPr>
      </w:pPr>
    </w:p>
    <w:p>
      <w:pPr>
        <w:ind w:left="9740"/>
        <w:spacing w:after="0"/>
        <w:rPr>
          <w:sz w:val="20"/>
          <w:szCs w:val="20"/>
          <w:color w:val="auto"/>
        </w:rPr>
      </w:pPr>
      <w:r>
        <w:rPr>
          <w:rFonts w:ascii="Calibri" w:cs="Calibri" w:eastAsia="Calibri" w:hAnsi="Calibri"/>
          <w:sz w:val="18"/>
          <w:szCs w:val="18"/>
          <w:b w:val="1"/>
          <w:bCs w:val="1"/>
          <w:color w:val="auto"/>
        </w:rPr>
        <w:t>Exhibit 10.6</w:t>
      </w:r>
    </w:p>
    <w:p>
      <w:pPr>
        <w:spacing w:after="0" w:line="24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 xml:space="preserve">This </w:t>
      </w:r>
      <w:r>
        <w:rPr>
          <w:rFonts w:ascii="Calibri" w:cs="Calibri" w:eastAsia="Calibri" w:hAnsi="Calibri"/>
          <w:sz w:val="20"/>
          <w:szCs w:val="20"/>
          <w:b w:val="1"/>
          <w:bCs w:val="1"/>
          <w:color w:val="auto"/>
        </w:rPr>
        <w:t>FRACTIONAL CHRO ENGAGEMENT AGREEMENT</w:t>
      </w:r>
      <w:r>
        <w:rPr>
          <w:rFonts w:ascii="Calibri" w:cs="Calibri" w:eastAsia="Calibri" w:hAnsi="Calibri"/>
          <w:sz w:val="20"/>
          <w:szCs w:val="20"/>
          <w:color w:val="auto"/>
        </w:rPr>
        <w:t xml:space="preserve"> (the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dated as of August 6, 2024 (the “</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is entered into between ourCHRO, LLC (“</w:t>
      </w:r>
      <w:r>
        <w:rPr>
          <w:rFonts w:ascii="Calibri" w:cs="Calibri" w:eastAsia="Calibri" w:hAnsi="Calibri"/>
          <w:sz w:val="20"/>
          <w:szCs w:val="20"/>
          <w:b w:val="1"/>
          <w:bCs w:val="1"/>
          <w:color w:val="auto"/>
        </w:rPr>
        <w:t>ourCHRO</w:t>
      </w:r>
      <w:r>
        <w:rPr>
          <w:rFonts w:ascii="Calibri" w:cs="Calibri" w:eastAsia="Calibri" w:hAnsi="Calibri"/>
          <w:sz w:val="20"/>
          <w:szCs w:val="20"/>
          <w:color w:val="auto"/>
        </w:rPr>
        <w:t>” or “</w:t>
      </w:r>
      <w:r>
        <w:rPr>
          <w:rFonts w:ascii="Calibri" w:cs="Calibri" w:eastAsia="Calibri" w:hAnsi="Calibri"/>
          <w:sz w:val="20"/>
          <w:szCs w:val="20"/>
          <w:b w:val="1"/>
          <w:bCs w:val="1"/>
          <w:color w:val="auto"/>
        </w:rPr>
        <w:t>we</w:t>
      </w:r>
      <w:r>
        <w:rPr>
          <w:rFonts w:ascii="Calibri" w:cs="Calibri" w:eastAsia="Calibri" w:hAnsi="Calibri"/>
          <w:sz w:val="20"/>
          <w:szCs w:val="20"/>
          <w:color w:val="auto"/>
        </w:rPr>
        <w:t>” or “</w:t>
      </w:r>
      <w:r>
        <w:rPr>
          <w:rFonts w:ascii="Calibri" w:cs="Calibri" w:eastAsia="Calibri" w:hAnsi="Calibri"/>
          <w:sz w:val="20"/>
          <w:szCs w:val="20"/>
          <w:b w:val="1"/>
          <w:bCs w:val="1"/>
          <w:color w:val="auto"/>
        </w:rPr>
        <w:t>us</w:t>
      </w:r>
      <w:r>
        <w:rPr>
          <w:rFonts w:ascii="Calibri" w:cs="Calibri" w:eastAsia="Calibri" w:hAnsi="Calibri"/>
          <w:sz w:val="20"/>
          <w:szCs w:val="20"/>
          <w:color w:val="auto"/>
        </w:rPr>
        <w:t>”) and The Cannabist Company Holdings Inc. (“</w:t>
      </w:r>
      <w:r>
        <w:rPr>
          <w:rFonts w:ascii="Calibri" w:cs="Calibri" w:eastAsia="Calibri" w:hAnsi="Calibri"/>
          <w:sz w:val="20"/>
          <w:szCs w:val="20"/>
          <w:b w:val="1"/>
          <w:bCs w:val="1"/>
          <w:color w:val="auto"/>
        </w:rPr>
        <w:t>Cannabist</w:t>
      </w:r>
      <w:r>
        <w:rPr>
          <w:rFonts w:ascii="Calibri" w:cs="Calibri" w:eastAsia="Calibri" w:hAnsi="Calibri"/>
          <w:sz w:val="20"/>
          <w:szCs w:val="20"/>
          <w:color w:val="auto"/>
        </w:rPr>
        <w:t>” or “</w:t>
      </w:r>
      <w:r>
        <w:rPr>
          <w:rFonts w:ascii="Calibri" w:cs="Calibri" w:eastAsia="Calibri" w:hAnsi="Calibri"/>
          <w:sz w:val="20"/>
          <w:szCs w:val="20"/>
          <w:b w:val="1"/>
          <w:bCs w:val="1"/>
          <w:color w:val="auto"/>
        </w:rPr>
        <w:t>you</w:t>
      </w:r>
      <w:r>
        <w:rPr>
          <w:rFonts w:ascii="Calibri" w:cs="Calibri" w:eastAsia="Calibri" w:hAnsi="Calibri"/>
          <w:sz w:val="20"/>
          <w:szCs w:val="20"/>
          <w:color w:val="auto"/>
        </w:rPr>
        <w:t>”). Each of the above-referenced partes is sometmes herein referred to individually as a “</w:t>
      </w:r>
      <w:r>
        <w:rPr>
          <w:rFonts w:ascii="Calibri" w:cs="Calibri" w:eastAsia="Calibri" w:hAnsi="Calibri"/>
          <w:sz w:val="20"/>
          <w:szCs w:val="20"/>
          <w:b w:val="1"/>
          <w:bCs w:val="1"/>
          <w:color w:val="auto"/>
        </w:rPr>
        <w:t>Party</w:t>
      </w:r>
      <w:r>
        <w:rPr>
          <w:rFonts w:ascii="Calibri" w:cs="Calibri" w:eastAsia="Calibri" w:hAnsi="Calibri"/>
          <w:sz w:val="20"/>
          <w:szCs w:val="20"/>
          <w:color w:val="auto"/>
        </w:rPr>
        <w:t>” and, collectvely, as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Partes desire that Bryan Olson (“</w:t>
      </w:r>
      <w:r>
        <w:rPr>
          <w:rFonts w:ascii="Calibri" w:cs="Calibri" w:eastAsia="Calibri" w:hAnsi="Calibri"/>
          <w:sz w:val="20"/>
          <w:szCs w:val="20"/>
          <w:b w:val="1"/>
          <w:bCs w:val="1"/>
          <w:color w:val="auto"/>
        </w:rPr>
        <w:t>Olson</w:t>
      </w:r>
      <w:r>
        <w:rPr>
          <w:rFonts w:ascii="Calibri" w:cs="Calibri" w:eastAsia="Calibri" w:hAnsi="Calibri"/>
          <w:sz w:val="20"/>
          <w:szCs w:val="20"/>
          <w:color w:val="auto"/>
        </w:rPr>
        <w:t>”), the current Chief Human Resources Ofcer of Cannabist, contnue as the Chief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Human Resources Ofcer of Cannabist, but that he do so as a non-employee consultant via ourCHRO, with 50% of his work-tme allocated to Cannabist; and</w:t>
      </w:r>
    </w:p>
    <w:p>
      <w:pPr>
        <w:spacing w:after="0" w:line="252"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Compensaton Commitee and non-employee Directors of the Board of Cannabist have unanimously approved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arrangement and the compensaton elements thereof;</w:t>
      </w:r>
    </w:p>
    <w:p>
      <w:pPr>
        <w:spacing w:after="0" w:line="25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foregoing and the mutual promises made in this Agreement, the receipt and sufciency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which are hereby conclusively acknowledged, the Partes, agree as follows:</w:t>
      </w:r>
    </w:p>
    <w:p>
      <w:pPr>
        <w:spacing w:after="0" w:line="253" w:lineRule="exact"/>
        <w:rPr>
          <w:sz w:val="20"/>
          <w:szCs w:val="20"/>
          <w:color w:val="auto"/>
        </w:rPr>
      </w:pPr>
    </w:p>
    <w:p>
      <w:pPr>
        <w:jc w:val="both"/>
        <w:ind w:firstLine="757"/>
        <w:spacing w:after="0" w:line="236" w:lineRule="auto"/>
        <w:tabs>
          <w:tab w:leader="none" w:pos="1115"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SERVICES </w:t>
      </w:r>
      <w:r>
        <w:rPr>
          <w:rFonts w:ascii="Calibri" w:cs="Calibri" w:eastAsia="Calibri" w:hAnsi="Calibri"/>
          <w:sz w:val="20"/>
          <w:szCs w:val="20"/>
          <w:color w:val="auto"/>
        </w:rPr>
        <w:t>– Under this Agreement, we will provide to you the consultng services set forth in</w:t>
      </w:r>
      <w:r>
        <w:rPr>
          <w:rFonts w:ascii="Calibri" w:cs="Calibri" w:eastAsia="Calibri" w:hAnsi="Calibri"/>
          <w:sz w:val="20"/>
          <w:szCs w:val="20"/>
          <w:b w:val="1"/>
          <w:bCs w:val="1"/>
          <w:color w:val="auto"/>
        </w:rPr>
        <w:t xml:space="preserve"> </w:t>
      </w:r>
      <w:r>
        <w:rPr>
          <w:rFonts w:ascii="Calibri" w:cs="Calibri" w:eastAsia="Calibri" w:hAnsi="Calibri"/>
          <w:sz w:val="20"/>
          <w:szCs w:val="20"/>
          <w:u w:val="single" w:color="auto"/>
          <w:color w:val="auto"/>
        </w:rPr>
        <w:t>Exhibit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w:t>
      </w:r>
      <w:r>
        <w:rPr>
          <w:rFonts w:ascii="Calibri" w:cs="Calibri" w:eastAsia="Calibri" w:hAnsi="Calibri"/>
          <w:sz w:val="20"/>
          <w:szCs w:val="20"/>
          <w:b w:val="1"/>
          <w:bCs w:val="1"/>
          <w:color w:val="auto"/>
        </w:rPr>
        <w:t>Services</w:t>
      </w:r>
      <w:r>
        <w:rPr>
          <w:rFonts w:ascii="Calibri" w:cs="Calibri" w:eastAsia="Calibri" w:hAnsi="Calibri"/>
          <w:sz w:val="20"/>
          <w:szCs w:val="20"/>
          <w:color w:val="auto"/>
        </w:rPr>
        <w:t>”).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Services will be performed in a professional manner consistent with the level of care, skill, practce, and judgment exercised by other senior HR professionals performing services of a similar nature under similar circumstances by personnel with requisite skills, needed to carry out such work. The Services shall materially conform to any mutually agreed upon specifcatons or descriptons of Services.</w:t>
      </w:r>
    </w:p>
    <w:p>
      <w:pPr>
        <w:spacing w:after="0" w:line="245" w:lineRule="exact"/>
        <w:rPr>
          <w:rFonts w:ascii="Calibri" w:cs="Calibri" w:eastAsia="Calibri" w:hAnsi="Calibri"/>
          <w:sz w:val="20"/>
          <w:szCs w:val="20"/>
          <w:b w:val="1"/>
          <w:bCs w:val="1"/>
          <w:color w:val="auto"/>
        </w:rPr>
      </w:pPr>
    </w:p>
    <w:p>
      <w:pPr>
        <w:ind w:left="1120" w:hanging="363"/>
        <w:spacing w:after="0"/>
        <w:tabs>
          <w:tab w:leader="none" w:pos="112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COMPENSATION</w:t>
      </w:r>
    </w:p>
    <w:p>
      <w:pPr>
        <w:spacing w:after="0" w:line="252" w:lineRule="exact"/>
        <w:rPr>
          <w:sz w:val="20"/>
          <w:szCs w:val="20"/>
          <w:color w:val="auto"/>
        </w:rPr>
      </w:pPr>
    </w:p>
    <w:p>
      <w:pPr>
        <w:jc w:val="both"/>
        <w:ind w:left="760" w:right="20" w:firstLine="366"/>
        <w:spacing w:after="0" w:line="234" w:lineRule="auto"/>
        <w:rPr>
          <w:sz w:val="20"/>
          <w:szCs w:val="20"/>
          <w:color w:val="auto"/>
        </w:rPr>
      </w:pPr>
      <w:r>
        <w:rPr>
          <w:rFonts w:ascii="Calibri" w:cs="Calibri" w:eastAsia="Calibri" w:hAnsi="Calibri"/>
          <w:sz w:val="20"/>
          <w:szCs w:val="20"/>
          <w:b w:val="1"/>
          <w:bCs w:val="1"/>
          <w:color w:val="auto"/>
        </w:rPr>
        <w:t xml:space="preserve">(2.1) FEES </w:t>
      </w:r>
      <w:r>
        <w:rPr>
          <w:rFonts w:ascii="Calibri" w:cs="Calibri" w:eastAsia="Calibri" w:hAnsi="Calibri"/>
          <w:sz w:val="20"/>
          <w:szCs w:val="20"/>
          <w:color w:val="auto"/>
        </w:rPr>
        <w:t>– Cannabist will pay ourCHRO Twenty Six Thousand Two Hundred Fify Dollars ($26,250) per month within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frst ffeen (15) days of each month during the Term (each a “</w:t>
      </w:r>
      <w:r>
        <w:rPr>
          <w:rFonts w:ascii="Calibri" w:cs="Calibri" w:eastAsia="Calibri" w:hAnsi="Calibri"/>
          <w:sz w:val="20"/>
          <w:szCs w:val="20"/>
          <w:b w:val="1"/>
          <w:bCs w:val="1"/>
          <w:color w:val="auto"/>
        </w:rPr>
        <w:t>Monthly Fee</w:t>
      </w:r>
      <w:r>
        <w:rPr>
          <w:rFonts w:ascii="Calibri" w:cs="Calibri" w:eastAsia="Calibri" w:hAnsi="Calibri"/>
          <w:sz w:val="20"/>
          <w:szCs w:val="20"/>
          <w:color w:val="auto"/>
        </w:rPr>
        <w:t>”), commencing on August 6, 2024.</w:t>
      </w:r>
    </w:p>
    <w:p>
      <w:pPr>
        <w:spacing w:after="0" w:line="243" w:lineRule="exact"/>
        <w:rPr>
          <w:sz w:val="20"/>
          <w:szCs w:val="20"/>
          <w:color w:val="auto"/>
        </w:rPr>
      </w:pPr>
    </w:p>
    <w:p>
      <w:pPr>
        <w:ind w:left="740"/>
        <w:spacing w:after="0"/>
        <w:tabs>
          <w:tab w:leader="none" w:pos="1460" w:val="left"/>
        </w:tabs>
        <w:rPr>
          <w:sz w:val="20"/>
          <w:szCs w:val="20"/>
          <w:color w:val="auto"/>
        </w:rPr>
      </w:pPr>
      <w:r>
        <w:rPr>
          <w:rFonts w:ascii="Calibri" w:cs="Calibri" w:eastAsia="Calibri" w:hAnsi="Calibri"/>
          <w:sz w:val="20"/>
          <w:szCs w:val="20"/>
          <w:b w:val="1"/>
          <w:bCs w:val="1"/>
          <w:color w:val="auto"/>
        </w:rPr>
        <w:t>(2.2)</w:t>
      </w:r>
      <w:r>
        <w:rPr>
          <w:sz w:val="20"/>
          <w:szCs w:val="20"/>
          <w:color w:val="auto"/>
        </w:rPr>
        <w:tab/>
      </w:r>
      <w:r>
        <w:rPr>
          <w:rFonts w:ascii="Calibri" w:cs="Calibri" w:eastAsia="Calibri" w:hAnsi="Calibri"/>
          <w:sz w:val="20"/>
          <w:szCs w:val="20"/>
          <w:b w:val="1"/>
          <w:bCs w:val="1"/>
          <w:color w:val="auto"/>
        </w:rPr>
        <w:t>EQUITY GRANTS</w:t>
      </w:r>
    </w:p>
    <w:p>
      <w:pPr>
        <w:spacing w:after="0" w:line="252" w:lineRule="exact"/>
        <w:rPr>
          <w:sz w:val="20"/>
          <w:szCs w:val="20"/>
          <w:color w:val="auto"/>
        </w:rPr>
      </w:pPr>
    </w:p>
    <w:p>
      <w:pPr>
        <w:jc w:val="both"/>
        <w:ind w:left="1480" w:hanging="764"/>
        <w:spacing w:after="0" w:line="237" w:lineRule="auto"/>
        <w:tabs>
          <w:tab w:leader="none" w:pos="1460" w:val="left"/>
        </w:tabs>
        <w:rPr>
          <w:sz w:val="20"/>
          <w:szCs w:val="20"/>
          <w:color w:val="auto"/>
        </w:rPr>
      </w:pPr>
      <w:r>
        <w:rPr>
          <w:rFonts w:ascii="Calibri" w:cs="Calibri" w:eastAsia="Calibri" w:hAnsi="Calibri"/>
          <w:sz w:val="20"/>
          <w:szCs w:val="20"/>
          <w:b w:val="1"/>
          <w:bCs w:val="1"/>
          <w:color w:val="auto"/>
        </w:rPr>
        <w:t>(2.2a)</w:t>
        <w:tab/>
        <w:t xml:space="preserve">GOING FORWARD EQUITY GRANTS </w:t>
      </w:r>
      <w:r>
        <w:rPr>
          <w:rFonts w:ascii="Calibri" w:cs="Calibri" w:eastAsia="Calibri" w:hAnsi="Calibri"/>
          <w:sz w:val="20"/>
          <w:szCs w:val="20"/>
          <w:color w:val="auto"/>
        </w:rPr>
        <w:t>– ourCHRO shall receive annual equity grants (“</w:t>
      </w:r>
      <w:r>
        <w:rPr>
          <w:rFonts w:ascii="Calibri" w:cs="Calibri" w:eastAsia="Calibri" w:hAnsi="Calibri"/>
          <w:sz w:val="20"/>
          <w:szCs w:val="20"/>
          <w:b w:val="1"/>
          <w:bCs w:val="1"/>
          <w:color w:val="auto"/>
        </w:rPr>
        <w:t>Equity Grants</w:t>
      </w:r>
      <w:r>
        <w:rPr>
          <w:rFonts w:ascii="Calibri" w:cs="Calibri" w:eastAsia="Calibri" w:hAnsi="Calibri"/>
          <w:sz w:val="20"/>
          <w:szCs w:val="20"/>
          <w:color w:val="auto"/>
        </w:rPr>
        <w:t>”) under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Cannabist Omnibus Long-Term Incentve Plan and any applicable award documents, as may be amended from tme to tme (“</w:t>
      </w:r>
      <w:r>
        <w:rPr>
          <w:rFonts w:ascii="Calibri" w:cs="Calibri" w:eastAsia="Calibri" w:hAnsi="Calibri"/>
          <w:sz w:val="20"/>
          <w:szCs w:val="20"/>
          <w:b w:val="1"/>
          <w:bCs w:val="1"/>
          <w:color w:val="auto"/>
        </w:rPr>
        <w:t>Omnibus Plan</w:t>
      </w:r>
      <w:r>
        <w:rPr>
          <w:rFonts w:ascii="Calibri" w:cs="Calibri" w:eastAsia="Calibri" w:hAnsi="Calibri"/>
          <w:sz w:val="20"/>
          <w:szCs w:val="20"/>
          <w:color w:val="auto"/>
        </w:rPr>
        <w:t>”), based upon achievement of corporate and individual goals. Such Equity Grants are subject to all of the terms and conditons of the Omnibus Plan and any applicable award documents. The vestng schedule, exercise tming, and price per unit (as defned in the applicable award agreement) will be determined in accordance with the Omnibus Plan, but will be consistent with the vestng provisions for C-Suite executves of Cannabist. The target annual Equity Grant amount is Five Hundred Thousand US Dollars ($500,000), the number of RSUs or other form of equity to be determined in a manner consistent with the calculatons use to determine the number of such equity units for the C-Suite executves of Cannabist.</w:t>
      </w:r>
    </w:p>
    <w:p>
      <w:pPr>
        <w:spacing w:after="0" w:line="260" w:lineRule="exact"/>
        <w:rPr>
          <w:sz w:val="20"/>
          <w:szCs w:val="20"/>
          <w:color w:val="auto"/>
        </w:rPr>
      </w:pPr>
    </w:p>
    <w:p>
      <w:pPr>
        <w:jc w:val="both"/>
        <w:ind w:left="1480" w:hanging="764"/>
        <w:spacing w:after="0" w:line="234" w:lineRule="auto"/>
        <w:tabs>
          <w:tab w:leader="none" w:pos="1460" w:val="left"/>
        </w:tabs>
        <w:rPr>
          <w:sz w:val="20"/>
          <w:szCs w:val="20"/>
          <w:color w:val="auto"/>
        </w:rPr>
      </w:pPr>
      <w:r>
        <w:rPr>
          <w:rFonts w:ascii="Calibri" w:cs="Calibri" w:eastAsia="Calibri" w:hAnsi="Calibri"/>
          <w:sz w:val="20"/>
          <w:szCs w:val="20"/>
          <w:b w:val="1"/>
          <w:bCs w:val="1"/>
          <w:color w:val="auto"/>
        </w:rPr>
        <w:t>(2.2b)</w:t>
        <w:tab/>
        <w:t xml:space="preserve">PRIOR EQUITY GRANTS </w:t>
      </w:r>
      <w:r>
        <w:rPr>
          <w:rFonts w:ascii="Calibri" w:cs="Calibri" w:eastAsia="Calibri" w:hAnsi="Calibri"/>
          <w:sz w:val="20"/>
          <w:szCs w:val="20"/>
          <w:color w:val="auto"/>
        </w:rPr>
        <w:t>– Any outstanding unvested equity previously granted to Olson under the Omnibus Plan,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any prior equity plan of Cannabist, shall contnue to vest during the Term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1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w:t>
      </w:r>
      <w:r>
        <w:rPr>
          <w:rFonts w:ascii="Calibri" w:cs="Calibri" w:eastAsia="Calibri" w:hAnsi="Calibri"/>
          <w:sz w:val="20"/>
          <w:szCs w:val="20"/>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39750" cy="540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03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Fractonal CHRO Engagement Agreement</w:t>
      </w:r>
    </w:p>
    <w:p>
      <w:pPr>
        <w:spacing w:after="0" w:line="278" w:lineRule="exact"/>
        <w:rPr>
          <w:sz w:val="20"/>
          <w:szCs w:val="20"/>
          <w:color w:val="auto"/>
        </w:rPr>
      </w:pPr>
    </w:p>
    <w:p>
      <w:pPr>
        <w:ind w:left="1500" w:right="20"/>
        <w:spacing w:after="0" w:line="234" w:lineRule="auto"/>
        <w:rPr>
          <w:sz w:val="20"/>
          <w:szCs w:val="20"/>
          <w:color w:val="auto"/>
        </w:rPr>
      </w:pPr>
      <w:r>
        <w:rPr>
          <w:rFonts w:ascii="Calibri" w:cs="Calibri" w:eastAsia="Calibri" w:hAnsi="Calibri"/>
          <w:sz w:val="20"/>
          <w:szCs w:val="20"/>
          <w:color w:val="auto"/>
        </w:rPr>
        <w:t>this Agreement. For the avoidance of doubt, services provided under this Agreement shall be considered a contnuaton of services to Cannabist under the applicable award agreements.</w:t>
      </w:r>
    </w:p>
    <w:p>
      <w:pPr>
        <w:spacing w:after="0" w:line="253" w:lineRule="exact"/>
        <w:rPr>
          <w:sz w:val="20"/>
          <w:szCs w:val="20"/>
          <w:color w:val="auto"/>
        </w:rPr>
      </w:pPr>
    </w:p>
    <w:p>
      <w:pPr>
        <w:jc w:val="both"/>
        <w:ind w:left="760" w:firstLine="366"/>
        <w:spacing w:after="0" w:line="237" w:lineRule="auto"/>
        <w:rPr>
          <w:sz w:val="20"/>
          <w:szCs w:val="20"/>
          <w:color w:val="auto"/>
        </w:rPr>
      </w:pPr>
      <w:r>
        <w:rPr>
          <w:rFonts w:ascii="Calibri" w:cs="Calibri" w:eastAsia="Calibri" w:hAnsi="Calibri"/>
          <w:sz w:val="20"/>
          <w:szCs w:val="20"/>
          <w:b w:val="1"/>
          <w:bCs w:val="1"/>
          <w:color w:val="auto"/>
        </w:rPr>
        <w:t xml:space="preserve">(2.3) 2024 BONUS </w:t>
      </w:r>
      <w:r>
        <w:rPr>
          <w:rFonts w:ascii="Calibri" w:cs="Calibri" w:eastAsia="Calibri" w:hAnsi="Calibri"/>
          <w:sz w:val="20"/>
          <w:szCs w:val="20"/>
          <w:color w:val="auto"/>
        </w:rPr>
        <w:t>– Olson will be eligible to partcipate in Cannabist’s discretonary executve bonus plan (the “</w:t>
      </w:r>
      <w:r>
        <w:rPr>
          <w:rFonts w:ascii="Calibri" w:cs="Calibri" w:eastAsia="Calibri" w:hAnsi="Calibri"/>
          <w:sz w:val="20"/>
          <w:szCs w:val="20"/>
          <w:b w:val="1"/>
          <w:bCs w:val="1"/>
          <w:color w:val="auto"/>
        </w:rPr>
        <w:t>Bonus Plan</w:t>
      </w:r>
      <w:r>
        <w:rPr>
          <w:rFonts w:ascii="Calibri" w:cs="Calibri" w:eastAsia="Calibri" w:hAnsi="Calibri"/>
          <w:sz w:val="20"/>
          <w:szCs w:val="20"/>
          <w:color w:val="auto"/>
        </w:rPr>
        <w:t>”) for 2024 (the “</w:t>
      </w:r>
      <w:r>
        <w:rPr>
          <w:rFonts w:ascii="Calibri" w:cs="Calibri" w:eastAsia="Calibri" w:hAnsi="Calibri"/>
          <w:sz w:val="20"/>
          <w:szCs w:val="20"/>
          <w:b w:val="1"/>
          <w:bCs w:val="1"/>
          <w:color w:val="auto"/>
        </w:rPr>
        <w:t>Bonus Separaton Payment</w:t>
      </w:r>
      <w:r>
        <w:rPr>
          <w:rFonts w:ascii="Calibri" w:cs="Calibri" w:eastAsia="Calibri" w:hAnsi="Calibri"/>
          <w:sz w:val="20"/>
          <w:szCs w:val="20"/>
          <w:color w:val="auto"/>
        </w:rPr>
        <w:t>”). Such partcipaton will be determined on a pro-rated basis covering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performance period from January 1, 2024 through July 31, 2024 (the “</w:t>
      </w:r>
      <w:r>
        <w:rPr>
          <w:rFonts w:ascii="Calibri" w:cs="Calibri" w:eastAsia="Calibri" w:hAnsi="Calibri"/>
          <w:sz w:val="20"/>
          <w:szCs w:val="20"/>
          <w:b w:val="1"/>
          <w:bCs w:val="1"/>
          <w:color w:val="auto"/>
        </w:rPr>
        <w:t>Bonus Performance Term</w:t>
      </w:r>
      <w:r>
        <w:rPr>
          <w:rFonts w:ascii="Calibri" w:cs="Calibri" w:eastAsia="Calibri" w:hAnsi="Calibri"/>
          <w:sz w:val="20"/>
          <w:szCs w:val="20"/>
          <w:color w:val="auto"/>
        </w:rPr>
        <w:t>”), subject to terms of the Bonus Plan, with a target bonus of 55% (subject to pro-raton) of Olson’s salary in efect during the Bonus Performance Term, and based upon the achievement of corporate and individual goals. The Bonus Separaton Payment will be paid to Olson on the same date that Cannabist pays bonuses to C-Suite executves under the Bonus Plan for 2024. The amount of the Bonus Separaton Payment will be determined by Cannabist in good faith.</w:t>
      </w:r>
    </w:p>
    <w:p>
      <w:pPr>
        <w:spacing w:after="0" w:line="256" w:lineRule="exact"/>
        <w:rPr>
          <w:sz w:val="20"/>
          <w:szCs w:val="20"/>
          <w:color w:val="auto"/>
        </w:rPr>
      </w:pPr>
    </w:p>
    <w:p>
      <w:pPr>
        <w:jc w:val="both"/>
        <w:ind w:left="760" w:firstLine="749"/>
        <w:spacing w:after="0" w:line="237" w:lineRule="auto"/>
        <w:rPr>
          <w:sz w:val="20"/>
          <w:szCs w:val="20"/>
          <w:color w:val="auto"/>
        </w:rPr>
      </w:pPr>
      <w:r>
        <w:rPr>
          <w:rFonts w:ascii="Calibri" w:cs="Calibri" w:eastAsia="Calibri" w:hAnsi="Calibri"/>
          <w:sz w:val="20"/>
          <w:szCs w:val="20"/>
          <w:b w:val="1"/>
          <w:bCs w:val="1"/>
          <w:color w:val="auto"/>
        </w:rPr>
        <w:t xml:space="preserve">(2.4) EXPENSES </w:t>
      </w:r>
      <w:r>
        <w:rPr>
          <w:rFonts w:ascii="Calibri" w:cs="Calibri" w:eastAsia="Calibri" w:hAnsi="Calibri"/>
          <w:sz w:val="20"/>
          <w:szCs w:val="20"/>
          <w:color w:val="auto"/>
        </w:rPr>
        <w:t>– In most instances, we antcipate that the Services will be provided without any additonal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expenses. We will seek your pre-approval before incurring any expenses that would be passed on to you. You agree to reimburse our reasonable, pre-approved expenses incurred in performing the Services (“</w:t>
      </w:r>
      <w:r>
        <w:rPr>
          <w:rFonts w:ascii="Calibri" w:cs="Calibri" w:eastAsia="Calibri" w:hAnsi="Calibri"/>
          <w:sz w:val="20"/>
          <w:szCs w:val="20"/>
          <w:b w:val="1"/>
          <w:bCs w:val="1"/>
          <w:color w:val="auto"/>
        </w:rPr>
        <w:t>Expenses</w:t>
      </w:r>
      <w:r>
        <w:rPr>
          <w:rFonts w:ascii="Calibri" w:cs="Calibri" w:eastAsia="Calibri" w:hAnsi="Calibri"/>
          <w:sz w:val="20"/>
          <w:szCs w:val="20"/>
          <w:color w:val="auto"/>
        </w:rPr>
        <w:t>”) no later than thirty (30) days following your receipt of such invoice, provided that reimbursement for Expenses may be delayed untl such tme as we have furnished such documentaton for authorized expenses as you may reasonably request.</w:t>
      </w:r>
    </w:p>
    <w:p>
      <w:pPr>
        <w:spacing w:after="0" w:line="253" w:lineRule="exact"/>
        <w:rPr>
          <w:sz w:val="20"/>
          <w:szCs w:val="20"/>
          <w:color w:val="auto"/>
        </w:rPr>
      </w:pPr>
    </w:p>
    <w:p>
      <w:pPr>
        <w:ind w:firstLine="757"/>
        <w:spacing w:after="0" w:line="234" w:lineRule="auto"/>
        <w:tabs>
          <w:tab w:leader="none" w:pos="1115"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TERM </w:t>
      </w:r>
      <w:r>
        <w:rPr>
          <w:rFonts w:ascii="Calibri" w:cs="Calibri" w:eastAsia="Calibri" w:hAnsi="Calibri"/>
          <w:sz w:val="20"/>
          <w:szCs w:val="20"/>
          <w:color w:val="auto"/>
        </w:rPr>
        <w:t>– The term of this Agreement will begin on August 6, 2024, and contnue untl August 5, 2025, and shall contnue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from year to year thereafer untl the efectve date of a terminaton as described in Secton 4 below (the “</w:t>
      </w:r>
      <w:r>
        <w:rPr>
          <w:rFonts w:ascii="Calibri" w:cs="Calibri" w:eastAsia="Calibri" w:hAnsi="Calibri"/>
          <w:sz w:val="20"/>
          <w:szCs w:val="20"/>
          <w:b w:val="1"/>
          <w:bCs w:val="1"/>
          <w:color w:val="auto"/>
        </w:rPr>
        <w:t>Term</w:t>
      </w:r>
      <w:r>
        <w:rPr>
          <w:rFonts w:ascii="Calibri" w:cs="Calibri" w:eastAsia="Calibri" w:hAnsi="Calibri"/>
          <w:sz w:val="20"/>
          <w:szCs w:val="20"/>
          <w:color w:val="auto"/>
        </w:rPr>
        <w:t>”).</w:t>
      </w:r>
    </w:p>
    <w:p>
      <w:pPr>
        <w:spacing w:after="0" w:line="243" w:lineRule="exact"/>
        <w:rPr>
          <w:rFonts w:ascii="Calibri" w:cs="Calibri" w:eastAsia="Calibri" w:hAnsi="Calibri"/>
          <w:sz w:val="20"/>
          <w:szCs w:val="20"/>
          <w:b w:val="1"/>
          <w:bCs w:val="1"/>
          <w:color w:val="auto"/>
        </w:rPr>
      </w:pPr>
    </w:p>
    <w:p>
      <w:pPr>
        <w:ind w:left="1120" w:hanging="363"/>
        <w:spacing w:after="0"/>
        <w:tabs>
          <w:tab w:leader="none" w:pos="112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TERMINATION</w:t>
      </w:r>
    </w:p>
    <w:p>
      <w:pPr>
        <w:spacing w:after="0" w:line="252" w:lineRule="exact"/>
        <w:rPr>
          <w:sz w:val="20"/>
          <w:szCs w:val="20"/>
          <w:color w:val="auto"/>
        </w:rPr>
      </w:pPr>
    </w:p>
    <w:p>
      <w:pPr>
        <w:jc w:val="both"/>
        <w:ind w:left="760" w:firstLine="749"/>
        <w:spacing w:after="0"/>
        <w:rPr>
          <w:sz w:val="20"/>
          <w:szCs w:val="20"/>
          <w:color w:val="auto"/>
        </w:rPr>
      </w:pPr>
      <w:r>
        <w:rPr>
          <w:rFonts w:ascii="Calibri" w:cs="Calibri" w:eastAsia="Calibri" w:hAnsi="Calibri"/>
          <w:sz w:val="20"/>
          <w:szCs w:val="20"/>
          <w:b w:val="1"/>
          <w:bCs w:val="1"/>
          <w:color w:val="auto"/>
        </w:rPr>
        <w:t xml:space="preserve">(4.1) TERMINATION FOR CAUSE </w:t>
      </w:r>
      <w:r>
        <w:rPr>
          <w:rFonts w:ascii="Calibri" w:cs="Calibri" w:eastAsia="Calibri" w:hAnsi="Calibri"/>
          <w:sz w:val="20"/>
          <w:szCs w:val="20"/>
          <w:color w:val="auto"/>
        </w:rPr>
        <w:t>– Cannabist may terminate the Agreement by providing writen notce of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intenton to terminate the Agreement for Cause. Except as otherwise described in this Secton (4.1), such terminaton shall be efectve as of the date following the provision of such notce, as determined by Cannabist. “</w:t>
      </w:r>
      <w:r>
        <w:rPr>
          <w:rFonts w:ascii="Calibri" w:cs="Calibri" w:eastAsia="Calibri" w:hAnsi="Calibri"/>
          <w:sz w:val="20"/>
          <w:szCs w:val="20"/>
          <w:b w:val="1"/>
          <w:bCs w:val="1"/>
          <w:color w:val="auto"/>
        </w:rPr>
        <w:t>Cause</w:t>
      </w:r>
      <w:r>
        <w:rPr>
          <w:rFonts w:ascii="Calibri" w:cs="Calibri" w:eastAsia="Calibri" w:hAnsi="Calibri"/>
          <w:sz w:val="20"/>
          <w:szCs w:val="20"/>
          <w:color w:val="auto"/>
        </w:rPr>
        <w:t>” means Olson’s or ourCHRO’s: (i) engaging in illegal conduct that was or is materially injurious to Cannabist or its afliates; (ii) violatng a federal or state law or regulaton applicable to Cannabist’s business which violaton was or is reasonably likely to be injurious to Cannabist, except for any violaton of the Controlled Substances Act arising from Cannabist’s cultvaton and distributon of marijuana; (iii) material breach of the material terms of this Agreement; (iv) commission of a felony or commitng any act of moral turpitude or the misappropriaton of material property belonging to Cannabist or its afliates; (v) engaging in any act that consttutes material misconduct, thef, fraud, embezzlement, misrepresentaton, confict of interest, or breach of fduciary obligatons to Cannabist; (vi) gross negligence or willful failure to follow lawful directons of the Board or the Chief Executve Ofcer of Cannabist, other than due to illness or incapacity; (vii) unauthorized use or disclosure of proprietary informaton of Cannabist; (viii) actons or conduct which is detrimental to the business or fnancial reputaton of Cannabist; or (ix) material violaton of any material policies of Cannabist; provided that, with respect to subpart (ix), Olson and/or ourCHRO must be provided with writen notce of terminaton for Cause (including an explanaton of the basis for Cause) and be provided with a 30-day period following receipt of such notce to cure the event(s) that trigger Cause. The Chief Executve Ofcer and/or the Compensaton Commitee of the Board of Directors of Cannabist shall make the fnal determinaton in good faith as to whether Olson and/or ourCRHO has cured the existence of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2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w:t>
      </w:r>
      <w:r>
        <w:rPr>
          <w:rFonts w:ascii="Calibri" w:cs="Calibri" w:eastAsia="Calibri" w:hAnsi="Calibri"/>
          <w:sz w:val="20"/>
          <w:szCs w:val="20"/>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39750" cy="540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03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Fractonal CHRO Engagement Agreement</w:t>
      </w:r>
    </w:p>
    <w:p>
      <w:pPr>
        <w:spacing w:after="0" w:line="200" w:lineRule="exact"/>
        <w:rPr>
          <w:sz w:val="20"/>
          <w:szCs w:val="20"/>
          <w:color w:val="auto"/>
        </w:rPr>
      </w:pPr>
    </w:p>
    <w:p>
      <w:pPr>
        <w:spacing w:after="0" w:line="321" w:lineRule="exact"/>
        <w:rPr>
          <w:sz w:val="20"/>
          <w:szCs w:val="20"/>
          <w:color w:val="auto"/>
        </w:rPr>
      </w:pPr>
    </w:p>
    <w:p>
      <w:pPr>
        <w:jc w:val="both"/>
        <w:ind w:left="760" w:firstLine="749"/>
        <w:spacing w:after="0" w:line="237" w:lineRule="auto"/>
        <w:rPr>
          <w:sz w:val="20"/>
          <w:szCs w:val="20"/>
          <w:color w:val="auto"/>
        </w:rPr>
      </w:pPr>
      <w:r>
        <w:rPr>
          <w:rFonts w:ascii="Calibri" w:cs="Calibri" w:eastAsia="Calibri" w:hAnsi="Calibri"/>
          <w:sz w:val="20"/>
          <w:szCs w:val="20"/>
          <w:b w:val="1"/>
          <w:bCs w:val="1"/>
          <w:color w:val="auto"/>
        </w:rPr>
        <w:t xml:space="preserve">(4.2) TERMINATION WITH NOTICE; OR WITH PAYMENT IN LIEU OF NOTICE </w:t>
      </w:r>
      <w:r>
        <w:rPr>
          <w:rFonts w:ascii="Calibri" w:cs="Calibri" w:eastAsia="Calibri" w:hAnsi="Calibri"/>
          <w:sz w:val="20"/>
          <w:szCs w:val="20"/>
          <w:color w:val="auto"/>
        </w:rPr>
        <w:t>– Olson may terminate this Agreement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at any tme and for any reason, provided that writen notce is sent at least twelve (12) months prior to the efectve date of terminaton. Beginning on January 6, 2025, Cannabist may terminate this Agreement at any tme and for any reason, provided that writen notce is sent at least twelve (12) months prior to the efectve date of terminaton. </w:t>
      </w:r>
      <w:r>
        <w:rPr>
          <w:rFonts w:ascii="Calibri" w:cs="Calibri" w:eastAsia="Calibri" w:hAnsi="Calibri"/>
          <w:sz w:val="20"/>
          <w:szCs w:val="20"/>
          <w:color w:val="242424"/>
        </w:rPr>
        <w:t>Cannabist may, at its absolute</w:t>
      </w:r>
      <w:r>
        <w:rPr>
          <w:rFonts w:ascii="Calibri" w:cs="Calibri" w:eastAsia="Calibri" w:hAnsi="Calibri"/>
          <w:sz w:val="20"/>
          <w:szCs w:val="20"/>
          <w:color w:val="auto"/>
        </w:rPr>
        <w:t xml:space="preserve"> </w:t>
      </w:r>
      <w:r>
        <w:rPr>
          <w:rFonts w:ascii="Calibri" w:cs="Calibri" w:eastAsia="Calibri" w:hAnsi="Calibri"/>
          <w:sz w:val="20"/>
          <w:szCs w:val="20"/>
          <w:color w:val="242424"/>
        </w:rPr>
        <w:t>discreton, when terminatng Agreement pursuant to Secton (4.2), elect to notfy ourCHRO in writng that it is exercising its right to terminate the Agreement with immediate efect and that it will be making a payment to ourCHRO in lieu of notce. Cannabist’s payment in lieu of notce shall be equivalent to twelve (12) tmes the Monthly Fee.</w:t>
      </w:r>
    </w:p>
    <w:p>
      <w:pPr>
        <w:spacing w:after="0" w:line="256" w:lineRule="exact"/>
        <w:rPr>
          <w:sz w:val="20"/>
          <w:szCs w:val="20"/>
          <w:color w:val="auto"/>
        </w:rPr>
      </w:pPr>
    </w:p>
    <w:p>
      <w:pPr>
        <w:jc w:val="both"/>
        <w:ind w:firstLine="757"/>
        <w:spacing w:after="0" w:line="236" w:lineRule="auto"/>
        <w:tabs>
          <w:tab w:leader="none" w:pos="1115"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INDEPENDENT CONTRACT RELATIONSHIP </w:t>
      </w:r>
      <w:r>
        <w:rPr>
          <w:rFonts w:ascii="Calibri" w:cs="Calibri" w:eastAsia="Calibri" w:hAnsi="Calibri"/>
          <w:sz w:val="20"/>
          <w:szCs w:val="20"/>
          <w:color w:val="auto"/>
        </w:rPr>
        <w:t>– ourCHRO’s relatonship with Cannabist is that of an independent contractor,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nothing in this Agreement is intended to, or shall be construed to, create a partnership, agency, joint venture, employment or similar relatonship. We are solely responsible for all tax returns and payments required to be fled with, or made to, any federal, state or local tax authority with respect to the performance of services and receipt of fees under this Agreement.</w:t>
      </w:r>
    </w:p>
    <w:p>
      <w:pPr>
        <w:spacing w:after="0" w:line="254" w:lineRule="exact"/>
        <w:rPr>
          <w:rFonts w:ascii="Calibri" w:cs="Calibri" w:eastAsia="Calibri" w:hAnsi="Calibri"/>
          <w:sz w:val="20"/>
          <w:szCs w:val="20"/>
          <w:b w:val="1"/>
          <w:bCs w:val="1"/>
          <w:color w:val="auto"/>
        </w:rPr>
      </w:pPr>
    </w:p>
    <w:p>
      <w:pPr>
        <w:jc w:val="both"/>
        <w:ind w:firstLine="757"/>
        <w:spacing w:after="0" w:line="237" w:lineRule="auto"/>
        <w:tabs>
          <w:tab w:leader="none" w:pos="1142"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CONFIDENTIALITY </w:t>
      </w:r>
      <w:r>
        <w:rPr>
          <w:rFonts w:ascii="Calibri" w:cs="Calibri" w:eastAsia="Calibri" w:hAnsi="Calibri"/>
          <w:sz w:val="20"/>
          <w:szCs w:val="20"/>
          <w:color w:val="auto"/>
        </w:rPr>
        <w:t>– We understand that all informaton regarding Cannabist or any of your ofcers or employees that 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made available, furnished or communicated to us, or that we otherwise learn during the course of work in connecton with this Agreement and any advice, informaton or recommendatons that we provide to Cannabist or any of the above individuals is considered to be confdental, sensitve or proprietary informaton, and we agree that we will not disclose any such informaton to any third partes, except and only to the extent required by law in the writen opinion of our outside legal counsel afer prompt notce to Cannabist (in which case we will cooperate in any reasonable eforts by Cannabist to obtain confdental or other protectve treatment of the informaton) or as otherwise authorized by Cannabist. This paragraph shall not apply to informaton that is or becomes publicly available through no fault of ourCHRO. Notwithstanding the foregoing, we may retain archival copies of such confdental informaton, provided that such retained confdental informaton shall remain subject to the terms of this Agreement.</w:t>
      </w:r>
    </w:p>
    <w:p>
      <w:pPr>
        <w:spacing w:after="0" w:line="260" w:lineRule="exact"/>
        <w:rPr>
          <w:rFonts w:ascii="Calibri" w:cs="Calibri" w:eastAsia="Calibri" w:hAnsi="Calibri"/>
          <w:sz w:val="20"/>
          <w:szCs w:val="20"/>
          <w:b w:val="1"/>
          <w:bCs w:val="1"/>
          <w:color w:val="auto"/>
        </w:rPr>
      </w:pPr>
    </w:p>
    <w:p>
      <w:pPr>
        <w:jc w:val="both"/>
        <w:ind w:firstLine="757"/>
        <w:spacing w:after="0"/>
        <w:tabs>
          <w:tab w:leader="none" w:pos="1115"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NO CONFLICT OF INTEREST </w:t>
      </w:r>
      <w:r>
        <w:rPr>
          <w:rFonts w:ascii="Calibri" w:cs="Calibri" w:eastAsia="Calibri" w:hAnsi="Calibri"/>
          <w:sz w:val="20"/>
          <w:szCs w:val="20"/>
          <w:color w:val="auto"/>
        </w:rPr>
        <w:t>– During the Term of this Agreement, we will not accept work, enter into a contract, or accept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 obligaton inconsistent or incompatble with our obligatons, or the scope of services to be rendered for Cannabist under this Agreement.</w:t>
      </w:r>
    </w:p>
    <w:p>
      <w:pPr>
        <w:spacing w:after="0" w:line="200" w:lineRule="exact"/>
        <w:rPr>
          <w:rFonts w:ascii="Calibri" w:cs="Calibri" w:eastAsia="Calibri" w:hAnsi="Calibri"/>
          <w:sz w:val="20"/>
          <w:szCs w:val="20"/>
          <w:b w:val="1"/>
          <w:bCs w:val="1"/>
          <w:color w:val="auto"/>
        </w:rPr>
      </w:pPr>
    </w:p>
    <w:p>
      <w:pPr>
        <w:spacing w:after="0" w:line="283" w:lineRule="exact"/>
        <w:rPr>
          <w:rFonts w:ascii="Calibri" w:cs="Calibri" w:eastAsia="Calibri" w:hAnsi="Calibri"/>
          <w:sz w:val="20"/>
          <w:szCs w:val="20"/>
          <w:b w:val="1"/>
          <w:bCs w:val="1"/>
          <w:color w:val="auto"/>
        </w:rPr>
      </w:pPr>
    </w:p>
    <w:p>
      <w:pPr>
        <w:jc w:val="both"/>
        <w:ind w:firstLine="757"/>
        <w:spacing w:after="0" w:line="238" w:lineRule="auto"/>
        <w:tabs>
          <w:tab w:leader="none" w:pos="1115"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INDEMNIFICATION </w:t>
      </w:r>
      <w:r>
        <w:rPr>
          <w:rFonts w:ascii="Calibri" w:cs="Calibri" w:eastAsia="Calibri" w:hAnsi="Calibri"/>
          <w:sz w:val="20"/>
          <w:szCs w:val="20"/>
          <w:color w:val="auto"/>
        </w:rPr>
        <w:t>– In the event that Olson is made a party or threatened to be made a party to any acton, suit,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proceeding, whether civil, criminal, administratve or investgatve (collectvely, a “</w:t>
      </w:r>
      <w:r>
        <w:rPr>
          <w:rFonts w:ascii="Calibri" w:cs="Calibri" w:eastAsia="Calibri" w:hAnsi="Calibri"/>
          <w:sz w:val="20"/>
          <w:szCs w:val="20"/>
          <w:b w:val="1"/>
          <w:bCs w:val="1"/>
          <w:color w:val="auto"/>
        </w:rPr>
        <w:t>Proceeding</w:t>
      </w:r>
      <w:r>
        <w:rPr>
          <w:rFonts w:ascii="Calibri" w:cs="Calibri" w:eastAsia="Calibri" w:hAnsi="Calibri"/>
          <w:sz w:val="20"/>
          <w:szCs w:val="20"/>
          <w:color w:val="auto"/>
        </w:rPr>
        <w:t>”) by reason of the fact that he is or was a former employee or ofcer of Cannabist, or is or was serving at the request of Cannabist as an ofcer, employee or agent of another corporaton, subsidiary, afliate or a partnership, joint venture, trust or other enterprise (excluding ourCHRO) , or because of conduct properly undertaken by Olson in executng his dutes pursuant to this Agreement or otherwise actng at the directon of Cannabist, he shall be indemnifed and held harmless by Cannabist to the fullest extent permited by, and except as prohibited under applicable law, from and against any liabilites, costs, claims and expenses, including all costs and expenses incurred in defense of any Proceeding (including atorneys’ fees). Notwithstanding the foregoing, this indemnifcaton provision shall not apply to any Proceeding initated by Olson or Cannabist relatng to any dispute between Olson and Cannabist. Olson shall be required to reimburse Cannabist for any amounts for which Cannabist indemnifed him if he is found by a court of competent jurisdicton to have engaged in willful misconduct with respect to the claims for which he was previously indemnifed.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3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w:t>
      </w:r>
      <w:r>
        <w:rPr>
          <w:rFonts w:ascii="Calibri" w:cs="Calibri" w:eastAsia="Calibri" w:hAnsi="Calibri"/>
          <w:sz w:val="20"/>
          <w:szCs w:val="20"/>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39750" cy="540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03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Fractonal CHRO Engagement Agreement</w:t>
      </w:r>
    </w:p>
    <w:p>
      <w:pPr>
        <w:spacing w:after="0" w:line="268" w:lineRule="exact"/>
        <w:rPr>
          <w:sz w:val="20"/>
          <w:szCs w:val="20"/>
          <w:color w:val="auto"/>
        </w:rPr>
      </w:pPr>
    </w:p>
    <w:p>
      <w:pPr>
        <w:ind w:left="760"/>
        <w:spacing w:after="0"/>
        <w:tabs>
          <w:tab w:leader="none" w:pos="1100" w:val="left"/>
        </w:tabs>
        <w:rPr>
          <w:sz w:val="20"/>
          <w:szCs w:val="20"/>
          <w:color w:val="auto"/>
        </w:rPr>
      </w:pPr>
      <w:r>
        <w:rPr>
          <w:rFonts w:ascii="Calibri" w:cs="Calibri" w:eastAsia="Calibri" w:hAnsi="Calibri"/>
          <w:sz w:val="20"/>
          <w:szCs w:val="20"/>
          <w:b w:val="1"/>
          <w:bCs w:val="1"/>
          <w:color w:val="auto"/>
        </w:rPr>
        <w:t>(9)</w:t>
        <w:tab/>
        <w:t>GENERAL PROVISIONS</w:t>
      </w:r>
    </w:p>
    <w:p>
      <w:pPr>
        <w:spacing w:after="0" w:line="252" w:lineRule="exact"/>
        <w:rPr>
          <w:sz w:val="20"/>
          <w:szCs w:val="20"/>
          <w:color w:val="auto"/>
        </w:rPr>
      </w:pPr>
    </w:p>
    <w:p>
      <w:pPr>
        <w:jc w:val="both"/>
        <w:ind w:left="760" w:right="20" w:firstLine="749"/>
        <w:spacing w:after="0" w:line="234" w:lineRule="auto"/>
        <w:rPr>
          <w:sz w:val="20"/>
          <w:szCs w:val="20"/>
          <w:color w:val="auto"/>
        </w:rPr>
      </w:pPr>
      <w:r>
        <w:rPr>
          <w:rFonts w:ascii="Calibri" w:cs="Calibri" w:eastAsia="Calibri" w:hAnsi="Calibri"/>
          <w:sz w:val="20"/>
          <w:szCs w:val="20"/>
          <w:b w:val="1"/>
          <w:bCs w:val="1"/>
          <w:color w:val="auto"/>
        </w:rPr>
        <w:t xml:space="preserve">(9.1) CANNABIST ISSUED COMPUTER EQUIPMENT </w:t>
      </w:r>
      <w:r>
        <w:rPr>
          <w:rFonts w:ascii="Calibri" w:cs="Calibri" w:eastAsia="Calibri" w:hAnsi="Calibri"/>
          <w:sz w:val="20"/>
          <w:szCs w:val="20"/>
          <w:color w:val="auto"/>
        </w:rPr>
        <w:t>– All computer equipment issued by Cannabist to Olson during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his tme employed by the Company, shall be retained by him during the Term of this Agreement.</w:t>
      </w:r>
    </w:p>
    <w:p>
      <w:pPr>
        <w:spacing w:after="0" w:line="361" w:lineRule="exact"/>
        <w:rPr>
          <w:sz w:val="20"/>
          <w:szCs w:val="20"/>
          <w:color w:val="auto"/>
        </w:rPr>
      </w:pPr>
    </w:p>
    <w:p>
      <w:pPr>
        <w:jc w:val="both"/>
        <w:ind w:left="760" w:firstLine="749"/>
        <w:spacing w:after="0" w:line="236" w:lineRule="auto"/>
        <w:rPr>
          <w:sz w:val="20"/>
          <w:szCs w:val="20"/>
          <w:color w:val="auto"/>
        </w:rPr>
      </w:pPr>
      <w:r>
        <w:rPr>
          <w:rFonts w:ascii="Calibri" w:cs="Calibri" w:eastAsia="Calibri" w:hAnsi="Calibri"/>
          <w:sz w:val="20"/>
          <w:szCs w:val="20"/>
          <w:b w:val="1"/>
          <w:bCs w:val="1"/>
          <w:color w:val="auto"/>
        </w:rPr>
        <w:t xml:space="preserve">(9.2) GOVERNNING LAW </w:t>
      </w:r>
      <w:r>
        <w:rPr>
          <w:rFonts w:ascii="Calibri" w:cs="Calibri" w:eastAsia="Calibri" w:hAnsi="Calibri"/>
          <w:sz w:val="20"/>
          <w:szCs w:val="20"/>
          <w:color w:val="auto"/>
        </w:rPr>
        <w:t>– This Agreement will be governed by the laws of the State of Florida. In the event of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dispute or controversy between the partes with respect to the maters contemplated in the Agreement, the partes consent to the sole and exclusive jurisdicton of the state and federal courts sitng in the State of Florida and waive any defense to the jurisdicton thereof based on lack of jurisdicton, improper venue, forum non conveniens, or otherwise.</w:t>
      </w:r>
    </w:p>
    <w:p>
      <w:pPr>
        <w:spacing w:after="0" w:line="255" w:lineRule="exact"/>
        <w:rPr>
          <w:sz w:val="20"/>
          <w:szCs w:val="20"/>
          <w:color w:val="auto"/>
        </w:rPr>
      </w:pPr>
    </w:p>
    <w:p>
      <w:pPr>
        <w:jc w:val="both"/>
        <w:ind w:left="760" w:right="20" w:firstLine="749"/>
        <w:spacing w:after="0" w:line="234" w:lineRule="auto"/>
        <w:rPr>
          <w:sz w:val="20"/>
          <w:szCs w:val="20"/>
          <w:color w:val="auto"/>
        </w:rPr>
      </w:pPr>
      <w:r>
        <w:rPr>
          <w:rFonts w:ascii="Calibri" w:cs="Calibri" w:eastAsia="Calibri" w:hAnsi="Calibri"/>
          <w:sz w:val="20"/>
          <w:szCs w:val="20"/>
          <w:b w:val="1"/>
          <w:bCs w:val="1"/>
          <w:color w:val="auto"/>
        </w:rPr>
        <w:t xml:space="preserve">(9.3) SUCESSORS AND ASSIGNS </w:t>
      </w:r>
      <w:r>
        <w:rPr>
          <w:rFonts w:ascii="Calibri" w:cs="Calibri" w:eastAsia="Calibri" w:hAnsi="Calibri"/>
          <w:sz w:val="20"/>
          <w:szCs w:val="20"/>
          <w:color w:val="auto"/>
        </w:rPr>
        <w:t>– This Agreement will be binding on and inure to the beneft of the successors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assigns of the respectve partes, including (without limitaton) any successor organizaton to your company.</w:t>
      </w:r>
    </w:p>
    <w:p>
      <w:pPr>
        <w:spacing w:after="0" w:line="253" w:lineRule="exact"/>
        <w:rPr>
          <w:sz w:val="20"/>
          <w:szCs w:val="20"/>
          <w:color w:val="auto"/>
        </w:rPr>
      </w:pPr>
    </w:p>
    <w:p>
      <w:pPr>
        <w:jc w:val="both"/>
        <w:ind w:left="760" w:firstLine="749"/>
        <w:spacing w:after="0" w:line="236" w:lineRule="auto"/>
        <w:rPr>
          <w:sz w:val="20"/>
          <w:szCs w:val="20"/>
          <w:color w:val="auto"/>
        </w:rPr>
      </w:pPr>
      <w:r>
        <w:rPr>
          <w:rFonts w:ascii="Calibri" w:cs="Calibri" w:eastAsia="Calibri" w:hAnsi="Calibri"/>
          <w:sz w:val="20"/>
          <w:szCs w:val="20"/>
          <w:b w:val="1"/>
          <w:bCs w:val="1"/>
          <w:color w:val="auto"/>
        </w:rPr>
        <w:t xml:space="preserve">(9.4) ENTIRE AGREEMENT </w:t>
      </w:r>
      <w:r>
        <w:rPr>
          <w:rFonts w:ascii="Calibri" w:cs="Calibri" w:eastAsia="Calibri" w:hAnsi="Calibri"/>
          <w:sz w:val="20"/>
          <w:szCs w:val="20"/>
          <w:color w:val="auto"/>
        </w:rPr>
        <w:t>– This Agreement contains the entre understanding of the partes with respect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subject mater contained in the Agreement. All express or implied representatons, agreements and understandings with respect to the subject mater of the Agreement, either oral or writen, previously made are expressly superseded by this Agreement. This Agreement may be amended or modifed only by a writen instrument duly executed by both partes.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0"/>
          <w:szCs w:val="20"/>
          <w:color w:val="auto"/>
        </w:rPr>
        <w:t>The partes have executed this Agreement as of the Efectve Date.</w:t>
      </w:r>
    </w:p>
    <w:p>
      <w:pPr>
        <w:sectPr>
          <w:pgSz w:w="11900" w:h="16838" w:orient="portrait"/>
          <w:cols w:equalWidth="0" w:num="1">
            <w:col w:w="11240"/>
          </w:cols>
          <w:pgMar w:left="320" w:top="1440" w:right="339" w:bottom="1440" w:gutter="0" w:footer="0" w:header="0"/>
        </w:sectPr>
      </w:pPr>
    </w:p>
    <w:p>
      <w:pPr>
        <w:spacing w:after="0" w:line="255"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auto"/>
        </w:rPr>
        <w:t>ourCHRO, LLC</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CANNABIST COMPANY HOLDINGS INC.</w:t>
      </w:r>
    </w:p>
    <w:p>
      <w:pPr>
        <w:spacing w:after="0" w:line="200" w:lineRule="exact"/>
        <w:rPr>
          <w:sz w:val="20"/>
          <w:szCs w:val="20"/>
          <w:color w:val="auto"/>
        </w:rPr>
      </w:pPr>
    </w:p>
    <w:p>
      <w:pPr>
        <w:sectPr>
          <w:pgSz w:w="11900" w:h="16838" w:orient="portrait"/>
          <w:cols w:equalWidth="0" w:num="2">
            <w:col w:w="5000" w:space="720"/>
            <w:col w:w="5520"/>
          </w:cols>
          <w:pgMar w:left="320" w:top="1440"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By:</w:t>
      </w:r>
    </w:p>
    <w:p>
      <w:pPr>
        <w:ind w:left="100"/>
        <w:spacing w:after="0" w:line="238" w:lineRule="auto"/>
        <w:rPr>
          <w:sz w:val="20"/>
          <w:szCs w:val="20"/>
          <w:color w:val="auto"/>
        </w:rPr>
      </w:pPr>
      <w:r>
        <w:rPr>
          <w:rFonts w:ascii="Calibri" w:cs="Calibri" w:eastAsia="Calibri" w:hAnsi="Calibri"/>
          <w:sz w:val="20"/>
          <w:szCs w:val="20"/>
          <w:color w:val="auto"/>
        </w:rPr>
        <w:t>Name: Bryan L. Olson</w:t>
      </w:r>
    </w:p>
    <w:p>
      <w:pPr>
        <w:ind w:left="100"/>
        <w:spacing w:after="0"/>
        <w:tabs>
          <w:tab w:leader="none" w:pos="720" w:val="left"/>
        </w:tabs>
        <w:rPr>
          <w:sz w:val="20"/>
          <w:szCs w:val="20"/>
          <w:color w:val="auto"/>
        </w:rPr>
      </w:pPr>
      <w:r>
        <w:rPr>
          <w:rFonts w:ascii="Calibri" w:cs="Calibri" w:eastAsia="Calibri" w:hAnsi="Calibri"/>
          <w:sz w:val="20"/>
          <w:szCs w:val="20"/>
          <w:color w:val="auto"/>
        </w:rPr>
        <w:t>Title:</w:t>
        <w:tab/>
        <w:t>Founder &amp; Global Managing Partner</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Calibri" w:cs="Calibri" w:eastAsia="Calibri" w:hAnsi="Calibri"/>
          <w:sz w:val="20"/>
          <w:szCs w:val="20"/>
          <w:color w:val="auto"/>
        </w:rPr>
        <w:t>By:</w:t>
      </w:r>
    </w:p>
    <w:p>
      <w:pPr>
        <w:spacing w:after="0" w:line="238" w:lineRule="auto"/>
        <w:rPr>
          <w:sz w:val="20"/>
          <w:szCs w:val="20"/>
          <w:color w:val="auto"/>
        </w:rPr>
      </w:pPr>
      <w:r>
        <w:rPr>
          <w:rFonts w:ascii="Calibri" w:cs="Calibri" w:eastAsia="Calibri" w:hAnsi="Calibri"/>
          <w:sz w:val="20"/>
          <w:szCs w:val="20"/>
          <w:color w:val="auto"/>
        </w:rPr>
        <w:t>Name: David Hart</w:t>
      </w:r>
    </w:p>
    <w:p>
      <w:pPr>
        <w:spacing w:after="0"/>
        <w:tabs>
          <w:tab w:leader="none" w:pos="620" w:val="left"/>
        </w:tabs>
        <w:rPr>
          <w:sz w:val="20"/>
          <w:szCs w:val="20"/>
          <w:color w:val="auto"/>
        </w:rPr>
      </w:pPr>
      <w:r>
        <w:rPr>
          <w:rFonts w:ascii="Calibri" w:cs="Calibri" w:eastAsia="Calibri" w:hAnsi="Calibri"/>
          <w:sz w:val="20"/>
          <w:szCs w:val="20"/>
          <w:color w:val="auto"/>
        </w:rPr>
        <w:t>Title:</w:t>
        <w:tab/>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783590</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5000" w:space="720"/>
            <w:col w:w="5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alibri" w:cs="Calibri" w:eastAsia="Calibri" w:hAnsi="Calibri"/>
          <w:sz w:val="19"/>
          <w:szCs w:val="19"/>
          <w:color w:val="auto"/>
        </w:rPr>
        <w:t xml:space="preserve">4 </w:t>
      </w:r>
      <w:r>
        <w:rPr>
          <w:rFonts w:ascii="Calibri" w:cs="Calibri" w:eastAsia="Calibri" w:hAnsi="Calibri"/>
          <w:sz w:val="19"/>
          <w:szCs w:val="19"/>
          <w:b w:val="1"/>
          <w:bCs w:val="1"/>
          <w:color w:val="auto"/>
        </w:rPr>
        <w:t>|</w:t>
      </w:r>
      <w:r>
        <w:rPr>
          <w:rFonts w:ascii="Calibri" w:cs="Calibri" w:eastAsia="Calibri" w:hAnsi="Calibri"/>
          <w:sz w:val="19"/>
          <w:szCs w:val="19"/>
          <w:color w:val="auto"/>
        </w:rPr>
        <w:t xml:space="preserve"> </w:t>
      </w:r>
      <w:r>
        <w:rPr>
          <w:rFonts w:ascii="Calibri" w:cs="Calibri" w:eastAsia="Calibri" w:hAnsi="Calibri"/>
          <w:sz w:val="19"/>
          <w:szCs w:val="19"/>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39750" cy="540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03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Fractonal CHRO Engagement Agreement</w:t>
      </w: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EXHIBIT A</w:t>
      </w:r>
    </w:p>
    <w:p>
      <w:pPr>
        <w:jc w:val="center"/>
        <w:spacing w:after="0" w:line="238" w:lineRule="auto"/>
        <w:rPr>
          <w:sz w:val="20"/>
          <w:szCs w:val="20"/>
          <w:color w:val="auto"/>
        </w:rPr>
      </w:pPr>
      <w:r>
        <w:rPr>
          <w:rFonts w:ascii="Calibri" w:cs="Calibri" w:eastAsia="Calibri" w:hAnsi="Calibri"/>
          <w:sz w:val="20"/>
          <w:szCs w:val="20"/>
          <w:color w:val="auto"/>
        </w:rPr>
        <w:t>Descripton of Services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The Services to be provided under this Agreement are as follows:</w:t>
      </w:r>
    </w:p>
    <w:p>
      <w:pPr>
        <w:spacing w:after="0" w:line="265" w:lineRule="exact"/>
        <w:rPr>
          <w:sz w:val="20"/>
          <w:szCs w:val="20"/>
          <w:color w:val="auto"/>
        </w:rPr>
      </w:pPr>
    </w:p>
    <w:p>
      <w:pPr>
        <w:ind w:left="760" w:right="20" w:hanging="378"/>
        <w:spacing w:after="0" w:line="234" w:lineRule="auto"/>
        <w:tabs>
          <w:tab w:leader="none" w:pos="76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Bryan Olson to allocate ffy percent (50%) of his working tme to functon as the Chief HR Ofcer for Cannabist, with the following key deliverables:</w:t>
      </w:r>
    </w:p>
    <w:p>
      <w:pPr>
        <w:spacing w:after="0" w:line="266" w:lineRule="exact"/>
        <w:rPr>
          <w:sz w:val="20"/>
          <w:szCs w:val="20"/>
          <w:color w:val="auto"/>
        </w:rPr>
      </w:pPr>
    </w:p>
    <w:p>
      <w:pPr>
        <w:jc w:val="both"/>
        <w:ind w:left="1500" w:hanging="369"/>
        <w:spacing w:after="0" w:line="237" w:lineRule="auto"/>
        <w:tabs>
          <w:tab w:leader="none" w:pos="1500" w:val="left"/>
        </w:tabs>
        <w:numPr>
          <w:ilvl w:val="1"/>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Overseeing all aspects of the Human Resources functon, including developing and executng human resource strategy in support of the overall business plan and strategic directon of the organizaton, specifcally in the areas of labor &amp; employee relatons, recruitng, talent management, change management, organizatonal design, culture, employee engagement, performance management, training &amp; development, diversity &amp; inclusion, payroll, and compensaton &amp; benefts</w:t>
      </w:r>
    </w:p>
    <w:p>
      <w:pPr>
        <w:spacing w:after="0" w:line="266" w:lineRule="exact"/>
        <w:rPr>
          <w:rFonts w:ascii="Times New Roman" w:cs="Times New Roman" w:eastAsia="Times New Roman" w:hAnsi="Times New Roman"/>
          <w:sz w:val="20"/>
          <w:szCs w:val="20"/>
          <w:color w:val="auto"/>
        </w:rPr>
      </w:pPr>
    </w:p>
    <w:p>
      <w:pPr>
        <w:ind w:left="1500" w:hanging="369"/>
        <w:spacing w:after="0" w:line="234" w:lineRule="auto"/>
        <w:tabs>
          <w:tab w:leader="none" w:pos="1500" w:val="left"/>
        </w:tabs>
        <w:numPr>
          <w:ilvl w:val="1"/>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Manage the relatonship with the Compensaton Commitee of the Board of Directors and functon as its Secretary and, upon request, assist with transiton of those responsibilites</w:t>
      </w:r>
    </w:p>
    <w:p>
      <w:pPr>
        <w:spacing w:after="0" w:line="25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Providing guidance, advice, counsel, and support to executves in the Human Resources functon</w:t>
      </w:r>
    </w:p>
    <w:p>
      <w:pPr>
        <w:spacing w:after="0" w:line="25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Functoning as a member of, and strategic advisor to, the senior leadership team</w:t>
      </w:r>
    </w:p>
    <w:p>
      <w:pPr>
        <w:spacing w:after="0" w:line="25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Contnuing to represent Cannabist on the A-Frame Board, and remaining listed on cannabis licenses, as needed</w:t>
      </w:r>
    </w:p>
    <w:p>
      <w:pPr>
        <w:spacing w:after="0" w:line="265" w:lineRule="exact"/>
        <w:rPr>
          <w:rFonts w:ascii="Times New Roman" w:cs="Times New Roman" w:eastAsia="Times New Roman" w:hAnsi="Times New Roman"/>
          <w:sz w:val="20"/>
          <w:szCs w:val="20"/>
          <w:color w:val="auto"/>
        </w:rPr>
      </w:pPr>
    </w:p>
    <w:p>
      <w:pPr>
        <w:jc w:val="both"/>
        <w:ind w:left="760" w:hanging="378"/>
        <w:spacing w:after="0" w:line="236" w:lineRule="auto"/>
        <w:tabs>
          <w:tab w:leader="none" w:pos="76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If the agreement with Sherry Gingerich (currently contracted under an agreement between Cannabist and Ask Sherry LLC) is contnued beyond March 2025, her services would be provided under this Agreement, and would reduce Olson’s tme allocated to Cannabist on an hour-for-hour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5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w:t>
      </w:r>
      <w:r>
        <w:rPr>
          <w:rFonts w:ascii="Calibri" w:cs="Calibri" w:eastAsia="Calibri" w:hAnsi="Calibri"/>
          <w:sz w:val="20"/>
          <w:szCs w:val="20"/>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David Hart</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 w:leader="none" w:pos="80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Name: David Hart</w:t>
      </w:r>
    </w:p>
    <w:p>
      <w:pPr>
        <w:spacing w:after="0" w:line="3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Derek Watson</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 w:leader="none" w:pos="79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3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560" w:val="left"/>
          <w:tab w:leader="none" w:pos="8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David Hart</w:t>
      </w:r>
    </w:p>
    <w:p>
      <w:pPr>
        <w:spacing w:after="0" w:line="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1042670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440" w:val="left"/>
          <w:tab w:leader="none" w:pos="79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1042670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3"/>
    </w:lvl>
  </w:abstractNum>
  <w:abstractNum w:abstractNumId="9">
    <w:nsid w:val="62BBD95A"/>
    <w:multiLevelType w:val="hybridMultilevel"/>
    <w:lvl w:ilvl="0">
      <w:lvlJc w:val="left"/>
      <w:lvlText w:val="%1."/>
      <w:numFmt w:val="decimal"/>
      <w:start w:val="18"/>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2"/>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decimal"/>
      <w:start w:val="7"/>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lvl w:ilvl="1">
      <w:lvlJc w:val="left"/>
      <w:lvlText w:val="o"/>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jpe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jpe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jpe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jpe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jpe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35" Type="http://schemas.openxmlformats.org/officeDocument/2006/relationships/hyperlink" Target="https://www.sec.gov/Archives/edgar/data/1776738/000119312522088069/d292116dex21.htm" TargetMode="External"/><Relationship Id="rId236" Type="http://schemas.openxmlformats.org/officeDocument/2006/relationships/hyperlink" Target="https://www.sec.gov/Archives/edgar/data/1776738/000119312523054004/d469358dex21.htm" TargetMode="External"/><Relationship Id="rId237" Type="http://schemas.openxmlformats.org/officeDocument/2006/relationships/hyperlink" Target="https://www.sec.gov/Archives/edgar/data/1776738/000119312521356939/d252333dex31.htm" TargetMode="External"/><Relationship Id="rId238" Type="http://schemas.openxmlformats.org/officeDocument/2006/relationships/hyperlink" Target="https://www.sec.gov/Archives/edgar/data/1776738/000119312523239776/d471022dex32.htm" TargetMode="External"/><Relationship Id="rId239" Type="http://schemas.openxmlformats.org/officeDocument/2006/relationships/hyperlink" Target="https://www.sec.gov/Archives/edgar/data/1776738/000119312521356939/d252333dex41.htm" TargetMode="External"/><Relationship Id="rId240" Type="http://schemas.openxmlformats.org/officeDocument/2006/relationships/hyperlink" Target="https://www.sec.gov/Archives/edgar/data/1776738/000119312521356939/d252333dex42.htm" TargetMode="External"/><Relationship Id="rId241" Type="http://schemas.openxmlformats.org/officeDocument/2006/relationships/hyperlink" Target="https://www.sec.gov/Archives/edgar/data/1776738/000119312521356939/d252333dex43.htm" TargetMode="External"/><Relationship Id="rId242" Type="http://schemas.openxmlformats.org/officeDocument/2006/relationships/hyperlink" Target="https://www.sec.gov/Archives/edgar/data/1776738/000119312521356939/d252333dex44.htm" TargetMode="External"/><Relationship Id="rId243" Type="http://schemas.openxmlformats.org/officeDocument/2006/relationships/hyperlink" Target="https://www.sec.gov/Archives/edgar/data/1776738/000119312521356939/d252333dex45.htm" TargetMode="External"/><Relationship Id="rId244" Type="http://schemas.openxmlformats.org/officeDocument/2006/relationships/hyperlink" Target="https://www.sec.gov/Archives/edgar/data/1776738/000119312521356939/d252333dex46.htm" TargetMode="External"/><Relationship Id="rId245" Type="http://schemas.openxmlformats.org/officeDocument/2006/relationships/hyperlink" Target="https://www.sec.gov/Archives/edgar/data/1776738/000119312521356939/d252333dex47.htm" TargetMode="External"/><Relationship Id="rId246" Type="http://schemas.openxmlformats.org/officeDocument/2006/relationships/hyperlink" Target="https://www.sec.gov/Archives/edgar/data/1776738/000119312521356939/d252333dex48.htm" TargetMode="External"/><Relationship Id="rId247" Type="http://schemas.openxmlformats.org/officeDocument/2006/relationships/hyperlink" Target="https://www.sec.gov/Archives/edgar/data/1776738/000119312521356939/d252333dex49.htm" TargetMode="External"/><Relationship Id="rId248" Type="http://schemas.openxmlformats.org/officeDocument/2006/relationships/hyperlink" Target="https://www.sec.gov/Archives/edgar/data/1776738/000119312522021793/d252333dex410.htm" TargetMode="External"/><Relationship Id="rId249" Type="http://schemas.openxmlformats.org/officeDocument/2006/relationships/hyperlink" Target="https://www.sec.gov/Archives/edgar/data/1776738/000119312522043452/d252333dex411.htm" TargetMode="External"/><Relationship Id="rId250" Type="http://schemas.openxmlformats.org/officeDocument/2006/relationships/hyperlink" Target="https://www.sec.gov/Archives/edgar/data/1776738/000119312522043452/d252333dex412.htm" TargetMode="External"/><Relationship Id="rId253" Type="http://schemas.openxmlformats.org/officeDocument/2006/relationships/hyperlink" Target="https://www.sec.gov/Archives/edgar/data/1776738/000119312522147204/d315456dex41.htm" TargetMode="External"/><Relationship Id="rId254" Type="http://schemas.openxmlformats.org/officeDocument/2006/relationships/hyperlink" Target="https://www.sec.gov/Archives/edgar/data/1776738/000095017023010606/cchwf-ex4_14.htm" TargetMode="External"/><Relationship Id="rId255" Type="http://schemas.openxmlformats.org/officeDocument/2006/relationships/hyperlink" Target="https://www.sec.gov/Archives/edgar/data/1776738/000095017024056768/cbstf-ex4_15.htm" TargetMode="External"/><Relationship Id="rId256" Type="http://schemas.openxmlformats.org/officeDocument/2006/relationships/hyperlink" Target="https://www.sec.gov/Archives/edgar/data/1776738/000119312524072818/d540760d8k.htm" TargetMode="External"/><Relationship Id="rId257" Type="http://schemas.openxmlformats.org/officeDocument/2006/relationships/hyperlink" Target="https://www.sec.gov/ix?doc=/Archives/edgar/data/0001776738/000119312524189395/d60988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2024-08-08T13:43:40Z</dcterms:created>
  <dcterms:modified xsi:type="dcterms:W3CDTF">2024-08-08T13:43:40Z</dcterms:modified>
</cp:coreProperties>
</file>