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559435</wp:posOffset>
            </wp:positionV>
            <wp:extent cx="7040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2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584835</wp:posOffset>
            </wp:positionV>
            <wp:extent cx="7040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02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0"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0" w:lineRule="exact"/>
        <w:rPr>
          <w:sz w:val="24"/>
          <w:szCs w:val="24"/>
          <w:color w:val="auto"/>
        </w:rPr>
      </w:pPr>
    </w:p>
    <w:p>
      <w:pPr>
        <w:ind w:left="3680" w:right="1700" w:hanging="3655"/>
        <w:spacing w:after="0" w:line="372" w:lineRule="auto"/>
        <w:tabs>
          <w:tab w:leader="none" w:pos="472"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0" w:lineRule="exact"/>
        <w:rPr>
          <w:sz w:val="24"/>
          <w:szCs w:val="24"/>
          <w:color w:val="auto"/>
        </w:rPr>
      </w:pPr>
    </w:p>
    <w:p>
      <w:pPr>
        <w:ind w:left="460" w:hanging="435"/>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For the transition period from __to __</w:t>
      </w:r>
    </w:p>
    <w:p>
      <w:pPr>
        <w:spacing w:after="0" w:line="114"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000-56294</w:t>
      </w:r>
    </w:p>
    <w:p>
      <w:pPr>
        <w:spacing w:after="0" w:line="30"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2637155</wp:posOffset>
            </wp:positionH>
            <wp:positionV relativeFrom="paragraph">
              <wp:posOffset>207645</wp:posOffset>
            </wp:positionV>
            <wp:extent cx="1868170" cy="407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170" cy="407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45" w:lineRule="exact"/>
        <w:rPr>
          <w:sz w:val="24"/>
          <w:szCs w:val="24"/>
          <w:color w:val="auto"/>
        </w:rPr>
      </w:pPr>
    </w:p>
    <w:tbl>
      <w:tblPr>
        <w:tblLayout w:type="fixed"/>
        <w:tblInd w:w="700" w:type="dxa"/>
        <w:tblCellMar>
          <w:top w:w="0" w:type="dxa"/>
          <w:left w:w="0" w:type="dxa"/>
          <w:bottom w:w="0" w:type="dxa"/>
          <w:right w:w="0" w:type="dxa"/>
        </w:tblCellMar>
      </w:tblPr>
      <w:tr>
        <w:trPr>
          <w:trHeight w:val="237"/>
        </w:trPr>
        <w:tc>
          <w:tcPr>
            <w:tcW w:w="5220" w:type="dxa"/>
            <w:vAlign w:val="bottom"/>
          </w:tcPr>
          <w:p>
            <w:pPr>
              <w:jc w:val="center"/>
              <w:ind w:right="2171"/>
              <w:spacing w:after="0"/>
              <w:rPr>
                <w:sz w:val="20"/>
                <w:szCs w:val="20"/>
                <w:color w:val="auto"/>
              </w:rPr>
            </w:pPr>
            <w:r>
              <w:rPr>
                <w:rFonts w:ascii="Times New Roman" w:cs="Times New Roman" w:eastAsia="Times New Roman" w:hAnsi="Times New Roman"/>
                <w:sz w:val="18"/>
                <w:szCs w:val="18"/>
                <w:b w:val="1"/>
                <w:bCs w:val="1"/>
                <w:color w:val="auto"/>
                <w:w w:val="98"/>
              </w:rPr>
              <w:t>British Columbia</w:t>
            </w:r>
          </w:p>
        </w:tc>
        <w:tc>
          <w:tcPr>
            <w:tcW w:w="36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98-1488978</w:t>
            </w:r>
          </w:p>
        </w:tc>
      </w:tr>
      <w:tr>
        <w:trPr>
          <w:trHeight w:val="218"/>
        </w:trPr>
        <w:tc>
          <w:tcPr>
            <w:tcW w:w="5220" w:type="dxa"/>
            <w:vAlign w:val="bottom"/>
          </w:tcPr>
          <w:p>
            <w:pPr>
              <w:jc w:val="center"/>
              <w:ind w:right="2191"/>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 of</w:t>
            </w:r>
          </w:p>
        </w:tc>
        <w:tc>
          <w:tcPr>
            <w:tcW w:w="3680" w:type="dxa"/>
            <w:vAlign w:val="bottom"/>
          </w:tcPr>
          <w:p>
            <w:pPr>
              <w:jc w:val="center"/>
              <w:ind w:left="2191"/>
              <w:spacing w:after="0"/>
              <w:rPr>
                <w:sz w:val="20"/>
                <w:szCs w:val="20"/>
                <w:color w:val="auto"/>
              </w:rPr>
            </w:pPr>
            <w:r>
              <w:rPr>
                <w:rFonts w:ascii="Times New Roman" w:cs="Times New Roman" w:eastAsia="Times New Roman" w:hAnsi="Times New Roman"/>
                <w:sz w:val="18"/>
                <w:szCs w:val="18"/>
                <w:b w:val="1"/>
                <w:bCs w:val="1"/>
                <w:color w:val="auto"/>
                <w:w w:val="98"/>
              </w:rPr>
              <w:t>(I.R.S. Employer</w:t>
            </w:r>
          </w:p>
        </w:tc>
      </w:tr>
      <w:tr>
        <w:trPr>
          <w:trHeight w:val="250"/>
        </w:trPr>
        <w:tc>
          <w:tcPr>
            <w:tcW w:w="5220" w:type="dxa"/>
            <w:vAlign w:val="bottom"/>
          </w:tcPr>
          <w:p>
            <w:pPr>
              <w:jc w:val="center"/>
              <w:ind w:right="2171"/>
              <w:spacing w:after="0"/>
              <w:rPr>
                <w:sz w:val="20"/>
                <w:szCs w:val="20"/>
                <w:color w:val="auto"/>
              </w:rPr>
            </w:pPr>
            <w:r>
              <w:rPr>
                <w:rFonts w:ascii="Times New Roman" w:cs="Times New Roman" w:eastAsia="Times New Roman" w:hAnsi="Times New Roman"/>
                <w:sz w:val="18"/>
                <w:szCs w:val="18"/>
                <w:b w:val="1"/>
                <w:bCs w:val="1"/>
                <w:color w:val="auto"/>
                <w:w w:val="98"/>
              </w:rPr>
              <w:t>incorporation or organization)</w:t>
            </w:r>
          </w:p>
        </w:tc>
        <w:tc>
          <w:tcPr>
            <w:tcW w:w="3680" w:type="dxa"/>
            <w:vAlign w:val="bottom"/>
          </w:tcPr>
          <w:p>
            <w:pPr>
              <w:jc w:val="center"/>
              <w:ind w:left="2191"/>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512"/>
        </w:trPr>
        <w:tc>
          <w:tcPr>
            <w:tcW w:w="5220" w:type="dxa"/>
            <w:vAlign w:val="bottom"/>
          </w:tcPr>
          <w:p>
            <w:pPr>
              <w:jc w:val="center"/>
              <w:ind w:right="2191"/>
              <w:spacing w:after="0"/>
              <w:rPr>
                <w:sz w:val="20"/>
                <w:szCs w:val="20"/>
                <w:color w:val="auto"/>
              </w:rPr>
            </w:pPr>
            <w:r>
              <w:rPr>
                <w:rFonts w:ascii="Times New Roman" w:cs="Times New Roman" w:eastAsia="Times New Roman" w:hAnsi="Times New Roman"/>
                <w:sz w:val="18"/>
                <w:szCs w:val="18"/>
                <w:b w:val="1"/>
                <w:bCs w:val="1"/>
                <w:color w:val="auto"/>
                <w:w w:val="99"/>
              </w:rPr>
              <w:t>321 Billerica Rd., Suite 204</w:t>
            </w:r>
          </w:p>
        </w:tc>
        <w:tc>
          <w:tcPr>
            <w:tcW w:w="368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01824</w:t>
            </w:r>
          </w:p>
        </w:tc>
      </w:tr>
      <w:tr>
        <w:trPr>
          <w:trHeight w:val="237"/>
        </w:trPr>
        <w:tc>
          <w:tcPr>
            <w:tcW w:w="5220" w:type="dxa"/>
            <w:vAlign w:val="bottom"/>
          </w:tcPr>
          <w:p>
            <w:pPr>
              <w:jc w:val="center"/>
              <w:ind w:right="2191"/>
              <w:spacing w:after="0"/>
              <w:rPr>
                <w:sz w:val="20"/>
                <w:szCs w:val="20"/>
                <w:color w:val="auto"/>
              </w:rPr>
            </w:pPr>
            <w:r>
              <w:rPr>
                <w:rFonts w:ascii="Times New Roman" w:cs="Times New Roman" w:eastAsia="Times New Roman" w:hAnsi="Times New Roman"/>
                <w:sz w:val="18"/>
                <w:szCs w:val="18"/>
                <w:b w:val="1"/>
                <w:bCs w:val="1"/>
                <w:color w:val="auto"/>
                <w:w w:val="99"/>
              </w:rPr>
              <w:t>Chelmsford, Massachusetts</w:t>
            </w:r>
          </w:p>
        </w:tc>
        <w:tc>
          <w:tcPr>
            <w:tcW w:w="3680" w:type="dxa"/>
            <w:vAlign w:val="bottom"/>
          </w:tcPr>
          <w:p>
            <w:pPr>
              <w:spacing w:after="0"/>
              <w:rPr>
                <w:sz w:val="20"/>
                <w:szCs w:val="20"/>
                <w:color w:val="auto"/>
              </w:rPr>
            </w:pPr>
          </w:p>
        </w:tc>
      </w:tr>
      <w:tr>
        <w:trPr>
          <w:trHeight w:val="254"/>
        </w:trPr>
        <w:tc>
          <w:tcPr>
            <w:tcW w:w="5220" w:type="dxa"/>
            <w:vAlign w:val="bottom"/>
          </w:tcPr>
          <w:p>
            <w:pPr>
              <w:jc w:val="center"/>
              <w:ind w:right="2191"/>
              <w:spacing w:after="0"/>
              <w:rPr>
                <w:sz w:val="20"/>
                <w:szCs w:val="20"/>
                <w:color w:val="auto"/>
              </w:rPr>
            </w:pPr>
            <w:r>
              <w:rPr>
                <w:rFonts w:ascii="Times New Roman" w:cs="Times New Roman" w:eastAsia="Times New Roman" w:hAnsi="Times New Roman"/>
                <w:sz w:val="18"/>
                <w:szCs w:val="18"/>
                <w:b w:val="1"/>
                <w:bCs w:val="1"/>
                <w:color w:val="auto"/>
                <w:w w:val="98"/>
              </w:rPr>
              <w:t>(Address of principal executive offices)</w:t>
            </w:r>
          </w:p>
        </w:tc>
        <w:tc>
          <w:tcPr>
            <w:tcW w:w="3680" w:type="dxa"/>
            <w:vAlign w:val="bottom"/>
          </w:tcPr>
          <w:p>
            <w:pPr>
              <w:jc w:val="center"/>
              <w:ind w:left="2191"/>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910-1486</w:t>
      </w:r>
    </w:p>
    <w:p>
      <w:pPr>
        <w:spacing w:after="0" w:line="30"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95" w:lineRule="exact"/>
        <w:rPr>
          <w:sz w:val="24"/>
          <w:szCs w:val="24"/>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163" w:lineRule="exact"/>
        <w:rPr>
          <w:sz w:val="24"/>
          <w:szCs w:val="24"/>
          <w:color w:val="auto"/>
        </w:rPr>
      </w:pPr>
    </w:p>
    <w:p>
      <w:pPr>
        <w:jc w:val="right"/>
        <w:ind w:right="540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18" w:lineRule="exact"/>
        <w:rPr>
          <w:sz w:val="24"/>
          <w:szCs w:val="24"/>
          <w:color w:val="auto"/>
        </w:rPr>
      </w:pPr>
    </w:p>
    <w:p>
      <w:pPr>
        <w:ind w:left="1500"/>
        <w:spacing w:after="0"/>
        <w:tabs>
          <w:tab w:leader="none" w:pos="5120" w:val="left"/>
          <w:tab w:leader="none" w:pos="732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94" w:lineRule="exact"/>
        <w:rPr>
          <w:sz w:val="24"/>
          <w:szCs w:val="24"/>
          <w:color w:val="auto"/>
        </w:rPr>
      </w:pPr>
    </w:p>
    <w:p>
      <w:pPr>
        <w:jc w:val="both"/>
        <w:ind w:firstLine="1284"/>
        <w:spacing w:after="0" w:line="263"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5" w:lineRule="exact"/>
        <w:rPr>
          <w:sz w:val="24"/>
          <w:szCs w:val="24"/>
          <w:color w:val="auto"/>
        </w:rPr>
      </w:pPr>
    </w:p>
    <w:p>
      <w:pPr>
        <w:ind w:right="40" w:firstLine="1284"/>
        <w:spacing w:after="0" w:line="263"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5" w:lineRule="exact"/>
        <w:rPr>
          <w:sz w:val="24"/>
          <w:szCs w:val="24"/>
          <w:color w:val="auto"/>
        </w:rPr>
      </w:pPr>
    </w:p>
    <w:p>
      <w:pPr>
        <w:ind w:right="140" w:firstLine="1284"/>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jc w:val="right"/>
              <w:ind w:right="1911"/>
              <w:spacing w:after="0"/>
              <w:rPr>
                <w:sz w:val="20"/>
                <w:szCs w:val="20"/>
                <w:color w:val="auto"/>
              </w:rPr>
            </w:pPr>
            <w:r>
              <w:rPr>
                <w:rFonts w:ascii="Wingdings" w:cs="Wingdings" w:eastAsia="Wingdings" w:hAnsi="Wingdings"/>
                <w:sz w:val="18"/>
                <w:szCs w:val="18"/>
                <w:b w:val="1"/>
                <w:bCs w:val="1"/>
                <w:color w:val="auto"/>
              </w:rPr>
              <w:t>o</w:t>
            </w:r>
          </w:p>
        </w:tc>
        <w:tc>
          <w:tcPr>
            <w:tcW w:w="4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jc w:val="right"/>
              <w:spacing w:after="0"/>
              <w:rPr>
                <w:sz w:val="20"/>
                <w:szCs w:val="20"/>
                <w:color w:val="auto"/>
              </w:rPr>
            </w:pPr>
            <w:r>
              <w:rPr>
                <w:rFonts w:ascii="Wingdings" w:cs="Wingdings" w:eastAsia="Wingdings" w:hAnsi="Wingdings"/>
                <w:sz w:val="18"/>
                <w:szCs w:val="18"/>
                <w:b w:val="1"/>
                <w:bCs w:val="1"/>
                <w:color w:val="auto"/>
              </w:rPr>
              <w:t>x</w:t>
            </w:r>
          </w:p>
        </w:tc>
      </w:tr>
      <w:tr>
        <w:trPr>
          <w:trHeight w:val="36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jc w:val="right"/>
              <w:ind w:right="1911"/>
              <w:spacing w:after="0"/>
              <w:rPr>
                <w:sz w:val="20"/>
                <w:szCs w:val="20"/>
                <w:color w:val="auto"/>
              </w:rPr>
            </w:pPr>
            <w:r>
              <w:rPr>
                <w:rFonts w:ascii="Wingdings" w:cs="Wingdings" w:eastAsia="Wingdings" w:hAnsi="Wingdings"/>
                <w:sz w:val="18"/>
                <w:szCs w:val="18"/>
                <w:b w:val="1"/>
                <w:bCs w:val="1"/>
                <w:color w:val="auto"/>
              </w:rPr>
              <w:t>o</w:t>
            </w:r>
          </w:p>
        </w:tc>
        <w:tc>
          <w:tcPr>
            <w:tcW w:w="4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jc w:val="right"/>
              <w:spacing w:after="0"/>
              <w:rPr>
                <w:sz w:val="20"/>
                <w:szCs w:val="20"/>
                <w:color w:val="auto"/>
              </w:rPr>
            </w:pPr>
            <w:r>
              <w:rPr>
                <w:rFonts w:ascii="Wingdings" w:cs="Wingdings" w:eastAsia="Wingdings" w:hAnsi="Wingdings"/>
                <w:sz w:val="18"/>
                <w:szCs w:val="18"/>
                <w:b w:val="1"/>
                <w:bCs w:val="1"/>
                <w:color w:val="auto"/>
              </w:rPr>
              <w:t>o</w:t>
            </w:r>
          </w:p>
        </w:tc>
      </w:tr>
      <w:tr>
        <w:trPr>
          <w:trHeight w:val="36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60" w:type="dxa"/>
            <w:vAlign w:val="bottom"/>
          </w:tcPr>
          <w:p>
            <w:pPr>
              <w:jc w:val="right"/>
              <w:ind w:right="1911"/>
              <w:spacing w:after="0"/>
              <w:rPr>
                <w:sz w:val="20"/>
                <w:szCs w:val="20"/>
                <w:color w:val="auto"/>
              </w:rPr>
            </w:pPr>
            <w:r>
              <w:rPr>
                <w:rFonts w:ascii="Wingdings" w:cs="Wingdings" w:eastAsia="Wingdings" w:hAnsi="Wingdings"/>
                <w:sz w:val="18"/>
                <w:szCs w:val="18"/>
                <w:b w:val="1"/>
                <w:bCs w:val="1"/>
                <w:color w:val="auto"/>
              </w:rPr>
              <w:t>x</w:t>
            </w:r>
          </w:p>
        </w:tc>
        <w:tc>
          <w:tcPr>
            <w:tcW w:w="46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42" w:lineRule="exact"/>
        <w:rPr>
          <w:sz w:val="24"/>
          <w:szCs w:val="24"/>
          <w:color w:val="auto"/>
        </w:rPr>
      </w:pPr>
    </w:p>
    <w:p>
      <w:pPr>
        <w:ind w:right="780" w:firstLine="1284"/>
        <w:spacing w:after="0" w:line="27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60" w:lineRule="exact"/>
        <w:rPr>
          <w:sz w:val="24"/>
          <w:szCs w:val="24"/>
          <w:color w:val="auto"/>
        </w:rPr>
      </w:pPr>
    </w:p>
    <w:p>
      <w:pPr>
        <w:ind w:right="280" w:firstLine="1284"/>
        <w:spacing w:after="0" w:line="27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As of November 4, 2025, there were 497,455,422 shares of common stock, no par value per share (the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040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02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186055</wp:posOffset>
            </wp:positionV>
            <wp:extent cx="7040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0245" cy="8255"/>
                    </a:xfrm>
                    <a:prstGeom prst="rect">
                      <a:avLst/>
                    </a:prstGeom>
                    <a:noFill/>
                  </pic:spPr>
                </pic:pic>
              </a:graphicData>
            </a:graphic>
          </wp:anchor>
        </w:drawing>
      </w:r>
    </w:p>
    <w:p>
      <w:pPr>
        <w:sectPr>
          <w:pgSz w:w="11900" w:h="16838" w:orient="portrait"/>
          <w:cols w:equalWidth="0" w:num="1">
            <w:col w:w="11220"/>
          </w:cols>
          <w:pgMar w:left="320" w:top="228" w:right="359" w:bottom="260" w:gutter="0" w:footer="0" w:header="0"/>
        </w:sectPr>
      </w:pPr>
    </w:p>
    <w:p>
      <w:pPr>
        <w:spacing w:after="0" w:line="200" w:lineRule="exact"/>
        <w:rPr>
          <w:sz w:val="24"/>
          <w:szCs w:val="24"/>
          <w:color w:val="auto"/>
        </w:rPr>
      </w:pPr>
    </w:p>
    <w:p>
      <w:pPr>
        <w:spacing w:after="0" w:line="3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11220"/>
          </w:cols>
          <w:pgMar w:left="320" w:top="228" w:right="359" w:bottom="26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1"/>
        </w:trPr>
        <w:tc>
          <w:tcPr>
            <w:tcW w:w="20" w:type="dxa"/>
            <w:vAlign w:val="bottom"/>
          </w:tcPr>
          <w:p>
            <w:pPr>
              <w:spacing w:after="0"/>
              <w:rPr>
                <w:sz w:val="15"/>
                <w:szCs w:val="15"/>
                <w:color w:val="auto"/>
              </w:rPr>
            </w:pPr>
          </w:p>
        </w:tc>
        <w:tc>
          <w:tcPr>
            <w:tcW w:w="2940" w:type="dxa"/>
            <w:vAlign w:val="bottom"/>
            <w:tcBorders>
              <w:bottom w:val="single" w:sz="8" w:color="0000FF"/>
            </w:tcBorders>
            <w:gridSpan w:val="9"/>
          </w:tcPr>
          <w:p>
            <w:pPr>
              <w:spacing w:after="0" w:line="181" w:lineRule="exact"/>
              <w:rPr>
                <w:sz w:val="20"/>
                <w:szCs w:val="20"/>
                <w:color w:val="auto"/>
              </w:rPr>
            </w:pPr>
            <w:r>
              <w:rPr>
                <w:rFonts w:ascii="Times New Roman" w:cs="Times New Roman" w:eastAsia="Times New Roman" w:hAnsi="Times New Roman"/>
                <w:sz w:val="18"/>
                <w:szCs w:val="18"/>
                <w:color w:val="0000FF"/>
                <w:w w:val="97"/>
              </w:rPr>
              <w:t>FORWARD-LOOKING STATEMENTS</w:t>
            </w:r>
          </w:p>
        </w:tc>
        <w:tc>
          <w:tcPr>
            <w:tcW w:w="7260" w:type="dxa"/>
            <w:vAlign w:val="bottom"/>
            <w:gridSpan w:val="11"/>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w:t>
            </w:r>
          </w:p>
        </w:tc>
      </w:tr>
      <w:tr>
        <w:trPr>
          <w:trHeight w:val="242"/>
        </w:trPr>
        <w:tc>
          <w:tcPr>
            <w:tcW w:w="2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102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1020" w:type="dxa"/>
            <w:vAlign w:val="bottom"/>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80" w:type="dxa"/>
            <w:vAlign w:val="bottom"/>
            <w:tcBorders>
              <w:bottom w:val="single" w:sz="8" w:color="0000FF"/>
            </w:tcBorders>
            <w:gridSpan w:val="10"/>
          </w:tcPr>
          <w:p>
            <w:pPr>
              <w:spacing w:after="0" w:line="192" w:lineRule="exact"/>
              <w:rPr>
                <w:sz w:val="20"/>
                <w:szCs w:val="20"/>
                <w:color w:val="auto"/>
              </w:rPr>
            </w:pPr>
            <w:r>
              <w:rPr>
                <w:rFonts w:ascii="Times New Roman" w:cs="Times New Roman" w:eastAsia="Times New Roman" w:hAnsi="Times New Roman"/>
                <w:sz w:val="18"/>
                <w:szCs w:val="18"/>
                <w:color w:val="0000FF"/>
                <w:w w:val="98"/>
              </w:rPr>
              <w:t>Condensed Consolidated Interim Balance Sheets</w:t>
            </w:r>
          </w:p>
        </w:tc>
        <w:tc>
          <w:tcPr>
            <w:tcW w:w="5580" w:type="dxa"/>
            <w:vAlign w:val="bottom"/>
            <w:gridSpan w:val="8"/>
          </w:tcPr>
          <w:p>
            <w:pPr>
              <w:spacing w:after="0"/>
              <w:rPr>
                <w:sz w:val="16"/>
                <w:szCs w:val="16"/>
                <w:color w:val="auto"/>
              </w:rPr>
            </w:pPr>
          </w:p>
        </w:tc>
        <w:tc>
          <w:tcPr>
            <w:tcW w:w="10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3</w:t>
            </w:r>
          </w:p>
        </w:tc>
      </w:tr>
      <w:tr>
        <w:trPr>
          <w:trHeight w:val="20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Operations and Comprehensive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Changes in Equity</w:t>
            </w:r>
          </w:p>
        </w:tc>
        <w:tc>
          <w:tcPr>
            <w:tcW w:w="3020" w:type="dxa"/>
            <w:vAlign w:val="bottom"/>
            <w:gridSpan w:val="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Cash Flows</w:t>
            </w:r>
          </w:p>
        </w:tc>
        <w:tc>
          <w:tcPr>
            <w:tcW w:w="4340" w:type="dxa"/>
            <w:vAlign w:val="bottom"/>
            <w:gridSpan w:val="4"/>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Interim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740" w:type="dxa"/>
            <w:vAlign w:val="bottom"/>
            <w:gridSpan w:val="5"/>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280" w:type="dxa"/>
            <w:vAlign w:val="bottom"/>
            <w:gridSpan w:val="12"/>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200" w:type="dxa"/>
            <w:vAlign w:val="bottom"/>
            <w:gridSpan w:val="10"/>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18"/>
                <w:szCs w:val="18"/>
                <w:color w:val="auto"/>
              </w:rPr>
            </w:pPr>
          </w:p>
        </w:tc>
        <w:tc>
          <w:tcPr>
            <w:tcW w:w="7740" w:type="dxa"/>
            <w:vAlign w:val="bottom"/>
            <w:gridSpan w:val="14"/>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760" w:type="dxa"/>
            <w:vAlign w:val="bottom"/>
            <w:gridSpan w:val="6"/>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40" w:type="dxa"/>
            <w:vAlign w:val="bottom"/>
            <w:tcBorders>
              <w:top w:val="single" w:sz="8" w:color="0000FF"/>
            </w:tcBorders>
            <w:gridSpan w:val="4"/>
          </w:tcPr>
          <w:p>
            <w:pPr>
              <w:spacing w:after="0"/>
              <w:rPr>
                <w:sz w:val="18"/>
                <w:szCs w:val="18"/>
                <w:color w:val="auto"/>
              </w:rPr>
            </w:pPr>
          </w:p>
        </w:tc>
        <w:tc>
          <w:tcPr>
            <w:tcW w:w="6760" w:type="dxa"/>
            <w:vAlign w:val="bottom"/>
            <w:gridSpan w:val="9"/>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760" w:type="dxa"/>
            <w:vAlign w:val="bottom"/>
            <w:gridSpan w:val="15"/>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7"/>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378"/>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regarding The Cannabist Company Holdings Inc. and its subsidiaries (collectively referred to as “The Cannabist Company,” “we,” “us,” “our,” or the “Company”). We make forward-looking statements related to future expectations, estimates, and projections that are uncertain and often contain words such as, but not limited to, “may”, “would”, “could”, “should”, “will”, “intend”, “plan”, “anticipate”, “believe”, “estimate”, “expect”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302" w:lineRule="exact"/>
        <w:rPr>
          <w:sz w:val="20"/>
          <w:szCs w:val="20"/>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Company's corporate restructuring activities, including, without limitation, the 2025 Debt Transaction (as defined below);</w:t>
      </w:r>
    </w:p>
    <w:p>
      <w:pPr>
        <w:spacing w:after="0" w:line="21" w:lineRule="exact"/>
        <w:rPr>
          <w:rFonts w:ascii="Times New Roman" w:cs="Times New Roman" w:eastAsia="Times New Roman" w:hAnsi="Times New Roman"/>
          <w:sz w:val="16"/>
          <w:szCs w:val="16"/>
          <w:color w:val="auto"/>
        </w:rPr>
      </w:pPr>
    </w:p>
    <w:p>
      <w:pPr>
        <w:ind w:left="880" w:right="100" w:hanging="311"/>
        <w:spacing w:after="0" w:line="235" w:lineRule="auto"/>
        <w:tabs>
          <w:tab w:leader="none" w:pos="869"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the existence of substantial doubt as to our ability to continue as a going concern, and our continuation as a going concern depends on events and circumstances that may not occur;</w:t>
      </w:r>
    </w:p>
    <w:p>
      <w:pPr>
        <w:ind w:left="880" w:right="460" w:hanging="311"/>
        <w:spacing w:after="0" w:line="235" w:lineRule="auto"/>
        <w:tabs>
          <w:tab w:leader="none" w:pos="86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review of strategic alternatives to reduce leverage and address our capital structure, which may not be successful and could create significant risks and uncertainties;</w:t>
      </w:r>
    </w:p>
    <w:p>
      <w:pPr>
        <w:ind w:left="880" w:right="400" w:hanging="311"/>
        <w:spacing w:after="0" w:line="234" w:lineRule="auto"/>
        <w:tabs>
          <w:tab w:leader="none" w:pos="86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covenants contained in our debt agreements that restrict our operations and may inhibit flexibility in operating our business and pursuing strategic alternatives, and the risk that failure to comply with these covenants could have a material adverse effect on our business, financial condition and results of operations;</w:t>
      </w: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marijuana remains illegal under federal law;</w:t>
      </w:r>
    </w:p>
    <w:p>
      <w:pPr>
        <w:spacing w:after="0" w:line="12"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of anti-money laundering laws and regulations to the Company;</w:t>
      </w:r>
    </w:p>
    <w:p>
      <w:pPr>
        <w:spacing w:after="0" w:line="7"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regulatory, or political change to the cannabis industry;</w:t>
      </w:r>
    </w:p>
    <w:p>
      <w:pPr>
        <w:spacing w:after="0" w:line="12"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public and private capital;</w:t>
      </w:r>
    </w:p>
    <w:p>
      <w:pPr>
        <w:spacing w:after="0" w:line="3"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publicity or consumer perception of the cannabis industry;</w:t>
      </w:r>
    </w:p>
    <w:p>
      <w:pPr>
        <w:spacing w:after="0" w:line="7"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to the adult-use markets;</w:t>
      </w:r>
    </w:p>
    <w:p>
      <w:pPr>
        <w:spacing w:after="0" w:line="12"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laws, regulations, and guidelines;</w:t>
      </w:r>
    </w:p>
    <w:p>
      <w:pPr>
        <w:spacing w:after="0" w:line="7"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impact of Section 280E of the U.S. Internal Revenue Code of 1986, as amended (the </w:t>
      </w:r>
      <w:r>
        <w:rPr>
          <w:rFonts w:ascii="Arial" w:cs="Arial" w:eastAsia="Arial" w:hAnsi="Arial"/>
          <w:sz w:val="16"/>
          <w:szCs w:val="16"/>
          <w:color w:val="auto"/>
        </w:rPr>
        <w:t>“</w:t>
      </w:r>
      <w:r>
        <w:rPr>
          <w:rFonts w:ascii="Times New Roman" w:cs="Times New Roman" w:eastAsia="Times New Roman" w:hAnsi="Times New Roman"/>
          <w:sz w:val="16"/>
          <w:szCs w:val="16"/>
          <w:b w:val="1"/>
          <w:bCs w:val="1"/>
          <w:color w:val="auto"/>
        </w:rPr>
        <w:t>Internal Revenue Code</w:t>
      </w:r>
      <w:r>
        <w:rPr>
          <w:rFonts w:ascii="Times New Roman" w:cs="Times New Roman" w:eastAsia="Times New Roman" w:hAnsi="Times New Roman"/>
          <w:sz w:val="16"/>
          <w:szCs w:val="16"/>
          <w:color w:val="auto"/>
        </w:rPr>
        <w:t>”);</w:t>
      </w:r>
    </w:p>
    <w:p>
      <w:pPr>
        <w:spacing w:after="0" w:line="12"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state laws pertaining to the cannabis industry;</w:t>
      </w:r>
    </w:p>
    <w:p>
      <w:pPr>
        <w:spacing w:after="0" w:line="3"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reliance on key inputs, suppliers and skilled labor;</w:t>
      </w:r>
    </w:p>
    <w:p>
      <w:pPr>
        <w:spacing w:after="0" w:line="7"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difficulty of forecasting the Company’s sales;</w:t>
      </w:r>
    </w:p>
    <w:p>
      <w:pPr>
        <w:spacing w:after="0" w:line="12"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constraints on marketing products;</w:t>
      </w:r>
    </w:p>
    <w:p>
      <w:pPr>
        <w:spacing w:after="0" w:line="7"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cyber-attacks and security breaches;</w:t>
      </w:r>
    </w:p>
    <w:p>
      <w:pPr>
        <w:spacing w:after="0" w:line="12"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operating loss and other tax attribute limitations;</w:t>
      </w:r>
    </w:p>
    <w:p>
      <w:pPr>
        <w:spacing w:after="0" w:line="3"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changes in tax laws;</w:t>
      </w:r>
    </w:p>
    <w:p>
      <w:pPr>
        <w:spacing w:after="0" w:line="7"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of the market price of the Company’s common shares;</w:t>
      </w:r>
    </w:p>
    <w:p>
      <w:pPr>
        <w:spacing w:after="0" w:line="12"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management;</w:t>
      </w:r>
    </w:p>
    <w:p>
      <w:pPr>
        <w:spacing w:after="0" w:line="3"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w:t>
      </w:r>
    </w:p>
    <w:p>
      <w:pPr>
        <w:spacing w:after="0" w:line="7"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results and financial projections; and</w:t>
      </w:r>
    </w:p>
    <w:p>
      <w:pPr>
        <w:spacing w:after="0" w:line="12" w:lineRule="exact"/>
        <w:rPr>
          <w:rFonts w:ascii="Times New Roman" w:cs="Times New Roman" w:eastAsia="Times New Roman" w:hAnsi="Times New Roman"/>
          <w:sz w:val="16"/>
          <w:szCs w:val="16"/>
          <w:color w:val="auto"/>
        </w:rPr>
      </w:pPr>
    </w:p>
    <w:p>
      <w:pPr>
        <w:ind w:left="880" w:hanging="311"/>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global financial conditions.</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list of factors above is illustrative and by no means exhaustive. Additional information regarding these risks and other risks and uncertainties we face is contained in this Quarterly Report on Form 10-Q and our Annual Report on Form 10-K for the year ended December 31, 2024, as well as subsequent filings.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30"/>
        </w:trPr>
        <w:tc>
          <w:tcPr>
            <w:tcW w:w="74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7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17,761</w:t>
            </w:r>
          </w:p>
        </w:tc>
        <w:tc>
          <w:tcPr>
            <w:tcW w:w="100" w:type="dxa"/>
            <w:vAlign w:val="bottom"/>
            <w:shd w:val="clear" w:color="auto" w:fill="CCEEFF"/>
          </w:tcPr>
          <w:p>
            <w:pPr>
              <w:spacing w:after="0"/>
              <w:rPr>
                <w:sz w:val="20"/>
                <w:szCs w:val="20"/>
                <w:color w:val="auto"/>
              </w:rPr>
            </w:pPr>
          </w:p>
        </w:tc>
        <w:tc>
          <w:tcPr>
            <w:tcW w:w="2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33,607</w:t>
            </w:r>
          </w:p>
        </w:tc>
        <w:tc>
          <w:tcPr>
            <w:tcW w:w="0" w:type="dxa"/>
            <w:vAlign w:val="bottom"/>
          </w:tcPr>
          <w:p>
            <w:pPr>
              <w:spacing w:after="0"/>
              <w:rPr>
                <w:sz w:val="1"/>
                <w:szCs w:val="1"/>
                <w:color w:val="auto"/>
              </w:rPr>
            </w:pPr>
          </w:p>
        </w:tc>
      </w:tr>
      <w:tr>
        <w:trPr>
          <w:trHeight w:val="238"/>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credit loss allowance of $7,907 and $6,754, respectively</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21,688</w:t>
            </w:r>
          </w:p>
        </w:tc>
        <w:tc>
          <w:tcPr>
            <w:tcW w:w="0" w:type="dxa"/>
            <w:vAlign w:val="bottom"/>
          </w:tcPr>
          <w:p>
            <w:pPr>
              <w:spacing w:after="0"/>
              <w:rPr>
                <w:sz w:val="1"/>
                <w:szCs w:val="1"/>
                <w:color w:val="auto"/>
              </w:rPr>
            </w:pPr>
          </w:p>
        </w:tc>
      </w:tr>
      <w:tr>
        <w:trPr>
          <w:trHeight w:val="24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66,832</w:t>
            </w:r>
          </w:p>
        </w:tc>
        <w:tc>
          <w:tcPr>
            <w:tcW w:w="10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94,516</w:t>
            </w:r>
          </w:p>
        </w:tc>
        <w:tc>
          <w:tcPr>
            <w:tcW w:w="0" w:type="dxa"/>
            <w:vAlign w:val="bottom"/>
          </w:tcPr>
          <w:p>
            <w:pPr>
              <w:spacing w:after="0"/>
              <w:rPr>
                <w:sz w:val="1"/>
                <w:szCs w:val="1"/>
                <w:color w:val="auto"/>
              </w:rPr>
            </w:pPr>
          </w:p>
        </w:tc>
      </w:tr>
      <w:tr>
        <w:trPr>
          <w:trHeight w:val="238"/>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0" w:type="dxa"/>
            <w:vAlign w:val="bottom"/>
          </w:tcPr>
          <w:p>
            <w:pPr>
              <w:spacing w:after="0"/>
              <w:rPr>
                <w:sz w:val="1"/>
                <w:szCs w:val="1"/>
                <w:color w:val="auto"/>
              </w:rPr>
            </w:pPr>
          </w:p>
        </w:tc>
      </w:tr>
      <w:tr>
        <w:trPr>
          <w:trHeight w:val="24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Notes receivable</w:t>
            </w: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15,614</w:t>
            </w:r>
          </w:p>
        </w:tc>
        <w:tc>
          <w:tcPr>
            <w:tcW w:w="0" w:type="dxa"/>
            <w:vAlign w:val="bottom"/>
          </w:tcPr>
          <w:p>
            <w:pPr>
              <w:spacing w:after="0"/>
              <w:rPr>
                <w:sz w:val="1"/>
                <w:szCs w:val="1"/>
                <w:color w:val="auto"/>
              </w:rPr>
            </w:pPr>
          </w:p>
        </w:tc>
      </w:tr>
      <w:tr>
        <w:trPr>
          <w:trHeight w:val="238"/>
        </w:trPr>
        <w:tc>
          <w:tcPr>
            <w:tcW w:w="74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Assets held for sale</w:t>
            </w: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29,954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17,778</w:t>
            </w:r>
          </w:p>
        </w:tc>
        <w:tc>
          <w:tcPr>
            <w:tcW w:w="0" w:type="dxa"/>
            <w:vAlign w:val="bottom"/>
          </w:tcPr>
          <w:p>
            <w:pPr>
              <w:spacing w:after="0"/>
              <w:rPr>
                <w:sz w:val="1"/>
                <w:szCs w:val="1"/>
                <w:color w:val="auto"/>
              </w:rPr>
            </w:pPr>
          </w:p>
        </w:tc>
      </w:tr>
      <w:tr>
        <w:trPr>
          <w:trHeight w:val="237"/>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144,733</w:t>
            </w:r>
          </w:p>
        </w:tc>
        <w:tc>
          <w:tcPr>
            <w:tcW w:w="100" w:type="dxa"/>
            <w:vAlign w:val="bottom"/>
            <w:shd w:val="clear" w:color="auto" w:fill="CCEEFF"/>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194,997</w:t>
            </w:r>
          </w:p>
        </w:tc>
        <w:tc>
          <w:tcPr>
            <w:tcW w:w="0" w:type="dxa"/>
            <w:vAlign w:val="bottom"/>
          </w:tcPr>
          <w:p>
            <w:pPr>
              <w:spacing w:after="0"/>
              <w:rPr>
                <w:sz w:val="1"/>
                <w:szCs w:val="1"/>
                <w:color w:val="auto"/>
              </w:rPr>
            </w:pPr>
          </w:p>
        </w:tc>
      </w:tr>
      <w:tr>
        <w:trPr>
          <w:trHeight w:val="201"/>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209,043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228,396</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 of use assets - operating leases,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124,739</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Right of use assets - finance leases, net</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25,515</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51,249</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32,025</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11,958</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15,414</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4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536,509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696,173</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24,264</w:t>
            </w:r>
          </w:p>
        </w:tc>
        <w:tc>
          <w:tcPr>
            <w:tcW w:w="3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41,125</w:t>
            </w:r>
          </w:p>
        </w:tc>
        <w:tc>
          <w:tcPr>
            <w:tcW w:w="0" w:type="dxa"/>
            <w:vAlign w:val="bottom"/>
          </w:tcPr>
          <w:p>
            <w:pPr>
              <w:spacing w:after="0"/>
              <w:rPr>
                <w:sz w:val="1"/>
                <w:szCs w:val="1"/>
                <w:color w:val="auto"/>
              </w:rPr>
            </w:pP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32,839</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86,973</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87,333</w:t>
            </w:r>
          </w:p>
        </w:tc>
        <w:tc>
          <w:tcPr>
            <w:tcW w:w="0" w:type="dxa"/>
            <w:vAlign w:val="bottom"/>
          </w:tcPr>
          <w:p>
            <w:pPr>
              <w:spacing w:after="0"/>
              <w:rPr>
                <w:sz w:val="1"/>
                <w:szCs w:val="1"/>
                <w:color w:val="auto"/>
              </w:rPr>
            </w:pP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lease liabilities - operating leases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7,386</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portion of lease liabilities - finance leases</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0" w:type="dxa"/>
            <w:vAlign w:val="bottom"/>
          </w:tcPr>
          <w:p>
            <w:pPr>
              <w:spacing w:after="0"/>
              <w:rPr>
                <w:sz w:val="1"/>
                <w:szCs w:val="1"/>
                <w:color w:val="auto"/>
              </w:rPr>
            </w:pP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52,461</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16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14,550</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0" w:type="dxa"/>
            <w:vAlign w:val="bottom"/>
          </w:tcPr>
          <w:p>
            <w:pPr>
              <w:spacing w:after="0"/>
              <w:rPr>
                <w:sz w:val="1"/>
                <w:szCs w:val="1"/>
                <w:color w:val="auto"/>
              </w:rPr>
            </w:pPr>
          </w:p>
        </w:tc>
      </w:tr>
      <w:tr>
        <w:trPr>
          <w:trHeight w:val="202"/>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162,129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228,710</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74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7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249,512</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lease liabilities - operating leases</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97,936</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126,215</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lease liabilities - finance leases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37,937</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83,237</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689,458</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726,232</w:t>
            </w:r>
          </w:p>
        </w:tc>
        <w:tc>
          <w:tcPr>
            <w:tcW w:w="0" w:type="dxa"/>
            <w:vAlign w:val="bottom"/>
          </w:tcPr>
          <w:p>
            <w:pPr>
              <w:spacing w:after="0"/>
              <w:rPr>
                <w:sz w:val="1"/>
                <w:szCs w:val="1"/>
                <w:color w:val="auto"/>
              </w:rPr>
            </w:pPr>
          </w:p>
        </w:tc>
      </w:tr>
      <w:tr>
        <w:trPr>
          <w:trHeight w:val="202"/>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7440" w:type="dxa"/>
            <w:vAlign w:val="bottom"/>
          </w:tcPr>
          <w:p>
            <w:pPr>
              <w:ind w:left="260"/>
              <w:spacing w:after="0" w:line="161" w:lineRule="exact"/>
              <w:rPr>
                <w:sz w:val="20"/>
                <w:szCs w:val="20"/>
                <w:color w:val="auto"/>
              </w:rPr>
            </w:pPr>
            <w:r>
              <w:rPr>
                <w:rFonts w:ascii="Times New Roman" w:cs="Times New Roman" w:eastAsia="Times New Roman" w:hAnsi="Times New Roman"/>
                <w:sz w:val="16"/>
                <w:szCs w:val="16"/>
                <w:color w:val="auto"/>
              </w:rPr>
              <w:t>Common Stock, no par value, unlimited shares authorized as of September 30, 2025 and December 31, 2024,</w:t>
            </w: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440" w:type="dxa"/>
            <w:vAlign w:val="bottom"/>
          </w:tcPr>
          <w:p>
            <w:pPr>
              <w:ind w:left="240"/>
              <w:spacing w:after="0" w:line="161" w:lineRule="exact"/>
              <w:rPr>
                <w:sz w:val="20"/>
                <w:szCs w:val="20"/>
                <w:color w:val="auto"/>
              </w:rPr>
            </w:pPr>
            <w:r>
              <w:rPr>
                <w:rFonts w:ascii="Times New Roman" w:cs="Times New Roman" w:eastAsia="Times New Roman" w:hAnsi="Times New Roman"/>
                <w:sz w:val="16"/>
                <w:szCs w:val="16"/>
                <w:color w:val="auto"/>
              </w:rPr>
              <w:t>respectively, 491,976,807 and 465,638,304 shares issued and outstanding as of September 30, 2025 and</w:t>
            </w:r>
          </w:p>
        </w:tc>
        <w:tc>
          <w:tcPr>
            <w:tcW w:w="16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Preferred Stock, no par value, unlimited shares authorized as of September 30, 2025 and December 31, 2024,</w:t>
            </w:r>
          </w:p>
        </w:tc>
        <w:tc>
          <w:tcPr>
            <w:tcW w:w="160" w:type="dxa"/>
            <w:vAlign w:val="bottom"/>
            <w:shd w:val="clear" w:color="auto" w:fill="CFF0FC"/>
          </w:tcPr>
          <w:p>
            <w:pPr>
              <w:spacing w:after="0"/>
              <w:rPr>
                <w:sz w:val="16"/>
                <w:szCs w:val="16"/>
                <w:color w:val="auto"/>
              </w:rPr>
            </w:pPr>
          </w:p>
        </w:tc>
        <w:tc>
          <w:tcPr>
            <w:tcW w:w="1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7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respectively, none issued and outstanding as of September 30, 2025 and December 31, 2024</w:t>
            </w:r>
          </w:p>
        </w:tc>
        <w:tc>
          <w:tcPr>
            <w:tcW w:w="160" w:type="dxa"/>
            <w:vAlign w:val="bottom"/>
            <w:shd w:val="clear" w:color="auto" w:fill="CFF0FC"/>
          </w:tcPr>
          <w:p>
            <w:pPr>
              <w:spacing w:after="0"/>
              <w:rPr>
                <w:sz w:val="19"/>
                <w:szCs w:val="19"/>
                <w:color w:val="auto"/>
              </w:rPr>
            </w:pPr>
          </w:p>
        </w:tc>
        <w:tc>
          <w:tcPr>
            <w:tcW w:w="16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Proportionate voting shares, no par value, unlimited shares authorized as of September 30, 2025 and December</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40"/>
              <w:spacing w:after="0" w:line="174" w:lineRule="exact"/>
              <w:rPr>
                <w:sz w:val="20"/>
                <w:szCs w:val="20"/>
                <w:color w:val="auto"/>
              </w:rPr>
            </w:pPr>
            <w:r>
              <w:rPr>
                <w:rFonts w:ascii="Times New Roman" w:cs="Times New Roman" w:eastAsia="Times New Roman" w:hAnsi="Times New Roman"/>
                <w:sz w:val="16"/>
                <w:szCs w:val="16"/>
                <w:color w:val="auto"/>
              </w:rPr>
              <w:t>31, 2024, respectively, 7,387,328 and 7,387,328 shares issued and outstanding as of September 30, 2025 and</w:t>
            </w: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1,158,164</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1,156,807</w:t>
            </w:r>
          </w:p>
        </w:tc>
        <w:tc>
          <w:tcPr>
            <w:tcW w:w="0" w:type="dxa"/>
            <w:vAlign w:val="bottom"/>
          </w:tcPr>
          <w:p>
            <w:pPr>
              <w:spacing w:after="0"/>
              <w:rPr>
                <w:sz w:val="1"/>
                <w:szCs w:val="1"/>
                <w:color w:val="auto"/>
              </w:rPr>
            </w:pP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(1,309,847)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(1,185,501)</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74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Equity attributable to The Cannabist Company Holdings Inc.</w:t>
            </w:r>
          </w:p>
        </w:tc>
        <w:tc>
          <w:tcPr>
            <w:tcW w:w="1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(151,683)</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(28,694)</w:t>
            </w:r>
          </w:p>
        </w:tc>
        <w:tc>
          <w:tcPr>
            <w:tcW w:w="0" w:type="dxa"/>
            <w:vAlign w:val="bottom"/>
          </w:tcPr>
          <w:p>
            <w:pPr>
              <w:spacing w:after="0"/>
              <w:rPr>
                <w:sz w:val="1"/>
                <w:szCs w:val="1"/>
                <w:color w:val="auto"/>
              </w:rPr>
            </w:pP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0" w:type="dxa"/>
            <w:vAlign w:val="bottom"/>
          </w:tcPr>
          <w:p>
            <w:pPr>
              <w:spacing w:after="0"/>
              <w:rPr>
                <w:sz w:val="1"/>
                <w:szCs w:val="1"/>
                <w:color w:val="auto"/>
              </w:rPr>
            </w:pPr>
          </w:p>
        </w:tc>
      </w:tr>
      <w:tr>
        <w:trPr>
          <w:trHeight w:val="32"/>
        </w:trPr>
        <w:tc>
          <w:tcPr>
            <w:tcW w:w="74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(152,949)</w:t>
            </w: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(30,059)</w:t>
            </w:r>
          </w:p>
        </w:tc>
        <w:tc>
          <w:tcPr>
            <w:tcW w:w="0" w:type="dxa"/>
            <w:vAlign w:val="bottom"/>
          </w:tcPr>
          <w:p>
            <w:pPr>
              <w:spacing w:after="0"/>
              <w:rPr>
                <w:sz w:val="1"/>
                <w:szCs w:val="1"/>
                <w:color w:val="auto"/>
              </w:rPr>
            </w:pPr>
          </w:p>
        </w:tc>
      </w:tr>
      <w:tr>
        <w:trPr>
          <w:trHeight w:val="205"/>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536,509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696,173</w:t>
            </w:r>
          </w:p>
        </w:tc>
        <w:tc>
          <w:tcPr>
            <w:tcW w:w="0" w:type="dxa"/>
            <w:vAlign w:val="bottom"/>
          </w:tcPr>
          <w:p>
            <w:pPr>
              <w:spacing w:after="0"/>
              <w:rPr>
                <w:sz w:val="1"/>
                <w:szCs w:val="1"/>
                <w:color w:val="auto"/>
              </w:rPr>
            </w:pPr>
          </w:p>
        </w:tc>
      </w:tr>
      <w:tr>
        <w:trPr>
          <w:trHeight w:val="23"/>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262255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CONDENSED CONSOLIDATED INTERIM STATEMENTS OF OPERATIONS AND COMPREHENSIVE LOSS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 and per share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0" w:type="dxa"/>
            <w:vAlign w:val="bottom"/>
          </w:tcPr>
          <w:p>
            <w:pPr>
              <w:spacing w:after="0"/>
              <w:rPr>
                <w:sz w:val="1"/>
                <w:szCs w:val="1"/>
                <w:color w:val="auto"/>
              </w:rPr>
            </w:pPr>
          </w:p>
        </w:tc>
      </w:tr>
      <w:tr>
        <w:trPr>
          <w:trHeight w:val="30"/>
        </w:trPr>
        <w:tc>
          <w:tcPr>
            <w:tcW w:w="49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net of discounts</w:t>
            </w:r>
          </w:p>
        </w:tc>
        <w:tc>
          <w:tcPr>
            <w:tcW w:w="380" w:type="dxa"/>
            <w:vAlign w:val="bottom"/>
            <w:tcBorders>
              <w:bottom w:val="single" w:sz="8" w:color="CFF0FC"/>
            </w:tcBorders>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79,912</w:t>
            </w:r>
          </w:p>
        </w:tc>
        <w:tc>
          <w:tcPr>
            <w:tcW w:w="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114,783</w:t>
            </w: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253,702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362,584</w:t>
            </w: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(70,973)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(228,185)</w:t>
            </w:r>
          </w:p>
        </w:tc>
        <w:tc>
          <w:tcPr>
            <w:tcW w:w="0" w:type="dxa"/>
            <w:vAlign w:val="bottom"/>
          </w:tcPr>
          <w:p>
            <w:pPr>
              <w:spacing w:after="0"/>
              <w:rPr>
                <w:sz w:val="1"/>
                <w:szCs w:val="1"/>
                <w:color w:val="auto"/>
              </w:rPr>
            </w:pPr>
          </w:p>
        </w:tc>
      </w:tr>
      <w:tr>
        <w:trPr>
          <w:trHeight w:val="32"/>
        </w:trPr>
        <w:tc>
          <w:tcPr>
            <w:tcW w:w="49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22,911</w:t>
            </w:r>
          </w:p>
        </w:tc>
        <w:tc>
          <w:tcPr>
            <w:tcW w:w="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43,810</w:t>
            </w: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69,349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134,399</w:t>
            </w:r>
          </w:p>
        </w:tc>
        <w:tc>
          <w:tcPr>
            <w:tcW w:w="0" w:type="dxa"/>
            <w:vAlign w:val="bottom"/>
          </w:tcPr>
          <w:p>
            <w:pPr>
              <w:spacing w:after="0"/>
              <w:rPr>
                <w:sz w:val="1"/>
                <w:szCs w:val="1"/>
                <w:color w:val="auto"/>
              </w:rPr>
            </w:pPr>
          </w:p>
        </w:tc>
      </w:tr>
      <w:tr>
        <w:trPr>
          <w:trHeight w:val="209"/>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asset impairment</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32"/>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9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(34,941)</w:t>
            </w:r>
          </w:p>
        </w:tc>
        <w:tc>
          <w:tcPr>
            <w:tcW w:w="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(49,315)</w:t>
            </w: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(105,182)</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(142,634)</w:t>
            </w:r>
          </w:p>
        </w:tc>
        <w:tc>
          <w:tcPr>
            <w:tcW w:w="0" w:type="dxa"/>
            <w:vAlign w:val="bottom"/>
          </w:tcPr>
          <w:p>
            <w:pPr>
              <w:spacing w:after="0"/>
              <w:rPr>
                <w:sz w:val="1"/>
                <w:szCs w:val="1"/>
                <w:color w:val="auto"/>
              </w:rPr>
            </w:pPr>
          </w:p>
        </w:tc>
      </w:tr>
      <w:tr>
        <w:trPr>
          <w:trHeight w:val="202"/>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(12,030)</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(36,026)</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0" w:type="dxa"/>
            <w:vAlign w:val="bottom"/>
          </w:tcPr>
          <w:p>
            <w:pPr>
              <w:spacing w:after="0"/>
              <w:rPr>
                <w:sz w:val="1"/>
                <w:szCs w:val="1"/>
                <w:color w:val="auto"/>
              </w:rPr>
            </w:pPr>
          </w:p>
        </w:tc>
      </w:tr>
      <w:tr>
        <w:trPr>
          <w:trHeight w:val="32"/>
        </w:trPr>
        <w:tc>
          <w:tcPr>
            <w:tcW w:w="49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expense:</w:t>
            </w:r>
          </w:p>
        </w:tc>
        <w:tc>
          <w:tcPr>
            <w:tcW w:w="3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on leases</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32"/>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(9,744)</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(32,124)</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(28,494)</w:t>
            </w:r>
          </w:p>
        </w:tc>
        <w:tc>
          <w:tcPr>
            <w:tcW w:w="0" w:type="dxa"/>
            <w:vAlign w:val="bottom"/>
          </w:tcPr>
          <w:p>
            <w:pPr>
              <w:spacing w:after="0"/>
              <w:rPr>
                <w:sz w:val="1"/>
                <w:szCs w:val="1"/>
                <w:color w:val="auto"/>
              </w:rPr>
            </w:pPr>
          </w:p>
        </w:tc>
      </w:tr>
      <w:tr>
        <w:trPr>
          <w:trHeight w:val="209"/>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29,909</w:t>
            </w:r>
          </w:p>
        </w:tc>
        <w:tc>
          <w:tcPr>
            <w:tcW w:w="0" w:type="dxa"/>
            <w:vAlign w:val="bottom"/>
          </w:tcPr>
          <w:p>
            <w:pPr>
              <w:spacing w:after="0"/>
              <w:rPr>
                <w:sz w:val="1"/>
                <w:szCs w:val="1"/>
                <w:color w:val="auto"/>
              </w:rPr>
            </w:pPr>
          </w:p>
        </w:tc>
      </w:tr>
      <w:tr>
        <w:trPr>
          <w:trHeight w:val="32"/>
        </w:trPr>
        <w:tc>
          <w:tcPr>
            <w:tcW w:w="49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3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25,701</w:t>
            </w: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(37,872)</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202"/>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Profit (loss) before provision for income taxes</w:t>
            </w:r>
          </w:p>
        </w:tc>
        <w:tc>
          <w:tcPr>
            <w:tcW w:w="3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(8,321)</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20,075</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(73,898)</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(9,626)</w:t>
            </w:r>
          </w:p>
        </w:tc>
        <w:tc>
          <w:tcPr>
            <w:tcW w:w="0" w:type="dxa"/>
            <w:vAlign w:val="bottom"/>
          </w:tcPr>
          <w:p>
            <w:pPr>
              <w:spacing w:after="0"/>
              <w:rPr>
                <w:sz w:val="1"/>
                <w:szCs w:val="1"/>
                <w:color w:val="auto"/>
              </w:rPr>
            </w:pPr>
          </w:p>
        </w:tc>
      </w:tr>
      <w:tr>
        <w:trPr>
          <w:trHeight w:val="32"/>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(21,838)</w:t>
            </w: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(50,349)</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(40,348)</w:t>
            </w:r>
          </w:p>
        </w:tc>
        <w:tc>
          <w:tcPr>
            <w:tcW w:w="0" w:type="dxa"/>
            <w:vAlign w:val="bottom"/>
          </w:tcPr>
          <w:p>
            <w:pPr>
              <w:spacing w:after="0"/>
              <w:rPr>
                <w:sz w:val="1"/>
                <w:szCs w:val="1"/>
                <w:color w:val="auto"/>
              </w:rPr>
            </w:pPr>
          </w:p>
        </w:tc>
      </w:tr>
      <w:tr>
        <w:trPr>
          <w:trHeight w:val="202"/>
        </w:trPr>
        <w:tc>
          <w:tcPr>
            <w:tcW w:w="4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3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(14,655)</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(124,247)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(49,974)</w:t>
            </w:r>
          </w:p>
        </w:tc>
        <w:tc>
          <w:tcPr>
            <w:tcW w:w="0" w:type="dxa"/>
            <w:vAlign w:val="bottom"/>
          </w:tcPr>
          <w:p>
            <w:pPr>
              <w:spacing w:after="0"/>
              <w:rPr>
                <w:sz w:val="1"/>
                <w:szCs w:val="1"/>
                <w:color w:val="auto"/>
              </w:rPr>
            </w:pPr>
          </w:p>
        </w:tc>
      </w:tr>
      <w:tr>
        <w:trPr>
          <w:trHeight w:val="32"/>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profit (loss) attributable to non-controlling interests</w:t>
            </w: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02"/>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3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(14,261)</w:t>
            </w:r>
          </w:p>
        </w:tc>
        <w:tc>
          <w:tcPr>
            <w:tcW w:w="80" w:type="dxa"/>
            <w:vAlign w:val="bottom"/>
          </w:tcPr>
          <w:p>
            <w:pPr>
              <w:spacing w:after="0"/>
              <w:rPr>
                <w:sz w:val="17"/>
                <w:szCs w:val="17"/>
                <w:color w:val="auto"/>
              </w:rPr>
            </w:pPr>
          </w:p>
        </w:tc>
        <w:tc>
          <w:tcPr>
            <w:tcW w:w="66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(124,346)</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(51,274)</w:t>
            </w:r>
          </w:p>
        </w:tc>
        <w:tc>
          <w:tcPr>
            <w:tcW w:w="0" w:type="dxa"/>
            <w:vAlign w:val="bottom"/>
          </w:tcPr>
          <w:p>
            <w:pPr>
              <w:spacing w:after="0"/>
              <w:rPr>
                <w:sz w:val="1"/>
                <w:szCs w:val="1"/>
                <w:color w:val="auto"/>
              </w:rPr>
            </w:pPr>
          </w:p>
        </w:tc>
      </w:tr>
      <w:tr>
        <w:trPr>
          <w:trHeight w:val="32"/>
        </w:trPr>
        <w:tc>
          <w:tcPr>
            <w:tcW w:w="4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used in earnings per share - basic and</w:t>
            </w:r>
          </w:p>
        </w:tc>
        <w:tc>
          <w:tcPr>
            <w:tcW w:w="3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499,218,628</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470,552,039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485,743,942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458,988,976</w:t>
            </w: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attributable to shares (basic and diluted)</w:t>
            </w:r>
          </w:p>
        </w:tc>
        <w:tc>
          <w:tcPr>
            <w:tcW w:w="38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32"/>
        </w:trPr>
        <w:tc>
          <w:tcPr>
            <w:tcW w:w="49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-2785110</wp:posOffset>
            </wp:positionV>
            <wp:extent cx="59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-2785110</wp:posOffset>
            </wp:positionV>
            <wp:extent cx="5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-3098800</wp:posOffset>
            </wp:positionV>
            <wp:extent cx="59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-3098800</wp:posOffset>
            </wp:positionV>
            <wp:extent cx="59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-3098800</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CHANGES IN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Total The Cannabist</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60" w:type="dxa"/>
            <w:vAlign w:val="bottom"/>
          </w:tcPr>
          <w:p>
            <w:pPr>
              <w:spacing w:after="0"/>
              <w:rPr>
                <w:sz w:val="16"/>
                <w:szCs w:val="16"/>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Proportionate</w:t>
            </w: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1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Company Holdings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200" w:type="dxa"/>
            <w:vAlign w:val="bottom"/>
          </w:tcPr>
          <w:p>
            <w:pPr>
              <w:spacing w:after="0"/>
              <w:rPr>
                <w:sz w:val="16"/>
                <w:szCs w:val="16"/>
                <w:color w:val="auto"/>
              </w:rPr>
            </w:pPr>
          </w:p>
        </w:tc>
        <w:tc>
          <w:tcPr>
            <w:tcW w:w="8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4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center"/>
              <w:ind w:right="440"/>
              <w:spacing w:after="0" w:line="174" w:lineRule="exact"/>
              <w:rPr>
                <w:sz w:val="20"/>
                <w:szCs w:val="20"/>
                <w:color w:val="auto"/>
              </w:rPr>
            </w:pPr>
            <w:r>
              <w:rPr>
                <w:rFonts w:ascii="Times New Roman" w:cs="Times New Roman" w:eastAsia="Times New Roman" w:hAnsi="Times New Roman"/>
                <w:sz w:val="16"/>
                <w:szCs w:val="16"/>
                <w:b w:val="1"/>
                <w:bCs w:val="1"/>
                <w:color w:val="auto"/>
                <w:w w:val="98"/>
              </w:rPr>
              <w:t>Inc.</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6"/>
                <w:szCs w:val="16"/>
                <w:b w:val="1"/>
                <w:bCs w:val="1"/>
                <w:color w:val="auto"/>
                <w:w w:val="98"/>
              </w:rPr>
              <w:t>Controlling</w:t>
            </w: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Voting Shares</w:t>
            </w:r>
          </w:p>
        </w:tc>
        <w:tc>
          <w:tcPr>
            <w:tcW w:w="14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20"/>
                <w:szCs w:val="20"/>
                <w:color w:val="auto"/>
              </w:rPr>
            </w:pP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1"/>
        </w:trPr>
        <w:tc>
          <w:tcPr>
            <w:tcW w:w="27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420,265,306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9,807,881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1,146,154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(1,079,282)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66,872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65,352</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 (1)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0" w:type="dxa"/>
            <w:vAlign w:val="bottom"/>
          </w:tcPr>
          <w:p>
            <w:pPr>
              <w:spacing w:after="0"/>
              <w:rPr>
                <w:sz w:val="1"/>
                <w:szCs w:val="1"/>
                <w:color w:val="auto"/>
              </w:rPr>
            </w:pPr>
          </w:p>
        </w:tc>
      </w:tr>
      <w:tr>
        <w:trPr>
          <w:trHeight w:val="32"/>
        </w:trPr>
        <w:tc>
          <w:tcPr>
            <w:tcW w:w="2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25,845,259</w:t>
            </w:r>
          </w:p>
        </w:tc>
        <w:tc>
          <w:tcPr>
            <w:tcW w:w="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between classes of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2,106,055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(2,106,055)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
        </w:trPr>
        <w:tc>
          <w:tcPr>
            <w:tcW w:w="2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2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(34,568)</w:t>
            </w:r>
          </w:p>
        </w:tc>
        <w:tc>
          <w:tcPr>
            <w:tcW w:w="0" w:type="dxa"/>
            <w:vAlign w:val="bottom"/>
          </w:tcPr>
          <w:p>
            <w:pPr>
              <w:spacing w:after="0"/>
              <w:rPr>
                <w:sz w:val="1"/>
                <w:szCs w:val="1"/>
                <w:color w:val="auto"/>
              </w:rPr>
            </w:pPr>
          </w:p>
        </w:tc>
      </w:tr>
      <w:tr>
        <w:trPr>
          <w:trHeight w:val="32"/>
        </w:trPr>
        <w:tc>
          <w:tcPr>
            <w:tcW w:w="2760" w:type="dxa"/>
            <w:vAlign w:val="bottom"/>
            <w:tcBorders>
              <w:bottom w:val="single" w:sz="8" w:color="CFF0FC"/>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448,216,620</w:t>
            </w:r>
          </w:p>
        </w:tc>
        <w:tc>
          <w:tcPr>
            <w:tcW w:w="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1,159,336</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(1,115,413)</w:t>
            </w: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43,923</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(1,015)</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42,908</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 (1)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8,225,383</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(9,399)</w:t>
            </w:r>
          </w:p>
        </w:tc>
        <w:tc>
          <w:tcPr>
            <w:tcW w:w="0" w:type="dxa"/>
            <w:vAlign w:val="bottom"/>
          </w:tcPr>
          <w:p>
            <w:pPr>
              <w:spacing w:after="0"/>
              <w:rPr>
                <w:sz w:val="1"/>
                <w:szCs w:val="1"/>
                <w:color w:val="auto"/>
              </w:rPr>
            </w:pPr>
          </w:p>
        </w:tc>
      </w:tr>
      <w:tr>
        <w:trPr>
          <w:trHeight w:val="32"/>
        </w:trPr>
        <w:tc>
          <w:tcPr>
            <w:tcW w:w="2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655,736</w:t>
            </w:r>
          </w:p>
        </w:tc>
        <w:tc>
          <w:tcPr>
            <w:tcW w:w="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Legal settlement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4,845,359</w:t>
            </w:r>
          </w:p>
        </w:tc>
        <w:tc>
          <w:tcPr>
            <w:tcW w:w="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0" w:type="dxa"/>
            <w:vAlign w:val="bottom"/>
          </w:tcPr>
          <w:p>
            <w:pPr>
              <w:spacing w:after="0"/>
              <w:rPr>
                <w:sz w:val="1"/>
                <w:szCs w:val="1"/>
                <w:color w:val="auto"/>
              </w:rPr>
            </w:pPr>
          </w:p>
        </w:tc>
      </w:tr>
      <w:tr>
        <w:trPr>
          <w:trHeight w:val="32"/>
        </w:trPr>
        <w:tc>
          <w:tcPr>
            <w:tcW w:w="2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2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32"/>
        </w:trPr>
        <w:tc>
          <w:tcPr>
            <w:tcW w:w="2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(13,643)</w:t>
            </w:r>
          </w:p>
        </w:tc>
        <w:tc>
          <w:tcPr>
            <w:tcW w:w="0" w:type="dxa"/>
            <w:vAlign w:val="bottom"/>
          </w:tcPr>
          <w:p>
            <w:pPr>
              <w:spacing w:after="0"/>
              <w:rPr>
                <w:sz w:val="1"/>
                <w:szCs w:val="1"/>
                <w:color w:val="auto"/>
              </w:rPr>
            </w:pPr>
          </w:p>
        </w:tc>
      </w:tr>
      <w:tr>
        <w:trPr>
          <w:trHeight w:val="235"/>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461,943,098</w:t>
            </w:r>
          </w:p>
        </w:tc>
        <w:tc>
          <w:tcPr>
            <w:tcW w:w="8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8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1,152,757</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(1,129,056)</w:t>
            </w:r>
          </w:p>
        </w:tc>
        <w:tc>
          <w:tcPr>
            <w:tcW w:w="8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23,701</w:t>
            </w:r>
          </w:p>
        </w:tc>
        <w:tc>
          <w:tcPr>
            <w:tcW w:w="8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23,384</w:t>
            </w:r>
          </w:p>
        </w:tc>
        <w:tc>
          <w:tcPr>
            <w:tcW w:w="0" w:type="dxa"/>
            <w:vAlign w:val="bottom"/>
          </w:tcPr>
          <w:p>
            <w:pPr>
              <w:spacing w:after="0"/>
              <w:rPr>
                <w:sz w:val="1"/>
                <w:szCs w:val="1"/>
                <w:color w:val="auto"/>
              </w:rPr>
            </w:pPr>
          </w:p>
        </w:tc>
      </w:tr>
      <w:tr>
        <w:trPr>
          <w:trHeight w:val="221"/>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 (1)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1,854,546</w:t>
            </w:r>
          </w:p>
        </w:tc>
        <w:tc>
          <w:tcPr>
            <w:tcW w:w="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0" w:type="dxa"/>
            <w:vAlign w:val="bottom"/>
          </w:tcPr>
          <w:p>
            <w:pPr>
              <w:spacing w:after="0"/>
              <w:rPr>
                <w:sz w:val="1"/>
                <w:szCs w:val="1"/>
                <w:color w:val="auto"/>
              </w:rPr>
            </w:pPr>
          </w:p>
        </w:tc>
      </w:tr>
      <w:tr>
        <w:trPr>
          <w:trHeight w:val="32"/>
        </w:trPr>
        <w:tc>
          <w:tcPr>
            <w:tcW w:w="2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w:t>
            </w:r>
          </w:p>
        </w:tc>
        <w:tc>
          <w:tcPr>
            <w:tcW w:w="12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profit (loss)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0" w:type="dxa"/>
            <w:vAlign w:val="bottom"/>
          </w:tcPr>
          <w:p>
            <w:pPr>
              <w:spacing w:after="0"/>
              <w:rPr>
                <w:sz w:val="1"/>
                <w:szCs w:val="1"/>
                <w:color w:val="auto"/>
              </w:rPr>
            </w:pPr>
          </w:p>
        </w:tc>
      </w:tr>
      <w:tr>
        <w:trPr>
          <w:trHeight w:val="32"/>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76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463,797,644</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7,701,826</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1,155,131</w:t>
            </w: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(1,130,303)</w:t>
            </w:r>
          </w:p>
        </w:tc>
        <w:tc>
          <w:tcPr>
            <w:tcW w:w="8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24,828</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(825)</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 The amount shown are net of any shares withheld by the Company to satisfy certain tax withholdings in connection with vesting of equity-based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INTERIM STATEMENTS OF CHANGES IN EQUITY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21"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color w:val="auto"/>
        </w:rPr>
        <w:t>(Expressed in thousands of U.S. dollars, except for number of shares)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Total The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Cannabist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40"/>
              <w:spacing w:after="0" w:line="174" w:lineRule="exact"/>
              <w:rPr>
                <w:sz w:val="20"/>
                <w:szCs w:val="20"/>
                <w:color w:val="auto"/>
              </w:rPr>
            </w:pPr>
            <w:r>
              <w:rPr>
                <w:rFonts w:ascii="Times New Roman" w:cs="Times New Roman" w:eastAsia="Times New Roman" w:hAnsi="Times New Roman"/>
                <w:sz w:val="16"/>
                <w:szCs w:val="16"/>
                <w:b w:val="1"/>
                <w:bCs w:val="1"/>
                <w:color w:val="auto"/>
                <w:w w:val="98"/>
              </w:rPr>
              <w:t>Company</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Holdings Inc.</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16"/>
                <w:szCs w:val="16"/>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Proportionate</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34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Shareholders'</w:t>
            </w:r>
          </w:p>
        </w:tc>
        <w:tc>
          <w:tcPr>
            <w:tcW w:w="3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8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Voting Shares</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71"/>
        </w:trPr>
        <w:tc>
          <w:tcPr>
            <w:tcW w:w="94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4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465,638,304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7,387,328</w:t>
            </w:r>
          </w:p>
        </w:tc>
        <w:tc>
          <w:tcPr>
            <w:tcW w:w="1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$1,156,807</w:t>
            </w:r>
          </w:p>
        </w:tc>
        <w:tc>
          <w:tcPr>
            <w:tcW w:w="3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(1,185,501)</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(28,694)</w:t>
            </w:r>
          </w:p>
        </w:tc>
        <w:tc>
          <w:tcPr>
            <w:tcW w:w="3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(30,059)</w:t>
            </w:r>
          </w:p>
        </w:tc>
        <w:tc>
          <w:tcPr>
            <w:tcW w:w="0" w:type="dxa"/>
            <w:vAlign w:val="bottom"/>
          </w:tcPr>
          <w:p>
            <w:pPr>
              <w:spacing w:after="0"/>
              <w:rPr>
                <w:sz w:val="1"/>
                <w:szCs w:val="1"/>
                <w:color w:val="auto"/>
              </w:rPr>
            </w:pPr>
          </w:p>
        </w:tc>
      </w:tr>
      <w:tr>
        <w:trPr>
          <w:trHeight w:val="32"/>
        </w:trPr>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Equity-based</w:t>
            </w: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(93,662)</w:t>
            </w:r>
          </w:p>
        </w:tc>
        <w:tc>
          <w:tcPr>
            <w:tcW w:w="80" w:type="dxa"/>
            <w:vAlign w:val="bottom"/>
            <w:shd w:val="clear" w:color="auto" w:fill="CFF0FC"/>
          </w:tcPr>
          <w:p>
            <w:pPr>
              <w:spacing w:after="0"/>
              <w:rPr>
                <w:sz w:val="16"/>
                <w:szCs w:val="16"/>
                <w:color w:val="auto"/>
              </w:rPr>
            </w:pPr>
          </w:p>
        </w:tc>
        <w:tc>
          <w:tcPr>
            <w:tcW w:w="2520" w:type="dxa"/>
            <w:vAlign w:val="bottom"/>
            <w:gridSpan w:val="2"/>
            <w:vMerge w:val="restart"/>
            <w:shd w:val="clear" w:color="auto" w:fill="CFF0FC"/>
          </w:tcPr>
          <w:p>
            <w:pPr>
              <w:jc w:val="right"/>
              <w:ind w:right="1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28"/>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520" w:type="dxa"/>
            <w:vAlign w:val="bottom"/>
            <w:gridSpan w:val="2"/>
            <w:vMerge w:val="continue"/>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520" w:type="dxa"/>
            <w:vAlign w:val="bottom"/>
            <w:gridSpan w:val="2"/>
          </w:tcPr>
          <w:p>
            <w:pPr>
              <w:jc w:val="right"/>
              <w:ind w:right="1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(32,204)</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(32,206)</w:t>
            </w:r>
          </w:p>
        </w:tc>
        <w:tc>
          <w:tcPr>
            <w:tcW w:w="0" w:type="dxa"/>
            <w:vAlign w:val="bottom"/>
          </w:tcPr>
          <w:p>
            <w:pPr>
              <w:spacing w:after="0"/>
              <w:rPr>
                <w:sz w:val="1"/>
                <w:szCs w:val="1"/>
                <w:color w:val="auto"/>
              </w:rPr>
            </w:pPr>
          </w:p>
        </w:tc>
      </w:tr>
      <w:tr>
        <w:trPr>
          <w:trHeight w:val="32"/>
        </w:trPr>
        <w:tc>
          <w:tcPr>
            <w:tcW w:w="94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CAEEF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AEEF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940" w:type="dxa"/>
            <w:vAlign w:val="bottom"/>
            <w:shd w:val="clear" w:color="auto" w:fill="CFF0FC"/>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820" w:type="dxa"/>
            <w:vAlign w:val="bottom"/>
            <w:shd w:val="clear" w:color="auto" w:fill="CAEEFB"/>
          </w:tcPr>
          <w:p>
            <w:pPr>
              <w:spacing w:after="0"/>
              <w:rPr>
                <w:sz w:val="14"/>
                <w:szCs w:val="14"/>
                <w:color w:val="auto"/>
              </w:rPr>
            </w:pPr>
          </w:p>
        </w:tc>
        <w:tc>
          <w:tcPr>
            <w:tcW w:w="34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20" w:type="dxa"/>
            <w:vAlign w:val="bottom"/>
            <w:shd w:val="clear" w:color="auto" w:fill="CAEEFB"/>
          </w:tcPr>
          <w:p>
            <w:pPr>
              <w:spacing w:after="0"/>
              <w:rPr>
                <w:sz w:val="14"/>
                <w:szCs w:val="14"/>
                <w:color w:val="auto"/>
              </w:rPr>
            </w:pPr>
          </w:p>
        </w:tc>
        <w:tc>
          <w:tcPr>
            <w:tcW w:w="600" w:type="dxa"/>
            <w:vAlign w:val="bottom"/>
            <w:shd w:val="clear" w:color="auto" w:fill="CAEEFB"/>
          </w:tcPr>
          <w:p>
            <w:pPr>
              <w:spacing w:after="0"/>
              <w:rPr>
                <w:sz w:val="14"/>
                <w:szCs w:val="14"/>
                <w:color w:val="auto"/>
              </w:rPr>
            </w:pPr>
          </w:p>
        </w:tc>
        <w:tc>
          <w:tcPr>
            <w:tcW w:w="114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34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4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820" w:type="dxa"/>
            <w:vAlign w:val="bottom"/>
            <w:shd w:val="clear" w:color="auto" w:fill="CAEEFB"/>
          </w:tcPr>
          <w:p>
            <w:pPr>
              <w:spacing w:after="0"/>
              <w:rPr>
                <w:sz w:val="15"/>
                <w:szCs w:val="15"/>
                <w:color w:val="auto"/>
              </w:rPr>
            </w:pPr>
          </w:p>
        </w:tc>
        <w:tc>
          <w:tcPr>
            <w:tcW w:w="34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820" w:type="dxa"/>
            <w:vAlign w:val="bottom"/>
            <w:shd w:val="clear" w:color="auto" w:fill="CAEEFB"/>
          </w:tcPr>
          <w:p>
            <w:pPr>
              <w:spacing w:after="0"/>
              <w:rPr>
                <w:sz w:val="15"/>
                <w:szCs w:val="15"/>
                <w:color w:val="auto"/>
              </w:rPr>
            </w:pPr>
          </w:p>
        </w:tc>
        <w:tc>
          <w:tcPr>
            <w:tcW w:w="600" w:type="dxa"/>
            <w:vAlign w:val="bottom"/>
            <w:shd w:val="clear" w:color="auto" w:fill="CAEEFB"/>
          </w:tcPr>
          <w:p>
            <w:pPr>
              <w:spacing w:after="0"/>
              <w:rPr>
                <w:sz w:val="15"/>
                <w:szCs w:val="15"/>
                <w:color w:val="auto"/>
              </w:rPr>
            </w:pPr>
          </w:p>
        </w:tc>
        <w:tc>
          <w:tcPr>
            <w:tcW w:w="114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900" w:type="dxa"/>
            <w:vAlign w:val="bottom"/>
            <w:shd w:val="clear" w:color="auto" w:fill="CAEEFB"/>
          </w:tcPr>
          <w:p>
            <w:pPr>
              <w:spacing w:after="0"/>
              <w:rPr>
                <w:sz w:val="15"/>
                <w:szCs w:val="15"/>
                <w:color w:val="auto"/>
              </w:rPr>
            </w:pPr>
          </w:p>
        </w:tc>
        <w:tc>
          <w:tcPr>
            <w:tcW w:w="34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720" w:type="dxa"/>
            <w:vAlign w:val="bottom"/>
            <w:shd w:val="clear" w:color="auto" w:fill="CAEEFB"/>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465,544,642</w:t>
            </w:r>
          </w:p>
        </w:tc>
        <w:tc>
          <w:tcPr>
            <w:tcW w:w="10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7,387,328</w:t>
            </w:r>
          </w:p>
        </w:tc>
        <w:tc>
          <w:tcPr>
            <w:tcW w:w="15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$1,157,099</w:t>
            </w:r>
          </w:p>
        </w:tc>
        <w:tc>
          <w:tcPr>
            <w:tcW w:w="340" w:type="dxa"/>
            <w:vAlign w:val="bottom"/>
            <w:tcBorders>
              <w:bottom w:val="single" w:sz="8" w:color="CAEEFB"/>
            </w:tcBorders>
            <w:shd w:val="clear" w:color="auto" w:fill="CAEEFB"/>
          </w:tcPr>
          <w:p>
            <w:pPr>
              <w:spacing w:after="0"/>
              <w:rPr>
                <w:sz w:val="19"/>
                <w:szCs w:val="19"/>
                <w:color w:val="auto"/>
              </w:rPr>
            </w:pPr>
          </w:p>
        </w:tc>
        <w:tc>
          <w:tcPr>
            <w:tcW w:w="12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(1,217,705)</w:t>
            </w:r>
          </w:p>
        </w:tc>
        <w:tc>
          <w:tcPr>
            <w:tcW w:w="600" w:type="dxa"/>
            <w:vAlign w:val="bottom"/>
            <w:tcBorders>
              <w:bottom w:val="single" w:sz="8" w:color="CAEEFB"/>
            </w:tcBorders>
            <w:shd w:val="clear" w:color="auto" w:fill="CAEEFB"/>
          </w:tcPr>
          <w:p>
            <w:pPr>
              <w:spacing w:after="0"/>
              <w:rPr>
                <w:sz w:val="19"/>
                <w:szCs w:val="19"/>
                <w:color w:val="auto"/>
              </w:rPr>
            </w:pPr>
          </w:p>
        </w:tc>
        <w:tc>
          <w:tcPr>
            <w:tcW w:w="1140" w:type="dxa"/>
            <w:vAlign w:val="bottom"/>
            <w:tcBorders>
              <w:bottom w:val="single" w:sz="8" w:color="CAEEFB"/>
            </w:tcBorders>
            <w:shd w:val="clear" w:color="auto" w:fill="CAEEFB"/>
          </w:tcPr>
          <w:p>
            <w:pPr>
              <w:spacing w:after="0"/>
              <w:rPr>
                <w:sz w:val="19"/>
                <w:szCs w:val="19"/>
                <w:color w:val="auto"/>
              </w:rPr>
            </w:pPr>
          </w:p>
        </w:tc>
        <w:tc>
          <w:tcPr>
            <w:tcW w:w="12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(60,606)</w:t>
            </w:r>
          </w:p>
        </w:tc>
        <w:tc>
          <w:tcPr>
            <w:tcW w:w="340" w:type="dxa"/>
            <w:vAlign w:val="bottom"/>
            <w:tcBorders>
              <w:bottom w:val="single" w:sz="8" w:color="CAEEFB"/>
            </w:tcBorders>
            <w:shd w:val="clear" w:color="auto" w:fill="CAEEFB"/>
          </w:tcPr>
          <w:p>
            <w:pPr>
              <w:spacing w:after="0"/>
              <w:rPr>
                <w:sz w:val="19"/>
                <w:szCs w:val="19"/>
                <w:color w:val="auto"/>
              </w:rPr>
            </w:pPr>
          </w:p>
        </w:tc>
        <w:tc>
          <w:tcPr>
            <w:tcW w:w="12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(1,367)</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(61,973)</w:t>
            </w:r>
          </w:p>
        </w:tc>
        <w:tc>
          <w:tcPr>
            <w:tcW w:w="0" w:type="dxa"/>
            <w:vAlign w:val="bottom"/>
          </w:tcPr>
          <w:p>
            <w:pPr>
              <w:spacing w:after="0"/>
              <w:rPr>
                <w:sz w:val="1"/>
                <w:szCs w:val="1"/>
                <w:color w:val="auto"/>
              </w:rPr>
            </w:pPr>
          </w:p>
        </w:tc>
      </w:tr>
      <w:tr>
        <w:trPr>
          <w:trHeight w:val="187"/>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4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6,872,394</w:t>
            </w:r>
          </w:p>
        </w:tc>
        <w:tc>
          <w:tcPr>
            <w:tcW w:w="80" w:type="dxa"/>
            <w:vAlign w:val="bottom"/>
          </w:tcPr>
          <w:p>
            <w:pPr>
              <w:spacing w:after="0"/>
              <w:rPr>
                <w:sz w:val="18"/>
                <w:szCs w:val="18"/>
                <w:color w:val="auto"/>
              </w:rPr>
            </w:pPr>
          </w:p>
        </w:tc>
        <w:tc>
          <w:tcPr>
            <w:tcW w:w="2520" w:type="dxa"/>
            <w:vAlign w:val="bottom"/>
            <w:gridSpan w:val="2"/>
          </w:tcPr>
          <w:p>
            <w:pPr>
              <w:jc w:val="right"/>
              <w:ind w:right="1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32"/>
        </w:trPr>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w:t>
            </w: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 convertible</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19,328,305</w:t>
            </w:r>
          </w:p>
        </w:tc>
        <w:tc>
          <w:tcPr>
            <w:tcW w:w="80" w:type="dxa"/>
            <w:vAlign w:val="bottom"/>
            <w:shd w:val="clear" w:color="auto" w:fill="CFF0FC"/>
          </w:tcPr>
          <w:p>
            <w:pPr>
              <w:spacing w:after="0"/>
              <w:rPr>
                <w:sz w:val="16"/>
                <w:szCs w:val="16"/>
                <w:color w:val="auto"/>
              </w:rPr>
            </w:pPr>
          </w:p>
        </w:tc>
        <w:tc>
          <w:tcPr>
            <w:tcW w:w="2520" w:type="dxa"/>
            <w:vAlign w:val="bottom"/>
            <w:gridSpan w:val="2"/>
            <w:vMerge w:val="restart"/>
            <w:shd w:val="clear" w:color="auto" w:fill="CFF0FC"/>
          </w:tcPr>
          <w:p>
            <w:pPr>
              <w:jc w:val="right"/>
              <w:ind w:right="1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note</w:t>
            </w:r>
          </w:p>
        </w:tc>
        <w:tc>
          <w:tcPr>
            <w:tcW w:w="8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520" w:type="dxa"/>
            <w:vAlign w:val="bottom"/>
            <w:gridSpan w:val="2"/>
            <w:vMerge w:val="continue"/>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520" w:type="dxa"/>
            <w:vAlign w:val="bottom"/>
            <w:gridSpan w:val="2"/>
          </w:tcPr>
          <w:p>
            <w:pPr>
              <w:jc w:val="right"/>
              <w:ind w:right="1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2"/>
        </w:trPr>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2520" w:type="dxa"/>
            <w:vAlign w:val="bottom"/>
            <w:tcBorders>
              <w:bottom w:val="single" w:sz="8" w:color="CFF0FC"/>
            </w:tcBorders>
            <w:gridSpan w:val="2"/>
            <w:shd w:val="clear" w:color="auto" w:fill="CFF0FC"/>
          </w:tcPr>
          <w:p>
            <w:pPr>
              <w:jc w:val="right"/>
              <w:ind w:right="1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(77,881)</w:t>
            </w:r>
          </w:p>
        </w:tc>
        <w:tc>
          <w:tcPr>
            <w:tcW w:w="6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(77,881)</w:t>
            </w:r>
          </w:p>
        </w:tc>
        <w:tc>
          <w:tcPr>
            <w:tcW w:w="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(77,386)</w:t>
            </w:r>
          </w:p>
        </w:tc>
        <w:tc>
          <w:tcPr>
            <w:tcW w:w="0" w:type="dxa"/>
            <w:vAlign w:val="bottom"/>
          </w:tcPr>
          <w:p>
            <w:pPr>
              <w:spacing w:after="0"/>
              <w:rPr>
                <w:sz w:val="1"/>
                <w:szCs w:val="1"/>
                <w:color w:val="auto"/>
              </w:rPr>
            </w:pPr>
          </w:p>
        </w:tc>
      </w:tr>
      <w:tr>
        <w:trPr>
          <w:trHeight w:val="165"/>
        </w:trPr>
        <w:tc>
          <w:tcPr>
            <w:tcW w:w="94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4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491,745,341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7,387,328</w:t>
            </w:r>
          </w:p>
        </w:tc>
        <w:tc>
          <w:tcPr>
            <w:tcW w:w="1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$1,157,612</w:t>
            </w:r>
          </w:p>
        </w:tc>
        <w:tc>
          <w:tcPr>
            <w:tcW w:w="3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(1,295,586)</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(137,974)</w:t>
            </w:r>
          </w:p>
        </w:tc>
        <w:tc>
          <w:tcPr>
            <w:tcW w:w="3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(138,846)</w:t>
            </w:r>
          </w:p>
        </w:tc>
        <w:tc>
          <w:tcPr>
            <w:tcW w:w="0" w:type="dxa"/>
            <w:vAlign w:val="bottom"/>
          </w:tcPr>
          <w:p>
            <w:pPr>
              <w:spacing w:after="0"/>
              <w:rPr>
                <w:sz w:val="1"/>
                <w:szCs w:val="1"/>
                <w:color w:val="auto"/>
              </w:rPr>
            </w:pPr>
          </w:p>
        </w:tc>
      </w:tr>
      <w:tr>
        <w:trPr>
          <w:trHeight w:val="32"/>
        </w:trPr>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Equity-based</w:t>
            </w:r>
          </w:p>
        </w:tc>
        <w:tc>
          <w:tcPr>
            <w:tcW w:w="840" w:type="dxa"/>
            <w:vAlign w:val="bottom"/>
            <w:shd w:val="clear" w:color="auto" w:fill="CFF0FC"/>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520" w:type="dxa"/>
            <w:vAlign w:val="bottom"/>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231,466</w:t>
            </w:r>
          </w:p>
        </w:tc>
        <w:tc>
          <w:tcPr>
            <w:tcW w:w="80" w:type="dxa"/>
            <w:vAlign w:val="bottom"/>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340" w:type="dxa"/>
            <w:vAlign w:val="bottom"/>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28"/>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vMerge w:val="continue"/>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1520" w:type="dxa"/>
            <w:vAlign w:val="bottom"/>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4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of convertible</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520" w:type="dxa"/>
            <w:vAlign w:val="bottom"/>
            <w:gridSpan w:val="2"/>
          </w:tcPr>
          <w:p>
            <w:pPr>
              <w:jc w:val="right"/>
              <w:ind w:right="1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
        </w:trPr>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2520" w:type="dxa"/>
            <w:vAlign w:val="bottom"/>
            <w:tcBorders>
              <w:bottom w:val="single" w:sz="8" w:color="CFF0FC"/>
            </w:tcBorders>
            <w:gridSpan w:val="2"/>
            <w:shd w:val="clear" w:color="auto" w:fill="CFF0FC"/>
          </w:tcPr>
          <w:p>
            <w:pPr>
              <w:jc w:val="right"/>
              <w:ind w:right="1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520" w:type="dxa"/>
            <w:vAlign w:val="bottom"/>
            <w:gridSpan w:val="2"/>
          </w:tcPr>
          <w:p>
            <w:pPr>
              <w:jc w:val="right"/>
              <w:ind w:right="15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(14,261)</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(14,655)</w:t>
            </w:r>
          </w:p>
        </w:tc>
        <w:tc>
          <w:tcPr>
            <w:tcW w:w="0" w:type="dxa"/>
            <w:vAlign w:val="bottom"/>
          </w:tcPr>
          <w:p>
            <w:pPr>
              <w:spacing w:after="0"/>
              <w:rPr>
                <w:sz w:val="1"/>
                <w:szCs w:val="1"/>
                <w:color w:val="auto"/>
              </w:rPr>
            </w:pPr>
          </w:p>
        </w:tc>
      </w:tr>
      <w:tr>
        <w:trPr>
          <w:trHeight w:val="32"/>
        </w:trPr>
        <w:tc>
          <w:tcPr>
            <w:tcW w:w="94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CAEEF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AEEF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940" w:type="dxa"/>
            <w:vAlign w:val="bottom"/>
            <w:shd w:val="clear" w:color="auto" w:fill="CFF0FC"/>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820" w:type="dxa"/>
            <w:vAlign w:val="bottom"/>
            <w:shd w:val="clear" w:color="auto" w:fill="CAEEFB"/>
          </w:tcPr>
          <w:p>
            <w:pPr>
              <w:spacing w:after="0"/>
              <w:rPr>
                <w:sz w:val="14"/>
                <w:szCs w:val="14"/>
                <w:color w:val="auto"/>
              </w:rPr>
            </w:pPr>
          </w:p>
        </w:tc>
        <w:tc>
          <w:tcPr>
            <w:tcW w:w="34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820" w:type="dxa"/>
            <w:vAlign w:val="bottom"/>
            <w:shd w:val="clear" w:color="auto" w:fill="CAEEFB"/>
          </w:tcPr>
          <w:p>
            <w:pPr>
              <w:spacing w:after="0"/>
              <w:rPr>
                <w:sz w:val="14"/>
                <w:szCs w:val="14"/>
                <w:color w:val="auto"/>
              </w:rPr>
            </w:pPr>
          </w:p>
        </w:tc>
        <w:tc>
          <w:tcPr>
            <w:tcW w:w="600" w:type="dxa"/>
            <w:vAlign w:val="bottom"/>
            <w:shd w:val="clear" w:color="auto" w:fill="CAEEFB"/>
          </w:tcPr>
          <w:p>
            <w:pPr>
              <w:spacing w:after="0"/>
              <w:rPr>
                <w:sz w:val="14"/>
                <w:szCs w:val="14"/>
                <w:color w:val="auto"/>
              </w:rPr>
            </w:pPr>
          </w:p>
        </w:tc>
        <w:tc>
          <w:tcPr>
            <w:tcW w:w="114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900" w:type="dxa"/>
            <w:vAlign w:val="bottom"/>
            <w:shd w:val="clear" w:color="auto" w:fill="CAEEFB"/>
          </w:tcPr>
          <w:p>
            <w:pPr>
              <w:spacing w:after="0"/>
              <w:rPr>
                <w:sz w:val="14"/>
                <w:szCs w:val="14"/>
                <w:color w:val="auto"/>
              </w:rPr>
            </w:pPr>
          </w:p>
        </w:tc>
        <w:tc>
          <w:tcPr>
            <w:tcW w:w="340" w:type="dxa"/>
            <w:vAlign w:val="bottom"/>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720" w:type="dxa"/>
            <w:vAlign w:val="bottom"/>
            <w:shd w:val="clear" w:color="auto" w:fill="CAEEFB"/>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94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820" w:type="dxa"/>
            <w:vAlign w:val="bottom"/>
            <w:shd w:val="clear" w:color="auto" w:fill="CAEEFB"/>
          </w:tcPr>
          <w:p>
            <w:pPr>
              <w:spacing w:after="0"/>
              <w:rPr>
                <w:sz w:val="15"/>
                <w:szCs w:val="15"/>
                <w:color w:val="auto"/>
              </w:rPr>
            </w:pPr>
          </w:p>
        </w:tc>
        <w:tc>
          <w:tcPr>
            <w:tcW w:w="34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820" w:type="dxa"/>
            <w:vAlign w:val="bottom"/>
            <w:shd w:val="clear" w:color="auto" w:fill="CAEEFB"/>
          </w:tcPr>
          <w:p>
            <w:pPr>
              <w:spacing w:after="0"/>
              <w:rPr>
                <w:sz w:val="15"/>
                <w:szCs w:val="15"/>
                <w:color w:val="auto"/>
              </w:rPr>
            </w:pPr>
          </w:p>
        </w:tc>
        <w:tc>
          <w:tcPr>
            <w:tcW w:w="600" w:type="dxa"/>
            <w:vAlign w:val="bottom"/>
            <w:shd w:val="clear" w:color="auto" w:fill="CAEEFB"/>
          </w:tcPr>
          <w:p>
            <w:pPr>
              <w:spacing w:after="0"/>
              <w:rPr>
                <w:sz w:val="15"/>
                <w:szCs w:val="15"/>
                <w:color w:val="auto"/>
              </w:rPr>
            </w:pPr>
          </w:p>
        </w:tc>
        <w:tc>
          <w:tcPr>
            <w:tcW w:w="114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900" w:type="dxa"/>
            <w:vAlign w:val="bottom"/>
            <w:shd w:val="clear" w:color="auto" w:fill="CAEEFB"/>
          </w:tcPr>
          <w:p>
            <w:pPr>
              <w:spacing w:after="0"/>
              <w:rPr>
                <w:sz w:val="15"/>
                <w:szCs w:val="15"/>
                <w:color w:val="auto"/>
              </w:rPr>
            </w:pPr>
          </w:p>
        </w:tc>
        <w:tc>
          <w:tcPr>
            <w:tcW w:w="340" w:type="dxa"/>
            <w:vAlign w:val="bottom"/>
            <w:shd w:val="clear" w:color="auto" w:fill="CAEEFB"/>
          </w:tcPr>
          <w:p>
            <w:pPr>
              <w:spacing w:after="0"/>
              <w:rPr>
                <w:sz w:val="15"/>
                <w:szCs w:val="15"/>
                <w:color w:val="auto"/>
              </w:rPr>
            </w:pPr>
          </w:p>
        </w:tc>
        <w:tc>
          <w:tcPr>
            <w:tcW w:w="120" w:type="dxa"/>
            <w:vAlign w:val="bottom"/>
            <w:shd w:val="clear" w:color="auto" w:fill="CAEEFB"/>
          </w:tcPr>
          <w:p>
            <w:pPr>
              <w:spacing w:after="0"/>
              <w:rPr>
                <w:sz w:val="15"/>
                <w:szCs w:val="15"/>
                <w:color w:val="auto"/>
              </w:rPr>
            </w:pPr>
          </w:p>
        </w:tc>
        <w:tc>
          <w:tcPr>
            <w:tcW w:w="720" w:type="dxa"/>
            <w:vAlign w:val="bottom"/>
            <w:shd w:val="clear" w:color="auto" w:fill="CAEEFB"/>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491,976,807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7,387,328</w:t>
            </w:r>
          </w:p>
        </w:tc>
        <w:tc>
          <w:tcPr>
            <w:tcW w:w="1520" w:type="dxa"/>
            <w:vAlign w:val="bottom"/>
            <w:shd w:val="clear" w:color="auto" w:fill="CFF0FC"/>
          </w:tcPr>
          <w:p>
            <w:pPr>
              <w:spacing w:after="0"/>
              <w:rPr>
                <w:sz w:val="18"/>
                <w:szCs w:val="18"/>
                <w:color w:val="auto"/>
              </w:rPr>
            </w:pPr>
          </w:p>
        </w:tc>
        <w:tc>
          <w:tcPr>
            <w:tcW w:w="8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$1,158,164</w:t>
            </w:r>
          </w:p>
        </w:tc>
        <w:tc>
          <w:tcPr>
            <w:tcW w:w="34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AEEFB"/>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(1,309,847)</w:t>
            </w:r>
          </w:p>
        </w:tc>
        <w:tc>
          <w:tcPr>
            <w:tcW w:w="600" w:type="dxa"/>
            <w:vAlign w:val="bottom"/>
            <w:shd w:val="clear" w:color="auto" w:fill="CAEEFB"/>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AEEFB"/>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(151,683)</w:t>
            </w:r>
          </w:p>
        </w:tc>
        <w:tc>
          <w:tcPr>
            <w:tcW w:w="34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AEEFB"/>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6"/>
                <w:szCs w:val="16"/>
                <w:b w:val="1"/>
                <w:bCs w:val="1"/>
                <w:color w:val="auto"/>
              </w:rPr>
              <w:t>(1,266)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(152,949)</w:t>
            </w:r>
          </w:p>
        </w:tc>
        <w:tc>
          <w:tcPr>
            <w:tcW w:w="0" w:type="dxa"/>
            <w:vAlign w:val="bottom"/>
          </w:tcPr>
          <w:p>
            <w:pPr>
              <w:spacing w:after="0"/>
              <w:rPr>
                <w:sz w:val="1"/>
                <w:szCs w:val="1"/>
                <w:color w:val="auto"/>
              </w:rPr>
            </w:pPr>
          </w:p>
        </w:tc>
      </w:tr>
      <w:tr>
        <w:trPr>
          <w:trHeight w:val="32"/>
        </w:trPr>
        <w:tc>
          <w:tcPr>
            <w:tcW w:w="94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820" w:type="dxa"/>
            <w:vAlign w:val="bottom"/>
            <w:shd w:val="clear" w:color="auto" w:fill="CAEEFB"/>
          </w:tcPr>
          <w:p>
            <w:pPr>
              <w:spacing w:after="0"/>
              <w:rPr>
                <w:sz w:val="2"/>
                <w:szCs w:val="2"/>
                <w:color w:val="auto"/>
              </w:rPr>
            </w:pPr>
          </w:p>
        </w:tc>
        <w:tc>
          <w:tcPr>
            <w:tcW w:w="340" w:type="dxa"/>
            <w:vAlign w:val="bottom"/>
            <w:shd w:val="clear" w:color="auto" w:fill="CAEEFB"/>
          </w:tcPr>
          <w:p>
            <w:pPr>
              <w:spacing w:after="0"/>
              <w:rPr>
                <w:sz w:val="2"/>
                <w:szCs w:val="2"/>
                <w:color w:val="auto"/>
              </w:rPr>
            </w:pPr>
          </w:p>
        </w:tc>
        <w:tc>
          <w:tcPr>
            <w:tcW w:w="120" w:type="dxa"/>
            <w:vAlign w:val="bottom"/>
            <w:shd w:val="clear" w:color="auto" w:fill="CAEEFB"/>
          </w:tcPr>
          <w:p>
            <w:pPr>
              <w:spacing w:after="0"/>
              <w:rPr>
                <w:sz w:val="2"/>
                <w:szCs w:val="2"/>
                <w:color w:val="auto"/>
              </w:rPr>
            </w:pPr>
          </w:p>
        </w:tc>
        <w:tc>
          <w:tcPr>
            <w:tcW w:w="820" w:type="dxa"/>
            <w:vAlign w:val="bottom"/>
            <w:shd w:val="clear" w:color="auto" w:fill="CAEEFB"/>
          </w:tcPr>
          <w:p>
            <w:pPr>
              <w:spacing w:after="0"/>
              <w:rPr>
                <w:sz w:val="2"/>
                <w:szCs w:val="2"/>
                <w:color w:val="auto"/>
              </w:rPr>
            </w:pPr>
          </w:p>
        </w:tc>
        <w:tc>
          <w:tcPr>
            <w:tcW w:w="600" w:type="dxa"/>
            <w:vAlign w:val="bottom"/>
            <w:shd w:val="clear" w:color="auto" w:fill="CAEEFB"/>
          </w:tcPr>
          <w:p>
            <w:pPr>
              <w:spacing w:after="0"/>
              <w:rPr>
                <w:sz w:val="2"/>
                <w:szCs w:val="2"/>
                <w:color w:val="auto"/>
              </w:rPr>
            </w:pPr>
          </w:p>
        </w:tc>
        <w:tc>
          <w:tcPr>
            <w:tcW w:w="1140" w:type="dxa"/>
            <w:vAlign w:val="bottom"/>
            <w:shd w:val="clear" w:color="auto" w:fill="CAEEFB"/>
          </w:tcPr>
          <w:p>
            <w:pPr>
              <w:spacing w:after="0"/>
              <w:rPr>
                <w:sz w:val="2"/>
                <w:szCs w:val="2"/>
                <w:color w:val="auto"/>
              </w:rPr>
            </w:pPr>
          </w:p>
        </w:tc>
        <w:tc>
          <w:tcPr>
            <w:tcW w:w="120" w:type="dxa"/>
            <w:vAlign w:val="bottom"/>
            <w:shd w:val="clear" w:color="auto" w:fill="CAEEFB"/>
          </w:tcPr>
          <w:p>
            <w:pPr>
              <w:spacing w:after="0"/>
              <w:rPr>
                <w:sz w:val="2"/>
                <w:szCs w:val="2"/>
                <w:color w:val="auto"/>
              </w:rPr>
            </w:pPr>
          </w:p>
        </w:tc>
        <w:tc>
          <w:tcPr>
            <w:tcW w:w="900" w:type="dxa"/>
            <w:vAlign w:val="bottom"/>
            <w:shd w:val="clear" w:color="auto" w:fill="CAEEFB"/>
          </w:tcPr>
          <w:p>
            <w:pPr>
              <w:spacing w:after="0"/>
              <w:rPr>
                <w:sz w:val="2"/>
                <w:szCs w:val="2"/>
                <w:color w:val="auto"/>
              </w:rPr>
            </w:pPr>
          </w:p>
        </w:tc>
        <w:tc>
          <w:tcPr>
            <w:tcW w:w="340" w:type="dxa"/>
            <w:vAlign w:val="bottom"/>
            <w:shd w:val="clear" w:color="auto" w:fill="CAEEFB"/>
          </w:tcPr>
          <w:p>
            <w:pPr>
              <w:spacing w:after="0"/>
              <w:rPr>
                <w:sz w:val="2"/>
                <w:szCs w:val="2"/>
                <w:color w:val="auto"/>
              </w:rPr>
            </w:pPr>
          </w:p>
        </w:tc>
        <w:tc>
          <w:tcPr>
            <w:tcW w:w="120" w:type="dxa"/>
            <w:vAlign w:val="bottom"/>
            <w:shd w:val="clear" w:color="auto" w:fill="CAEEFB"/>
          </w:tcPr>
          <w:p>
            <w:pPr>
              <w:spacing w:after="0"/>
              <w:rPr>
                <w:sz w:val="2"/>
                <w:szCs w:val="2"/>
                <w:color w:val="auto"/>
              </w:rPr>
            </w:pPr>
          </w:p>
        </w:tc>
        <w:tc>
          <w:tcPr>
            <w:tcW w:w="720" w:type="dxa"/>
            <w:vAlign w:val="bottom"/>
            <w:shd w:val="clear" w:color="auto" w:fill="CAEEFB"/>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 The amounts shown are net of any shares withheld by the Company to satisfy certain tax withholdings in connection with vesting of equity-based awards.</w:t>
      </w:r>
    </w:p>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Interim Financial Statements.</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4"/>
          </w:tcPr>
          <w:p>
            <w:pPr>
              <w:jc w:val="right"/>
              <w:ind w:right="10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14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5"/>
        </w:trPr>
        <w:tc>
          <w:tcPr>
            <w:tcW w:w="7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(124,247)</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(49,974)</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39,314</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amortization expense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6,794</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 (gain) on deconsolidation of subsidiaries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(39,821)</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early extinguishment of note</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obsolete inventory and other assets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fair value of derivative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investment fair value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32,164</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Legal settlement</w:t>
            </w:r>
          </w:p>
        </w:tc>
        <w:tc>
          <w:tcPr>
            <w:tcW w:w="140" w:type="dxa"/>
            <w:vAlign w:val="bottom"/>
          </w:tcPr>
          <w:p>
            <w:pPr>
              <w:spacing w:after="0"/>
              <w:rPr>
                <w:sz w:val="16"/>
                <w:szCs w:val="16"/>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on fixed assets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Inventory</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(11,566)</w:t>
            </w:r>
          </w:p>
        </w:tc>
        <w:tc>
          <w:tcPr>
            <w:tcW w:w="0" w:type="dxa"/>
            <w:vAlign w:val="bottom"/>
          </w:tcPr>
          <w:p>
            <w:pPr>
              <w:spacing w:after="0"/>
              <w:rPr>
                <w:sz w:val="1"/>
                <w:szCs w:val="1"/>
                <w:color w:val="auto"/>
              </w:rPr>
            </w:pPr>
          </w:p>
        </w:tc>
      </w:tr>
      <w:tr>
        <w:trPr>
          <w:trHeight w:val="189"/>
        </w:trPr>
        <w:tc>
          <w:tcPr>
            <w:tcW w:w="7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(4,255)</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9,838</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r>
        <w:trPr>
          <w:trHeight w:val="189"/>
        </w:trPr>
        <w:tc>
          <w:tcPr>
            <w:tcW w:w="7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w:t>
            </w:r>
          </w:p>
        </w:tc>
        <w:tc>
          <w:tcPr>
            <w:tcW w:w="0" w:type="dxa"/>
            <w:vAlign w:val="bottom"/>
          </w:tcPr>
          <w:p>
            <w:pPr>
              <w:spacing w:after="0"/>
              <w:rPr>
                <w:sz w:val="1"/>
                <w:szCs w:val="1"/>
                <w:color w:val="auto"/>
              </w:rPr>
            </w:pPr>
          </w:p>
        </w:tc>
      </w:tr>
      <w:tr>
        <w:trPr>
          <w:trHeight w:val="189"/>
        </w:trPr>
        <w:tc>
          <w:tcPr>
            <w:tcW w:w="77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Income taxes payable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38,583</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0" w:type="dxa"/>
            <w:vAlign w:val="bottom"/>
          </w:tcPr>
          <w:p>
            <w:pPr>
              <w:spacing w:after="0"/>
              <w:rPr>
                <w:sz w:val="1"/>
                <w:szCs w:val="1"/>
                <w:color w:val="auto"/>
              </w:rPr>
            </w:pPr>
          </w:p>
        </w:tc>
      </w:tr>
      <w:tr>
        <w:trPr>
          <w:trHeight w:val="182"/>
        </w:trPr>
        <w:tc>
          <w:tcPr>
            <w:tcW w:w="7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(35,666)</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(27,360)</w:t>
            </w:r>
          </w:p>
        </w:tc>
        <w:tc>
          <w:tcPr>
            <w:tcW w:w="0" w:type="dxa"/>
            <w:vAlign w:val="bottom"/>
          </w:tcPr>
          <w:p>
            <w:pPr>
              <w:spacing w:after="0"/>
              <w:rPr>
                <w:sz w:val="1"/>
                <w:szCs w:val="1"/>
                <w:color w:val="auto"/>
              </w:rPr>
            </w:pPr>
          </w:p>
        </w:tc>
      </w:tr>
      <w:tr>
        <w:trPr>
          <w:trHeight w:val="25"/>
        </w:trPr>
        <w:tc>
          <w:tcPr>
            <w:tcW w:w="7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license</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proceeds from sale of businesses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34,371</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Note receivable settlements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21,398</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received (paid) on deposits, net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5"/>
        </w:trPr>
        <w:tc>
          <w:tcPr>
            <w:tcW w:w="7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29,971</w:t>
            </w:r>
          </w:p>
        </w:tc>
        <w:tc>
          <w:tcPr>
            <w:tcW w:w="0" w:type="dxa"/>
            <w:vAlign w:val="bottom"/>
          </w:tcPr>
          <w:p>
            <w:pPr>
              <w:spacing w:after="0"/>
              <w:rPr>
                <w:sz w:val="1"/>
                <w:szCs w:val="1"/>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14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15,600</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lease liabilities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of sellers note</w:t>
            </w:r>
          </w:p>
        </w:tc>
        <w:tc>
          <w:tcPr>
            <w:tcW w:w="140" w:type="dxa"/>
            <w:vAlign w:val="bottom"/>
          </w:tcPr>
          <w:p>
            <w:pPr>
              <w:spacing w:after="0"/>
              <w:rPr>
                <w:sz w:val="16"/>
                <w:szCs w:val="16"/>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 of debt</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(13,228)</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of mortgage notes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7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89"/>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Taxes paid on equity based compensation</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0" w:type="dxa"/>
            <w:vAlign w:val="bottom"/>
          </w:tcPr>
          <w:p>
            <w:pPr>
              <w:spacing w:after="0"/>
              <w:rPr>
                <w:sz w:val="1"/>
                <w:szCs w:val="1"/>
                <w:color w:val="auto"/>
              </w:rPr>
            </w:pPr>
          </w:p>
        </w:tc>
      </w:tr>
      <w:tr>
        <w:trPr>
          <w:trHeight w:val="25"/>
        </w:trPr>
        <w:tc>
          <w:tcPr>
            <w:tcW w:w="7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(6,878)</w:t>
            </w:r>
          </w:p>
        </w:tc>
        <w:tc>
          <w:tcPr>
            <w:tcW w:w="0" w:type="dxa"/>
            <w:vAlign w:val="bottom"/>
          </w:tcPr>
          <w:p>
            <w:pPr>
              <w:spacing w:after="0"/>
              <w:rPr>
                <w:sz w:val="1"/>
                <w:szCs w:val="1"/>
                <w:color w:val="auto"/>
              </w:rPr>
            </w:pPr>
          </w:p>
        </w:tc>
      </w:tr>
      <w:tr>
        <w:trPr>
          <w:trHeight w:val="182"/>
        </w:trPr>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 decrease in cash</w:t>
            </w: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(17,034)</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restricted cash at beginning of the period</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39,337</w:t>
            </w:r>
          </w:p>
        </w:tc>
        <w:tc>
          <w:tcPr>
            <w:tcW w:w="0" w:type="dxa"/>
            <w:vAlign w:val="bottom"/>
          </w:tcPr>
          <w:p>
            <w:pPr>
              <w:spacing w:after="0"/>
              <w:rPr>
                <w:sz w:val="1"/>
                <w:szCs w:val="1"/>
                <w:color w:val="auto"/>
              </w:rPr>
            </w:pPr>
          </w:p>
        </w:tc>
      </w:tr>
      <w:tr>
        <w:trPr>
          <w:trHeight w:val="207"/>
        </w:trPr>
        <w:tc>
          <w:tcPr>
            <w:tcW w:w="7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35,070</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760" w:type="dxa"/>
            <w:vAlign w:val="bottom"/>
            <w:tcBorders>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Reconciliation of cash and restricted cash:</w:t>
            </w:r>
          </w:p>
        </w:tc>
        <w:tc>
          <w:tcPr>
            <w:tcW w:w="1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17,761</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31,497</w:t>
            </w:r>
          </w:p>
        </w:tc>
        <w:tc>
          <w:tcPr>
            <w:tcW w:w="0" w:type="dxa"/>
            <w:vAlign w:val="bottom"/>
          </w:tcPr>
          <w:p>
            <w:pPr>
              <w:spacing w:after="0"/>
              <w:rPr>
                <w:sz w:val="1"/>
                <w:szCs w:val="1"/>
                <w:color w:val="auto"/>
              </w:rPr>
            </w:pPr>
          </w:p>
        </w:tc>
      </w:tr>
      <w:tr>
        <w:trPr>
          <w:trHeight w:val="25"/>
        </w:trPr>
        <w:tc>
          <w:tcPr>
            <w:tcW w:w="7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0" w:type="dxa"/>
            <w:vAlign w:val="bottom"/>
          </w:tcPr>
          <w:p>
            <w:pPr>
              <w:spacing w:after="0"/>
              <w:rPr>
                <w:sz w:val="1"/>
                <w:szCs w:val="1"/>
                <w:color w:val="auto"/>
              </w:rPr>
            </w:pPr>
          </w:p>
        </w:tc>
      </w:tr>
      <w:tr>
        <w:trPr>
          <w:trHeight w:val="207"/>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20,896</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35,070</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w:t>
            </w:r>
          </w:p>
        </w:tc>
        <w:tc>
          <w:tcPr>
            <w:tcW w:w="1560" w:type="dxa"/>
            <w:vAlign w:val="bottom"/>
            <w:tcBorders>
              <w:bottom w:val="single" w:sz="8" w:color="auto"/>
            </w:tcBorders>
            <w:gridSpan w:val="2"/>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7760" w:type="dxa"/>
            <w:vAlign w:val="bottom"/>
            <w:vMerge w:val="continue"/>
          </w:tcPr>
          <w:p>
            <w:pPr>
              <w:spacing w:after="0"/>
              <w:rPr>
                <w:sz w:val="15"/>
                <w:szCs w:val="15"/>
                <w:color w:val="auto"/>
              </w:rPr>
            </w:pPr>
          </w:p>
        </w:tc>
        <w:tc>
          <w:tcPr>
            <w:tcW w:w="156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w w:val="96"/>
              </w:rPr>
              <w:t>Financial Statements.</w:t>
            </w:r>
          </w:p>
        </w:tc>
        <w:tc>
          <w:tcPr>
            <w:tcW w:w="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5965825</wp:posOffset>
            </wp:positionH>
            <wp:positionV relativeFrom="paragraph">
              <wp:posOffset>-694055</wp:posOffset>
            </wp:positionV>
            <wp:extent cx="144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-3471545</wp:posOffset>
            </wp:positionV>
            <wp:extent cx="1441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5965825</wp:posOffset>
            </wp:positionH>
            <wp:positionV relativeFrom="paragraph">
              <wp:posOffset>-7012940</wp:posOffset>
            </wp:positionV>
            <wp:extent cx="1441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145"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289560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CONDENSED CONSOLIDATED INTERIM STATEMENTS OF CASH FLOWS</w:t>
      </w:r>
    </w:p>
    <w:p>
      <w:pPr>
        <w:spacing w:after="0" w:line="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13" w:lineRule="exact"/>
        <w:rPr>
          <w:sz w:val="20"/>
          <w:szCs w:val="20"/>
          <w:color w:val="auto"/>
        </w:rPr>
      </w:pPr>
    </w:p>
    <w:tbl>
      <w:tblPr>
        <w:tblLayout w:type="fixed"/>
        <w:tblInd w:w="220" w:type="dxa"/>
        <w:tblCellMar>
          <w:top w:w="0" w:type="dxa"/>
          <w:left w:w="0" w:type="dxa"/>
          <w:bottom w:w="0" w:type="dxa"/>
          <w:right w:w="0" w:type="dxa"/>
        </w:tblCellMar>
      </w:tblPr>
      <w:tr>
        <w:trPr>
          <w:trHeight w:val="226"/>
        </w:trPr>
        <w:tc>
          <w:tcPr>
            <w:tcW w:w="78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00" w:type="dxa"/>
            <w:vAlign w:val="bottom"/>
            <w:tcBorders>
              <w:top w:val="single" w:sz="8" w:color="auto"/>
              <w:bottom w:val="single" w:sz="8" w:color="auto"/>
            </w:tcBorders>
          </w:tcPr>
          <w:p>
            <w:pPr>
              <w:spacing w:after="0"/>
              <w:rPr>
                <w:sz w:val="19"/>
                <w:szCs w:val="19"/>
                <w:color w:val="auto"/>
              </w:rPr>
            </w:pPr>
          </w:p>
        </w:tc>
      </w:tr>
      <w:tr>
        <w:trPr>
          <w:trHeight w:val="206"/>
        </w:trPr>
        <w:tc>
          <w:tcPr>
            <w:tcW w:w="7860" w:type="dxa"/>
            <w:vAlign w:val="bottom"/>
          </w:tcPr>
          <w:p>
            <w:pPr>
              <w:spacing w:after="0"/>
              <w:rPr>
                <w:sz w:val="17"/>
                <w:szCs w:val="17"/>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0"/>
        </w:trPr>
        <w:tc>
          <w:tcPr>
            <w:tcW w:w="7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7"/>
        </w:trPr>
        <w:tc>
          <w:tcPr>
            <w:tcW w:w="786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2"/>
        </w:trPr>
        <w:tc>
          <w:tcPr>
            <w:tcW w:w="7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7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44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14,481</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20,061</w:t>
            </w:r>
          </w:p>
        </w:tc>
      </w:tr>
      <w:tr>
        <w:trPr>
          <w:trHeight w:val="209"/>
        </w:trPr>
        <w:tc>
          <w:tcPr>
            <w:tcW w:w="7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100" w:type="dxa"/>
            <w:vAlign w:val="bottom"/>
          </w:tcPr>
          <w:p>
            <w:pPr>
              <w:spacing w:after="0"/>
              <w:rPr>
                <w:sz w:val="18"/>
                <w:szCs w:val="18"/>
                <w:color w:val="auto"/>
              </w:rPr>
            </w:pP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w:t>
            </w:r>
          </w:p>
        </w:tc>
      </w:tr>
      <w:tr>
        <w:trPr>
          <w:trHeight w:val="32"/>
        </w:trPr>
        <w:tc>
          <w:tcPr>
            <w:tcW w:w="7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7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44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5,323</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on other obligations</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30,432</w:t>
            </w:r>
          </w:p>
        </w:tc>
        <w:tc>
          <w:tcPr>
            <w:tcW w:w="100" w:type="dxa"/>
            <w:vAlign w:val="bottom"/>
          </w:tcPr>
          <w:p>
            <w:pPr>
              <w:spacing w:after="0"/>
              <w:rPr>
                <w:sz w:val="18"/>
                <w:szCs w:val="18"/>
                <w:color w:val="auto"/>
              </w:rPr>
            </w:pP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35,155</w:t>
            </w:r>
          </w:p>
        </w:tc>
      </w:tr>
      <w:tr>
        <w:trPr>
          <w:trHeight w:val="32"/>
        </w:trPr>
        <w:tc>
          <w:tcPr>
            <w:tcW w:w="7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4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the recognition of finance right-of-use assets</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6,978</w:t>
            </w:r>
          </w:p>
        </w:tc>
      </w:tr>
      <w:tr>
        <w:trPr>
          <w:trHeight w:val="32"/>
        </w:trPr>
        <w:tc>
          <w:tcPr>
            <w:tcW w:w="7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the recognition of operating right-of-use assets</w:t>
            </w:r>
          </w:p>
        </w:tc>
        <w:tc>
          <w:tcPr>
            <w:tcW w:w="44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1"/>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0"/>
        </w:trPr>
        <w:tc>
          <w:tcPr>
            <w:tcW w:w="7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fixed asset additions within accounts payable and accrued expenses</w:t>
            </w:r>
          </w:p>
        </w:tc>
        <w:tc>
          <w:tcPr>
            <w:tcW w:w="44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on issuance of convertible debt</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w:t>
            </w:r>
          </w:p>
        </w:tc>
      </w:tr>
      <w:tr>
        <w:trPr>
          <w:trHeight w:val="32"/>
        </w:trPr>
        <w:tc>
          <w:tcPr>
            <w:tcW w:w="7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 in debt from debt to equity conversion</w:t>
            </w:r>
          </w:p>
        </w:tc>
        <w:tc>
          <w:tcPr>
            <w:tcW w:w="44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equity from debt to equity conversion</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10,200</w:t>
            </w:r>
          </w:p>
        </w:tc>
      </w:tr>
      <w:tr>
        <w:trPr>
          <w:trHeight w:val="32"/>
        </w:trPr>
        <w:tc>
          <w:tcPr>
            <w:tcW w:w="7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issued for legal settlement</w:t>
            </w:r>
          </w:p>
        </w:tc>
        <w:tc>
          <w:tcPr>
            <w:tcW w:w="44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 of notes and convertible notes for new notes and convertible notes</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269,950</w:t>
            </w:r>
          </w:p>
        </w:tc>
        <w:tc>
          <w:tcPr>
            <w:tcW w:w="100" w:type="dxa"/>
            <w:vAlign w:val="bottom"/>
          </w:tcPr>
          <w:p>
            <w:pPr>
              <w:spacing w:after="0"/>
              <w:rPr>
                <w:sz w:val="18"/>
                <w:szCs w:val="18"/>
                <w:color w:val="auto"/>
              </w:rPr>
            </w:pP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7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44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63,551</w:t>
            </w:r>
          </w:p>
        </w:tc>
      </w:tr>
      <w:tr>
        <w:trPr>
          <w:trHeight w:val="209"/>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11,894</w:t>
            </w:r>
          </w:p>
        </w:tc>
        <w:tc>
          <w:tcPr>
            <w:tcW w:w="100" w:type="dxa"/>
            <w:vAlign w:val="bottom"/>
          </w:tcPr>
          <w:p>
            <w:pPr>
              <w:spacing w:after="0"/>
              <w:rPr>
                <w:sz w:val="18"/>
                <w:szCs w:val="18"/>
                <w:color w:val="auto"/>
              </w:rPr>
            </w:pPr>
          </w:p>
        </w:tc>
        <w:tc>
          <w:tcPr>
            <w:tcW w:w="740" w:type="dxa"/>
            <w:vAlign w:val="bottom"/>
          </w:tcPr>
          <w:p>
            <w:pPr>
              <w:jc w:val="right"/>
              <w:ind w:right="5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6033770</wp:posOffset>
            </wp:positionH>
            <wp:positionV relativeFrom="paragraph">
              <wp:posOffset>-2722245</wp:posOffset>
            </wp:positionV>
            <wp:extent cx="67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Interim Financial Statements.</w:t>
      </w: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262255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0" w:lineRule="exact"/>
        <w:rPr>
          <w:sz w:val="20"/>
          <w:szCs w:val="20"/>
          <w:color w:val="auto"/>
        </w:rPr>
      </w:pPr>
    </w:p>
    <w:p>
      <w:pPr>
        <w:ind w:left="20" w:right="4480"/>
        <w:spacing w:after="0" w:line="250" w:lineRule="auto"/>
        <w:rPr>
          <w:sz w:val="20"/>
          <w:szCs w:val="20"/>
          <w:color w:val="auto"/>
        </w:rPr>
      </w:pPr>
      <w:r>
        <w:rPr>
          <w:rFonts w:ascii="Times New Roman" w:cs="Times New Roman" w:eastAsia="Times New Roman" w:hAnsi="Times New Roman"/>
          <w:sz w:val="18"/>
          <w:szCs w:val="18"/>
          <w:color w:val="auto"/>
        </w:rPr>
        <w:t>NOTES TO THE CONDENSED CONSOLIDATED INTERIM FINANCIAL STATEMENTS FOR THE THREE AND NINE MONTHS ENDED SEPTEMBER 30, 2025, and 2024 (Expressed in thousands of U.S. dollars, except for share and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35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0" w:hanging="793"/>
        <w:spacing w:after="0"/>
        <w:tabs>
          <w:tab w:leader="none" w:pos="8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OF THE COMPANY</w:t>
      </w:r>
    </w:p>
    <w:p>
      <w:pPr>
        <w:spacing w:after="0" w:line="144" w:lineRule="exact"/>
        <w:rPr>
          <w:rFonts w:ascii="Times New Roman" w:cs="Times New Roman" w:eastAsia="Times New Roman" w:hAnsi="Times New Roman"/>
          <w:sz w:val="18"/>
          <w:szCs w:val="18"/>
          <w:b w:val="1"/>
          <w:bCs w:val="1"/>
          <w:color w:val="auto"/>
        </w:rPr>
      </w:pPr>
    </w:p>
    <w:p>
      <w:pPr>
        <w:jc w:val="both"/>
        <w:ind w:left="8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Cannabist Company Holdings Inc. (“the Company”, “the Parent”, or "The Cannabist Company"), formerly known as Columbia Care Inc., was incorporated under the laws of the Province of Ontario on August 13, 2018. The Company's principal mission is to improve lives by providing cannabis-based products to qualified patients and consumers. The Company’s head office and principal address is 321 Billerica Rd., Suite 204, Chelmsford, Massachusetts 01824. The Company’s registered and records office address is 666 Burrard St #1700, Vancouver, British Columbia V6C 2X8.</w:t>
      </w:r>
    </w:p>
    <w:p>
      <w:pPr>
        <w:spacing w:after="0" w:line="117" w:lineRule="exact"/>
        <w:rPr>
          <w:rFonts w:ascii="Times New Roman" w:cs="Times New Roman" w:eastAsia="Times New Roman" w:hAnsi="Times New Roman"/>
          <w:sz w:val="18"/>
          <w:szCs w:val="18"/>
          <w:b w:val="1"/>
          <w:bCs w:val="1"/>
          <w:color w:val="auto"/>
        </w:rPr>
      </w:pPr>
    </w:p>
    <w:p>
      <w:pPr>
        <w:jc w:val="both"/>
        <w:ind w:left="8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26, 2019, the Company completed a reverse takeover (“RTO”) transaction and private placement. Following the RTO, the Company’s common shares were listed on Cboe Canada (formerly known as the NEO Exchange), trading under the symbol “CCHW”. Effective September 19, 2023, the Company changed its name from “Columbia Care Inc.” to “The Cannabist Company Holdings Inc.” (the “Name Change”). In connection with the Name Change, on September 21, 2023, the Company’s common shares and warrants began trading under the ticker symbols “CBST” and “CBST.WT”, respectively, on Cboe Canada. On September 26, 2023, the Company’s common shares began trading on the OTCQX Best Market under the ticker symbol “CBSTF,” and transitioned to the OTCQB in April 2025.</w:t>
      </w:r>
    </w:p>
    <w:p>
      <w:pPr>
        <w:spacing w:after="0" w:line="393" w:lineRule="exact"/>
        <w:rPr>
          <w:rFonts w:ascii="Times New Roman" w:cs="Times New Roman" w:eastAsia="Times New Roman" w:hAnsi="Times New Roman"/>
          <w:sz w:val="18"/>
          <w:szCs w:val="18"/>
          <w:b w:val="1"/>
          <w:bCs w:val="1"/>
          <w:color w:val="auto"/>
        </w:rPr>
      </w:pPr>
    </w:p>
    <w:p>
      <w:pPr>
        <w:ind w:left="800" w:right="5780" w:hanging="793"/>
        <w:spacing w:after="0" w:line="413" w:lineRule="auto"/>
        <w:tabs>
          <w:tab w:leader="none" w:pos="8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preparation</w:t>
      </w:r>
    </w:p>
    <w:p>
      <w:pPr>
        <w:jc w:val="both"/>
        <w:ind w:left="80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interim financial statements of the Company have been prepared in accordance with accounting principles generally accepted in the United States of America (“U.S. GAAP” or “GAAP”) for interim financial information and the rules and regulations of the Securities and Exchange Commission (the “SEC”).</w:t>
      </w:r>
    </w:p>
    <w:p>
      <w:pPr>
        <w:spacing w:after="0" w:line="104"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Going Concern</w:t>
      </w:r>
    </w:p>
    <w:p>
      <w:pPr>
        <w:spacing w:after="0" w:line="158" w:lineRule="exact"/>
        <w:rPr>
          <w:rFonts w:ascii="Times New Roman" w:cs="Times New Roman" w:eastAsia="Times New Roman" w:hAnsi="Times New Roman"/>
          <w:sz w:val="18"/>
          <w:szCs w:val="18"/>
          <w:b w:val="1"/>
          <w:bCs w:val="1"/>
          <w:color w:val="auto"/>
        </w:rPr>
      </w:pPr>
    </w:p>
    <w:p>
      <w:pPr>
        <w:jc w:val="both"/>
        <w:ind w:left="8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accompanying unaudited condensed consolidated interim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99" w:lineRule="exact"/>
        <w:rPr>
          <w:rFonts w:ascii="Times New Roman" w:cs="Times New Roman" w:eastAsia="Times New Roman" w:hAnsi="Times New Roman"/>
          <w:sz w:val="18"/>
          <w:szCs w:val="18"/>
          <w:b w:val="1"/>
          <w:bCs w:val="1"/>
          <w:color w:val="auto"/>
        </w:rPr>
      </w:pPr>
    </w:p>
    <w:p>
      <w:pPr>
        <w:jc w:val="both"/>
        <w:ind w:left="80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incurred substantial net losses since its inception, including net losses of $105.1 million for the 12 months ended December 31, 2024 and $124.2 million for the nine months ended September 30, 2025. As of September 30, 2025, the Company’s accumulated deficit was $1,309.8 million, and for the nine months ended September 30, 2025, the Company had negative operating cash flow of $35.7 million. As of September 30, 2025, the Company had cash and restricted cash of $20.9 million. Historically, the Company has relied on external financing as its primary source of liquidity. These conditions, together with uncertainty as to the Company’s ability to generate sufficient cash flow from operations, asset divestitures or external financing sources to meet its financial obligations including, without limitation, making interest payments on its senior debt or otherwise complying with its indenture obligations, absent material divestitures, significant concessions or consents from its creditors, raise substantial doubt about the Company’s ability to continue as a going concern for a period of at least one year from the date of this report.</w:t>
      </w:r>
    </w:p>
    <w:p>
      <w:pPr>
        <w:spacing w:after="0" w:line="218" w:lineRule="exact"/>
        <w:rPr>
          <w:rFonts w:ascii="Times New Roman" w:cs="Times New Roman" w:eastAsia="Times New Roman" w:hAnsi="Times New Roman"/>
          <w:sz w:val="18"/>
          <w:szCs w:val="18"/>
          <w:b w:val="1"/>
          <w:bCs w:val="1"/>
          <w:color w:val="auto"/>
        </w:rPr>
      </w:pPr>
    </w:p>
    <w:p>
      <w:pPr>
        <w:jc w:val="both"/>
        <w:ind w:left="80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do not include any adjustments relating to the recoverability and classification of liabilities that might be necessary should the Company be unable to continue as a going concern. In the future, reports from our independent public accounting firm may also contain statements expressing substantial doubt about our ability to continue as a going concern. In an effort to alleviate these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both"/>
        <w:ind w:left="800"/>
        <w:spacing w:after="0" w:line="262" w:lineRule="auto"/>
        <w:rPr>
          <w:sz w:val="20"/>
          <w:szCs w:val="20"/>
          <w:color w:val="auto"/>
        </w:rPr>
      </w:pPr>
      <w:r>
        <w:rPr>
          <w:rFonts w:ascii="Times New Roman" w:cs="Times New Roman" w:eastAsia="Times New Roman" w:hAnsi="Times New Roman"/>
          <w:sz w:val="17"/>
          <w:szCs w:val="17"/>
          <w:color w:val="auto"/>
        </w:rPr>
        <w:t>conditions and to maximize value for the Company’s stakeholders, the Board of Directors (the “Board”) has formed a special committee of independent directors (the “Special Committee”) to review strategic alternatives. The Special Committee, with support from external financial and legal advisors, is considering a range of options, including potential asset sales, mergers, or other strategic or financial transactions. The review is being conducted in consideration of the ongoing operational and financial challenges for the Company and the industry, as well as of the continuing uncertainty as to if and when U.S. federal regulatory changes may occur that will impact the Company and the industry, including, without limitation, changes to U.S. federal taxation of the Company and the industry under Section 280(e) of the Internal Revenue Code.</w:t>
      </w:r>
    </w:p>
    <w:p>
      <w:pPr>
        <w:spacing w:after="0" w:line="191" w:lineRule="exact"/>
        <w:rPr>
          <w:sz w:val="20"/>
          <w:szCs w:val="20"/>
          <w:color w:val="auto"/>
        </w:rPr>
      </w:pPr>
    </w:p>
    <w:p>
      <w:pPr>
        <w:jc w:val="both"/>
        <w:ind w:left="800"/>
        <w:spacing w:after="0" w:line="244" w:lineRule="auto"/>
        <w:rPr>
          <w:sz w:val="20"/>
          <w:szCs w:val="20"/>
          <w:color w:val="auto"/>
        </w:rPr>
      </w:pPr>
      <w:r>
        <w:rPr>
          <w:rFonts w:ascii="Times New Roman" w:cs="Times New Roman" w:eastAsia="Times New Roman" w:hAnsi="Times New Roman"/>
          <w:sz w:val="18"/>
          <w:szCs w:val="18"/>
          <w:color w:val="auto"/>
        </w:rPr>
        <w:t>If we are unable to obtain sufficient funding or otherwise complete strategic transactions on acceptable terms, or successfully negotiate with creditors with respect to waivers and/or concessions necessary to permit asset divestitures or other actions, then we will not be able to continue as a going concern and we may be forced to delay or further reduce the scope of our activities, extend payment terms with suppliers, liquidate assets where possible at a potentially lower amount than as recorded in our financial statements, further curtail planned operations or cease operations entirely and wind down our business. Any of these could materially and adversely affect our liquidity, financial condition and business prospects and, as a result, our stockholders and/or creditors may not receive full value, or may receive no value, for their investment.</w:t>
      </w:r>
    </w:p>
    <w:p>
      <w:pPr>
        <w:spacing w:after="0" w:line="115"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contain all normal and recurring adjustments necessary to state fairly the consolidated financial condition, results of operations, comprehensive income, statement of shareholders’ equity, and cash flows of the Company for the interim periods presented. Except as otherwise disclosed, all such adjustments consist only of those of a normal recurring nature. Operating results for the three and nine months ended September 30, 2025 are not necessarily indicative of the results that may be expected for the current year ending December 31, 2025. The financial data presented herein should be read in conjunction with the audited consolidated financial statements and accompanying notes as of and for the years ended December 31, 2024, and 2023 included in the Annual Report on Form 10-K for the year ended December 31, 2024 (the “2024 Form 10-K”).</w:t>
      </w:r>
    </w:p>
    <w:p>
      <w:pPr>
        <w:spacing w:after="0" w:line="104" w:lineRule="exact"/>
        <w:rPr>
          <w:sz w:val="20"/>
          <w:szCs w:val="20"/>
          <w:color w:val="auto"/>
        </w:rPr>
      </w:pPr>
    </w:p>
    <w:p>
      <w:pPr>
        <w:jc w:val="both"/>
        <w:ind w:left="800"/>
        <w:spacing w:after="0" w:line="263" w:lineRule="auto"/>
        <w:rPr>
          <w:sz w:val="20"/>
          <w:szCs w:val="20"/>
          <w:color w:val="auto"/>
        </w:rPr>
      </w:pPr>
      <w:r>
        <w:rPr>
          <w:rFonts w:ascii="Times New Roman" w:cs="Times New Roman" w:eastAsia="Times New Roman" w:hAnsi="Times New Roman"/>
          <w:sz w:val="18"/>
          <w:szCs w:val="18"/>
          <w:color w:val="auto"/>
        </w:rPr>
        <w:t>The preparation of these unaudited condensed consolidated interim financial statements in conformity with U.S. GAAP requires management to make estimates and assumptions that affect the reported amounts of assets and liabilities as of the date of the financial statements, and the reported amounts of revenues and expenses during the reporting periods. Actual results could differ materially from those estimates.</w:t>
      </w:r>
    </w:p>
    <w:p>
      <w:pPr>
        <w:spacing w:after="0" w:line="109" w:lineRule="exact"/>
        <w:rPr>
          <w:sz w:val="20"/>
          <w:szCs w:val="20"/>
          <w:color w:val="auto"/>
        </w:rPr>
      </w:pPr>
    </w:p>
    <w:p>
      <w:pPr>
        <w:jc w:val="both"/>
        <w:ind w:left="800"/>
        <w:spacing w:after="0" w:line="27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pursuant to the rules and regulations of the SEC and the instructions to Form 10-Q.</w:t>
      </w:r>
    </w:p>
    <w:p>
      <w:pPr>
        <w:spacing w:after="0" w:line="96" w:lineRule="exact"/>
        <w:rPr>
          <w:sz w:val="20"/>
          <w:szCs w:val="20"/>
          <w:color w:val="auto"/>
        </w:rPr>
      </w:pPr>
    </w:p>
    <w:p>
      <w:pPr>
        <w:ind w:left="800" w:right="480"/>
        <w:spacing w:after="0" w:line="278"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are presented in United States dollars except as otherwise indicated. All references to C$, CAD$ and CDN$ are to Canadian dollars.</w:t>
      </w:r>
    </w:p>
    <w:p>
      <w:pPr>
        <w:spacing w:after="0" w:line="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158" w:lineRule="exact"/>
        <w:rPr>
          <w:sz w:val="20"/>
          <w:szCs w:val="20"/>
          <w:color w:val="auto"/>
        </w:rPr>
      </w:pPr>
    </w:p>
    <w:p>
      <w:pPr>
        <w:jc w:val="both"/>
        <w:ind w:left="800"/>
        <w:spacing w:after="0" w:line="27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Company’s 2024 Form 10-K, filed with the SEC, on March 17, 2025. There have been no material changes to the Company’s significant accounting policies.</w:t>
      </w:r>
    </w:p>
    <w:p>
      <w:pPr>
        <w:spacing w:after="0" w:line="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45" w:lineRule="exact"/>
        <w:rPr>
          <w:sz w:val="20"/>
          <w:szCs w:val="20"/>
          <w:color w:val="auto"/>
        </w:rPr>
      </w:pPr>
    </w:p>
    <w:p>
      <w:pPr>
        <w:jc w:val="both"/>
        <w:ind w:left="800"/>
        <w:spacing w:after="0" w:line="263"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period's condensed consolidated interim financial statements and notes to conform to the current year presentation. These reclassifications do not impact the gross margin, profit (loss) from operations, loss before provision for income taxes, and net loss and comprehensive loss presented on the condensed consolidated interim statements of operations and comprehensive loss.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Company’s revenues are disaggregated as follows:</w:t>
      </w:r>
    </w:p>
    <w:p>
      <w:pPr>
        <w:spacing w:after="0" w:line="197" w:lineRule="exact"/>
        <w:rPr>
          <w:sz w:val="20"/>
          <w:szCs w:val="20"/>
          <w:color w:val="auto"/>
        </w:rPr>
      </w:pPr>
    </w:p>
    <w:tbl>
      <w:tblPr>
        <w:tblLayout w:type="fixed"/>
        <w:tblInd w:w="880" w:type="dxa"/>
        <w:tblCellMar>
          <w:top w:w="0" w:type="dxa"/>
          <w:left w:w="0" w:type="dxa"/>
          <w:bottom w:w="0" w:type="dxa"/>
          <w:right w:w="0" w:type="dxa"/>
        </w:tblCellMar>
      </w:tblPr>
      <w:tr>
        <w:trPr>
          <w:trHeight w:val="211"/>
        </w:trPr>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0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2"/>
        </w:trPr>
        <w:tc>
          <w:tcPr>
            <w:tcW w:w="260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1720" w:type="dxa"/>
            <w:vAlign w:val="bottom"/>
            <w:gridSpan w:val="3"/>
          </w:tcPr>
          <w:p>
            <w:pPr>
              <w:spacing w:after="0"/>
              <w:rPr>
                <w:sz w:val="2"/>
                <w:szCs w:val="2"/>
                <w:color w:val="auto"/>
              </w:rPr>
            </w:pPr>
          </w:p>
        </w:tc>
        <w:tc>
          <w:tcPr>
            <w:tcW w:w="18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4"/>
        </w:trPr>
        <w:tc>
          <w:tcPr>
            <w:tcW w:w="2600" w:type="dxa"/>
            <w:vAlign w:val="bottom"/>
          </w:tcPr>
          <w:p>
            <w:pPr>
              <w:spacing w:after="0"/>
              <w:rPr>
                <w:sz w:val="17"/>
                <w:szCs w:val="17"/>
                <w:color w:val="auto"/>
              </w:rPr>
            </w:pPr>
          </w:p>
        </w:tc>
        <w:tc>
          <w:tcPr>
            <w:tcW w:w="156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Pr>
          <w:p>
            <w:pPr>
              <w:spacing w:after="0"/>
              <w:rPr>
                <w:sz w:val="17"/>
                <w:szCs w:val="17"/>
                <w:color w:val="auto"/>
              </w:rPr>
            </w:pPr>
          </w:p>
        </w:tc>
        <w:tc>
          <w:tcPr>
            <w:tcW w:w="18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0"/>
        </w:trPr>
        <w:tc>
          <w:tcPr>
            <w:tcW w:w="26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4"/>
        </w:trPr>
        <w:tc>
          <w:tcPr>
            <w:tcW w:w="2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Dispensary</w:t>
            </w:r>
          </w:p>
        </w:tc>
        <w:tc>
          <w:tcPr>
            <w:tcW w:w="460" w:type="dxa"/>
            <w:vAlign w:val="bottom"/>
            <w:tcBorders>
              <w:bottom w:val="single" w:sz="8" w:color="CFF0FC"/>
            </w:tcBorders>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65,313</w:t>
            </w:r>
          </w:p>
        </w:tc>
        <w:tc>
          <w:tcPr>
            <w:tcW w:w="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95,223</w:t>
            </w:r>
          </w:p>
        </w:tc>
        <w:tc>
          <w:tcPr>
            <w:tcW w:w="2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204,896</w:t>
            </w:r>
          </w:p>
        </w:tc>
        <w:tc>
          <w:tcPr>
            <w:tcW w:w="4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308,554</w:t>
            </w:r>
          </w:p>
        </w:tc>
      </w:tr>
      <w:tr>
        <w:trPr>
          <w:trHeight w:val="209"/>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Cultivation and wholesale</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48,806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54,030</w:t>
            </w:r>
          </w:p>
        </w:tc>
      </w:tr>
      <w:tr>
        <w:trPr>
          <w:trHeight w:val="32"/>
        </w:trPr>
        <w:tc>
          <w:tcPr>
            <w:tcW w:w="26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9"/>
        </w:trPr>
        <w:tc>
          <w:tcPr>
            <w:tcW w:w="26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79,912</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114,783</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253,702</w:t>
            </w: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362,584</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left="80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netted discounts of $19,960 and $65,212, respectively, against the revenues. During the three and nine months ended September 30, 2024, the Company netted discounts of $31,482 and $105,366, respectively, against the revenues. Discounts are provided by the Company during promotional days or weekends. Discounts are also provided to employees, seniors, and other categories of customers and may include price reductions and coupons.</w:t>
      </w:r>
    </w:p>
    <w:p>
      <w:pPr>
        <w:spacing w:after="0" w:line="390" w:lineRule="exact"/>
        <w:rPr>
          <w:sz w:val="20"/>
          <w:szCs w:val="20"/>
          <w:color w:val="auto"/>
        </w:rPr>
      </w:pPr>
    </w:p>
    <w:p>
      <w:pPr>
        <w:ind w:left="800" w:hanging="793"/>
        <w:spacing w:after="0"/>
        <w:tabs>
          <w:tab w:leader="none" w:pos="8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58"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of the Company’s inventory are shown in the table below:</w:t>
      </w:r>
    </w:p>
    <w:p>
      <w:pPr>
        <w:spacing w:after="0" w:line="197" w:lineRule="exact"/>
        <w:rPr>
          <w:sz w:val="20"/>
          <w:szCs w:val="20"/>
          <w:color w:val="auto"/>
        </w:rPr>
      </w:pPr>
    </w:p>
    <w:tbl>
      <w:tblPr>
        <w:tblLayout w:type="fixed"/>
        <w:tblInd w:w="880" w:type="dxa"/>
        <w:tblCellMar>
          <w:top w:w="0" w:type="dxa"/>
          <w:left w:w="0" w:type="dxa"/>
          <w:bottom w:w="0" w:type="dxa"/>
          <w:right w:w="0" w:type="dxa"/>
        </w:tblCellMar>
      </w:tblPr>
      <w:tr>
        <w:trPr>
          <w:trHeight w:val="211"/>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16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2"/>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Accessories and supplies</w:t>
            </w: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Work-in-process - cannabis in cures and final vault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66,933</w:t>
            </w:r>
          </w:p>
        </w:tc>
      </w:tr>
      <w:tr>
        <w:trPr>
          <w:trHeight w:val="32"/>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1"/>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 - dried cannabis, concentrate and edible products</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26,519</w:t>
            </w:r>
          </w:p>
        </w:tc>
      </w:tr>
      <w:tr>
        <w:trPr>
          <w:trHeight w:val="231"/>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inventory</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66,832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94,516</w:t>
            </w:r>
          </w:p>
        </w:tc>
      </w:tr>
      <w:tr>
        <w:trPr>
          <w:trHeight w:val="23"/>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jc w:val="both"/>
        <w:ind w:left="800"/>
        <w:spacing w:after="0" w:line="258" w:lineRule="auto"/>
        <w:rPr>
          <w:sz w:val="20"/>
          <w:szCs w:val="20"/>
          <w:color w:val="auto"/>
        </w:rPr>
      </w:pPr>
      <w:r>
        <w:rPr>
          <w:rFonts w:ascii="Times New Roman" w:cs="Times New Roman" w:eastAsia="Times New Roman" w:hAnsi="Times New Roman"/>
          <w:sz w:val="18"/>
          <w:szCs w:val="18"/>
          <w:color w:val="auto"/>
        </w:rPr>
        <w:t>The inventory values are net of inventory write-downs as a result of obsolescence or unmarketability charged to cost of sales. As a result of certain restructuring efforts, there were write-downs of $2,804 and $13,375 during the three and nine months ended September 30, 2025, respectively. As a result of certain restructuring efforts, there were write-downs of $30 and $5,617 during the three and nine months ended September 30, 2024.</w:t>
      </w:r>
    </w:p>
    <w:p>
      <w:pPr>
        <w:spacing w:after="0" w:line="11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Inventory is stated net of provision of $2,167 and $5,478 as of September 30, 2025 and December 31, 2024, respectively.</w:t>
      </w:r>
    </w:p>
    <w:p>
      <w:pPr>
        <w:spacing w:after="0" w:line="200" w:lineRule="exact"/>
        <w:rPr>
          <w:sz w:val="20"/>
          <w:szCs w:val="20"/>
          <w:color w:val="auto"/>
        </w:rPr>
      </w:pPr>
    </w:p>
    <w:p>
      <w:pPr>
        <w:spacing w:after="0" w:line="231" w:lineRule="exact"/>
        <w:rPr>
          <w:sz w:val="20"/>
          <w:szCs w:val="20"/>
          <w:color w:val="auto"/>
        </w:rPr>
      </w:pPr>
    </w:p>
    <w:p>
      <w:pPr>
        <w:ind w:left="800" w:hanging="793"/>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AND LONG-TERM DEBT</w:t>
      </w:r>
    </w:p>
    <w:p>
      <w:pPr>
        <w:spacing w:after="0" w:line="144"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and long-term obligations, net, are shown in the table below:</w:t>
      </w:r>
    </w:p>
    <w:p>
      <w:pPr>
        <w:spacing w:after="0" w:line="197" w:lineRule="exact"/>
        <w:rPr>
          <w:sz w:val="20"/>
          <w:szCs w:val="20"/>
          <w:color w:val="auto"/>
        </w:rPr>
      </w:pPr>
    </w:p>
    <w:tbl>
      <w:tblPr>
        <w:tblLayout w:type="fixed"/>
        <w:tblInd w:w="68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16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2"/>
        </w:trPr>
        <w:tc>
          <w:tcPr>
            <w:tcW w:w="59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4"/>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 Notes</w:t>
            </w:r>
          </w:p>
        </w:tc>
        <w:tc>
          <w:tcPr>
            <w:tcW w:w="22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185,000</w:t>
            </w:r>
          </w:p>
        </w:tc>
      </w:tr>
      <w:tr>
        <w:trPr>
          <w:trHeight w:val="209"/>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 Convertible Notes</w:t>
            </w:r>
          </w:p>
        </w:tc>
        <w:tc>
          <w:tcPr>
            <w:tcW w:w="22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25,450</w:t>
            </w:r>
          </w:p>
        </w:tc>
      </w:tr>
      <w:tr>
        <w:trPr>
          <w:trHeight w:val="32"/>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1"/>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 Convertible Notes</w:t>
            </w:r>
          </w:p>
        </w:tc>
        <w:tc>
          <w:tcPr>
            <w:tcW w:w="22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59,500</w:t>
            </w:r>
          </w:p>
        </w:tc>
      </w:tr>
      <w:tr>
        <w:trPr>
          <w:trHeight w:val="209"/>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 Notes</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2"/>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1"/>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 Convertible Notes</w:t>
            </w:r>
          </w:p>
        </w:tc>
        <w:tc>
          <w:tcPr>
            <w:tcW w:w="22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Note</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42,923</w:t>
            </w:r>
          </w:p>
        </w:tc>
      </w:tr>
      <w:tr>
        <w:trPr>
          <w:trHeight w:val="32"/>
        </w:trPr>
        <w:tc>
          <w:tcPr>
            <w:tcW w:w="59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4"/>
        </w:trPr>
        <w:tc>
          <w:tcPr>
            <w:tcW w:w="59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310,565</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312,873</w:t>
            </w:r>
          </w:p>
        </w:tc>
      </w:tr>
      <w:tr>
        <w:trPr>
          <w:trHeight w:val="209"/>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Unamortized debt discount</w:t>
            </w: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w:t>
            </w:r>
          </w:p>
        </w:tc>
      </w:tr>
      <w:tr>
        <w:trPr>
          <w:trHeight w:val="32"/>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1"/>
        </w:trPr>
        <w:tc>
          <w:tcPr>
            <w:tcW w:w="5960" w:type="dxa"/>
            <w:vAlign w:val="bottom"/>
            <w:tcBorders>
              <w:bottom w:val="single" w:sz="8" w:color="CAEEFB"/>
            </w:tcBorders>
            <w:shd w:val="clear" w:color="auto" w:fill="CAEEFB"/>
          </w:tcPr>
          <w:p>
            <w:pPr>
              <w:ind w:left="20"/>
              <w:spacing w:after="0"/>
              <w:rPr>
                <w:sz w:val="20"/>
                <w:szCs w:val="20"/>
                <w:color w:val="auto"/>
              </w:rPr>
            </w:pPr>
            <w:r>
              <w:rPr>
                <w:rFonts w:ascii="Times New Roman" w:cs="Times New Roman" w:eastAsia="Times New Roman" w:hAnsi="Times New Roman"/>
                <w:sz w:val="16"/>
                <w:szCs w:val="16"/>
                <w:color w:val="auto"/>
              </w:rPr>
              <w:t>Unamortized deferred financing costs</w:t>
            </w:r>
          </w:p>
        </w:tc>
        <w:tc>
          <w:tcPr>
            <w:tcW w:w="22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(4,744)</w:t>
            </w:r>
          </w:p>
        </w:tc>
      </w:tr>
      <w:tr>
        <w:trPr>
          <w:trHeight w:val="202"/>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 net</w:t>
            </w:r>
          </w:p>
        </w:tc>
        <w:tc>
          <w:tcPr>
            <w:tcW w:w="2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299,252</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301,973</w:t>
            </w:r>
          </w:p>
        </w:tc>
      </w:tr>
      <w:tr>
        <w:trPr>
          <w:trHeight w:val="32"/>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1"/>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current portion, net*</w:t>
            </w:r>
          </w:p>
        </w:tc>
        <w:tc>
          <w:tcPr>
            <w:tcW w:w="22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(52,461)</w:t>
            </w:r>
          </w:p>
        </w:tc>
      </w:tr>
      <w:tr>
        <w:trPr>
          <w:trHeight w:val="202"/>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portion</w:t>
            </w:r>
          </w:p>
        </w:tc>
        <w:tc>
          <w:tcPr>
            <w:tcW w:w="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298,658</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249,512</w:t>
            </w:r>
          </w:p>
        </w:tc>
      </w:tr>
      <w:tr>
        <w:trPr>
          <w:trHeight w:val="32"/>
        </w:trPr>
        <w:tc>
          <w:tcPr>
            <w:tcW w:w="5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0" w:hanging="102"/>
        <w:spacing w:after="0" w:line="278" w:lineRule="auto"/>
        <w:rPr>
          <w:sz w:val="20"/>
          <w:szCs w:val="20"/>
          <w:color w:val="auto"/>
        </w:rPr>
      </w:pPr>
      <w:r>
        <w:rPr>
          <w:rFonts w:ascii="Times New Roman" w:cs="Times New Roman" w:eastAsia="Times New Roman" w:hAnsi="Times New Roman"/>
          <w:sz w:val="18"/>
          <w:szCs w:val="18"/>
          <w:color w:val="auto"/>
        </w:rPr>
        <w:t>*The current portion of the debt includes scheduled payments on the mortgage notes, convertible notes, and notes, net of corresponding portions of the unamortized debt discount and unamortized deferred financing costs.</w:t>
      </w:r>
    </w:p>
    <w:p>
      <w:pPr>
        <w:spacing w:after="0" w:line="82" w:lineRule="exact"/>
        <w:rPr>
          <w:sz w:val="20"/>
          <w:szCs w:val="20"/>
          <w:color w:val="auto"/>
        </w:rPr>
      </w:pPr>
    </w:p>
    <w:p>
      <w:pPr>
        <w:jc w:val="both"/>
        <w:ind w:left="800"/>
        <w:spacing w:after="0" w:line="278" w:lineRule="auto"/>
        <w:rPr>
          <w:sz w:val="20"/>
          <w:szCs w:val="20"/>
          <w:color w:val="auto"/>
        </w:rPr>
      </w:pPr>
      <w:r>
        <w:rPr>
          <w:rFonts w:ascii="Times New Roman" w:cs="Times New Roman" w:eastAsia="Times New Roman" w:hAnsi="Times New Roman"/>
          <w:sz w:val="18"/>
          <w:szCs w:val="18"/>
          <w:color w:val="auto"/>
        </w:rPr>
        <w:t>The Company was in compliance with all financial covenants and was not in default of any provisions under any of its debt arrangements as of September 30, 2025.</w:t>
      </w:r>
    </w:p>
    <w:p>
      <w:pPr>
        <w:spacing w:after="0" w:line="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156" w:lineRule="exact"/>
        <w:rPr>
          <w:sz w:val="20"/>
          <w:szCs w:val="20"/>
          <w:color w:val="auto"/>
        </w:rPr>
      </w:pPr>
    </w:p>
    <w:p>
      <w:pPr>
        <w:jc w:val="both"/>
        <w:ind w:left="800"/>
        <w:spacing w:after="0" w:line="252" w:lineRule="auto"/>
        <w:rPr>
          <w:sz w:val="20"/>
          <w:szCs w:val="20"/>
          <w:color w:val="auto"/>
        </w:rPr>
      </w:pPr>
      <w:r>
        <w:rPr>
          <w:rFonts w:ascii="Times New Roman" w:cs="Times New Roman" w:eastAsia="Times New Roman" w:hAnsi="Times New Roman"/>
          <w:sz w:val="18"/>
          <w:szCs w:val="18"/>
          <w:color w:val="auto"/>
        </w:rPr>
        <w:t>On February 3, 2022, the Company closed a private placement (the “February 2022 Private Placement”) of $185,000 aggregate principal amount of 9.50% senior-secured first-lien notes due 2026 (the “2026 Notes”) and received aggregate gross proceeds of $153,250. The 2026 Notes were senior secured obligations of the Company and were issued at 100.0% of face value. The 2026 Notes accrued interest in arrears which was payable semi-annually and were scheduled to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107"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The premium and paid interest were paid out of funds raised from the February 2022 Private Placement. The total unamortized debt premium and debt issuance costs of $2,153, related to the modified portion of the 13.0% Term Debt, was being amortized over the term of the 2026 Notes using the effective interest method. The Company incurred $7,189 in creditor fees in connection with the modified 13.0% Term Debt and 2026 Notes and $301 in third-party legal fees related to 2026 Notes, which were capitalized and were being amortized over the term of the 2026 Notes using the effective interest rate method.</w:t>
      </w:r>
    </w:p>
    <w:p>
      <w:pPr>
        <w:spacing w:after="0" w:line="117" w:lineRule="exact"/>
        <w:rPr>
          <w:sz w:val="20"/>
          <w:szCs w:val="20"/>
          <w:color w:val="auto"/>
        </w:rPr>
      </w:pPr>
    </w:p>
    <w:p>
      <w:pPr>
        <w:jc w:val="both"/>
        <w:ind w:left="800"/>
        <w:spacing w:after="0" w:line="263" w:lineRule="auto"/>
        <w:rPr>
          <w:sz w:val="20"/>
          <w:szCs w:val="20"/>
          <w:color w:val="auto"/>
        </w:rPr>
      </w:pPr>
      <w:r>
        <w:rPr>
          <w:rFonts w:ascii="Times New Roman" w:cs="Times New Roman" w:eastAsia="Times New Roman" w:hAnsi="Times New Roman"/>
          <w:sz w:val="18"/>
          <w:szCs w:val="18"/>
          <w:color w:val="auto"/>
        </w:rPr>
        <w:t>On May 29, 2025, the 2026 Notes were exchanged for the 2028 Notes, see 2025 Debt Transactions (the 2028 Notes and the 2028 Convertible Notes). At the time of the exchange, the remaining unamortized debt premium, debt issuance costs, collector fees, and third party legal fees of $2,216 were written off.</w:t>
      </w:r>
    </w:p>
    <w:p>
      <w:pPr>
        <w:spacing w:after="0" w:line="1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143" w:lineRule="exact"/>
        <w:rPr>
          <w:sz w:val="20"/>
          <w:szCs w:val="20"/>
          <w:color w:val="auto"/>
        </w:rPr>
      </w:pPr>
    </w:p>
    <w:p>
      <w:pPr>
        <w:jc w:val="both"/>
        <w:ind w:left="800"/>
        <w:spacing w:after="0" w:line="254"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Convertible Notes”) and received aggregate gross proceeds of $15,600. The 2027 Convertible Notes were senior secured obligations of the Company and were issued at 80.0% of face value. The 2027 Convertible Notes accrued interest in arrears which was payable semi-annually and were scheduled to mature on March 19, 2027. In connection with the offering of the 2027 Convertible Notes, the Company exchanged $5,000 of the Company’s existing 6.0% 2025 Convertible Notes. Through September 30, 2025, 983,604 shares were issued to convert $300 principal.</w:t>
      </w:r>
    </w:p>
    <w:p>
      <w:pPr>
        <w:spacing w:after="0" w:line="117" w:lineRule="exact"/>
        <w:rPr>
          <w:sz w:val="20"/>
          <w:szCs w:val="20"/>
          <w:color w:val="auto"/>
        </w:rPr>
      </w:pPr>
    </w:p>
    <w:p>
      <w:pPr>
        <w:jc w:val="both"/>
        <w:ind w:left="800"/>
        <w:spacing w:after="0" w:line="268" w:lineRule="auto"/>
        <w:rPr>
          <w:sz w:val="20"/>
          <w:szCs w:val="20"/>
          <w:color w:val="auto"/>
        </w:rPr>
      </w:pPr>
      <w:r>
        <w:rPr>
          <w:rFonts w:ascii="Times New Roman" w:cs="Times New Roman" w:eastAsia="Times New Roman" w:hAnsi="Times New Roman"/>
          <w:sz w:val="17"/>
          <w:szCs w:val="17"/>
          <w:color w:val="auto"/>
        </w:rPr>
        <w:t>The principal amount of the 2027 Convertible Notes and the conversion price were denominated in U.S. dollars. As the debt was issued out of the Company's Canadian Holding company, but the functional currency of the Company is US Dollars, the amount of the liability to be settled depends on the applicable foreign exchange rate on the date of settlement. The 2027 Convertible Notes therefore represented an obligation to issue a fixed number of shares for a variable amount of liability. Due to this conversion feature within the 2027 Convertible Notes, the Company was unable to obtain an exception from derivative accounting. Accordingly, this conversion feature was accounted for as an embedded derivative liability and measured at fair value of $2,632 on the date of issuance of debt with a corresponding debt discount and debt issuance costs of $5,952, reflected as a reduction to the carrying value of the 2027 Convertible Notes. The Company fair valued the derivative liability at each balance sheet date. Changes in fair value of the embedded derivative were recognized in the condensed consolidated interim statements of operations and comprehensive loss. The debt discount and debt issuance costs were being amortized over the term of the 2027 Convertible Notes.</w:t>
      </w:r>
    </w:p>
    <w:p>
      <w:pPr>
        <w:spacing w:after="0" w:line="108" w:lineRule="exact"/>
        <w:rPr>
          <w:sz w:val="20"/>
          <w:szCs w:val="20"/>
          <w:color w:val="auto"/>
        </w:rPr>
      </w:pPr>
    </w:p>
    <w:p>
      <w:pPr>
        <w:jc w:val="both"/>
        <w:ind w:left="800"/>
        <w:spacing w:after="0" w:line="278" w:lineRule="auto"/>
        <w:rPr>
          <w:sz w:val="20"/>
          <w:szCs w:val="20"/>
          <w:color w:val="auto"/>
        </w:rPr>
      </w:pPr>
      <w:r>
        <w:rPr>
          <w:rFonts w:ascii="Times New Roman" w:cs="Times New Roman" w:eastAsia="Times New Roman" w:hAnsi="Times New Roman"/>
          <w:sz w:val="18"/>
          <w:szCs w:val="18"/>
          <w:color w:val="auto"/>
        </w:rPr>
        <w:t>On May 29, 2025, the 2027 Convertible Notes were exchanged for the 2028 Notes, see 2025 Debt Transactions (the 2028 Notes and the 2028 Convertible Notes). At the time of the exchange, the remaining unamortized debt discount and debt issuance costs of $3,759 were written off.</w:t>
      </w:r>
    </w:p>
    <w:p>
      <w:pPr>
        <w:spacing w:after="0" w:line="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2025 Convertible Notes</w:t>
      </w:r>
    </w:p>
    <w:p>
      <w:pPr>
        <w:spacing w:after="0" w:line="156" w:lineRule="exact"/>
        <w:rPr>
          <w:sz w:val="20"/>
          <w:szCs w:val="20"/>
          <w:color w:val="auto"/>
        </w:rPr>
      </w:pPr>
    </w:p>
    <w:p>
      <w:pPr>
        <w:jc w:val="both"/>
        <w:ind w:left="800" w:right="20"/>
        <w:spacing w:after="0" w:line="278" w:lineRule="auto"/>
        <w:rPr>
          <w:sz w:val="20"/>
          <w:szCs w:val="20"/>
          <w:color w:val="auto"/>
        </w:rPr>
      </w:pPr>
      <w:r>
        <w:rPr>
          <w:rFonts w:ascii="Times New Roman" w:cs="Times New Roman" w:eastAsia="Times New Roman" w:hAnsi="Times New Roman"/>
          <w:sz w:val="18"/>
          <w:szCs w:val="18"/>
          <w:color w:val="auto"/>
        </w:rPr>
        <w:t>On June 29, 2021, the Company completed an offering of 6.0% Secured Convertible Notes Due 2025 (“2025 Convertible Notes”) for an aggregate principal amount of $74.5 million. The 2025 Convertible Notes were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800"/>
        <w:spacing w:after="0" w:line="251" w:lineRule="auto"/>
        <w:rPr>
          <w:sz w:val="20"/>
          <w:szCs w:val="20"/>
          <w:color w:val="auto"/>
        </w:rPr>
      </w:pPr>
      <w:r>
        <w:rPr>
          <w:rFonts w:ascii="Times New Roman" w:cs="Times New Roman" w:eastAsia="Times New Roman" w:hAnsi="Times New Roman"/>
          <w:sz w:val="18"/>
          <w:szCs w:val="18"/>
          <w:color w:val="auto"/>
        </w:rPr>
        <w:t>senior secured obligations of the Company and accrued interest payable semiannually in arrears and were scheduled to mature on June 29, 2025, unless earlier converted, redeemed, or repurchased. The 2025 Convertible Notes shall be convertible, at the option of the holder, from the date of issuance until the date that is 10 days prior to their maturity date into Common Shares of the Company at a conversion price equal to $6.49 payable on the business day prior to the date of 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 price of the 2025 Convertible Notes at a Redemption Price equal to 100.0% of the principal amount of the 2025 Convertible Notes redeemed, plus accrued but unpaid interest, if any, up to but excluding the Redemption Date.</w:t>
      </w:r>
    </w:p>
    <w:p>
      <w:pPr>
        <w:spacing w:after="0" w:line="111" w:lineRule="exact"/>
        <w:rPr>
          <w:sz w:val="20"/>
          <w:szCs w:val="20"/>
          <w:color w:val="auto"/>
        </w:rPr>
      </w:pPr>
    </w:p>
    <w:p>
      <w:pPr>
        <w:jc w:val="both"/>
        <w:ind w:left="800"/>
        <w:spacing w:after="0" w:line="250" w:lineRule="auto"/>
        <w:rPr>
          <w:sz w:val="20"/>
          <w:szCs w:val="20"/>
          <w:color w:val="auto"/>
        </w:rPr>
      </w:pPr>
      <w:r>
        <w:rPr>
          <w:rFonts w:ascii="Times New Roman" w:cs="Times New Roman" w:eastAsia="Times New Roman" w:hAnsi="Times New Roman"/>
          <w:sz w:val="18"/>
          <w:szCs w:val="18"/>
          <w:color w:val="auto"/>
        </w:rPr>
        <w:t>The 2025 Convertible Notes required interest-only payments until June 29, 2025, at a rate of 6.0% per annum, payable semi-annually in June and December and commencing in December 2021. The 2025 Convertible Notes were schedule to mature on June 29, 2025. The Company incurred financing costs of $3,190 in connection with the 2025 Convertible Notes. The principal amount of the 2025 Convertible Notes and the conversion price were denominated in U.S. dollars. As the debt was issued out of the Company's Canadian Holding company, but the functional currency of the Company is US Dollars, the amount of the liability to be settled depends on the applicable foreign exchange rate on the date of settlement. The 2025 Convertible Notes therefore represent an obligation to issue a fixed number of shares for a variable amount of liability. Due to this conversion feature within the 2025 Convertible Notes, the Company was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2025 Convertible Notes. The Company fair valued the derivative liability at each balance sheet date. Changes in fair value of the embedded derivative were recognized in the condensed consolidated interim statements of operations and comprehensive loss. The debt discount was amortized over the term of the 2025 Convertible Notes.</w:t>
      </w:r>
    </w:p>
    <w:p>
      <w:pPr>
        <w:spacing w:after="0" w:line="128" w:lineRule="exact"/>
        <w:rPr>
          <w:sz w:val="20"/>
          <w:szCs w:val="20"/>
          <w:color w:val="auto"/>
        </w:rPr>
      </w:pPr>
    </w:p>
    <w:p>
      <w:pPr>
        <w:jc w:val="both"/>
        <w:ind w:left="800"/>
        <w:spacing w:after="0" w:line="278" w:lineRule="auto"/>
        <w:rPr>
          <w:sz w:val="20"/>
          <w:szCs w:val="20"/>
          <w:color w:val="auto"/>
        </w:rPr>
      </w:pPr>
      <w:r>
        <w:rPr>
          <w:rFonts w:ascii="Times New Roman" w:cs="Times New Roman" w:eastAsia="Times New Roman" w:hAnsi="Times New Roman"/>
          <w:sz w:val="18"/>
          <w:szCs w:val="18"/>
          <w:color w:val="auto"/>
        </w:rPr>
        <w:t>On May 29, 2025, the 2025 Convertible Notes were exchanged for the 2028 Notes, see 2025 Debt Transactions (the 2028 Notes and the 2028 Convertible Notes). At the time of the exchange, the remaining unamortized finance costs of $973, were written off.</w:t>
      </w:r>
    </w:p>
    <w:p>
      <w:pPr>
        <w:spacing w:after="0" w:line="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236" w:lineRule="exact"/>
        <w:rPr>
          <w:sz w:val="20"/>
          <w:szCs w:val="20"/>
          <w:color w:val="auto"/>
        </w:rPr>
      </w:pPr>
    </w:p>
    <w:p>
      <w:pPr>
        <w:jc w:val="both"/>
        <w:ind w:left="800"/>
        <w:spacing w:after="0" w:line="238" w:lineRule="auto"/>
        <w:rPr>
          <w:sz w:val="20"/>
          <w:szCs w:val="20"/>
          <w:color w:val="auto"/>
        </w:rPr>
      </w:pPr>
      <w:r>
        <w:rPr>
          <w:rFonts w:ascii="Times New Roman" w:cs="Times New Roman" w:eastAsia="Times New Roman" w:hAnsi="Times New Roman"/>
          <w:sz w:val="18"/>
          <w:szCs w:val="18"/>
          <w:color w:val="auto"/>
        </w:rPr>
        <w:t>On January 22, 2024, the Company entered into an exchange agreement, as amended on June 30, 2024 and September 30, 2024 (the “Exchange Agreement”), with certain holders of the Company’s 6.0% senior secured 2025 Convertible Notes (the “Holders”), pursuant to which the Company agreed to the repurchase of up to $25 million principal amount of the 2025 Convertible Notes in exchange for Common Shares (the “January 2024 Debt Exchange”).</w:t>
      </w:r>
    </w:p>
    <w:p>
      <w:pPr>
        <w:spacing w:after="0" w:line="1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154" w:lineRule="exact"/>
        <w:rPr>
          <w:sz w:val="20"/>
          <w:szCs w:val="20"/>
          <w:color w:val="auto"/>
        </w:rPr>
      </w:pPr>
    </w:p>
    <w:p>
      <w:pPr>
        <w:jc w:val="both"/>
        <w:ind w:left="2260" w:hanging="1149"/>
        <w:spacing w:after="0" w:line="263" w:lineRule="auto"/>
        <w:tabs>
          <w:tab w:leader="none" w:pos="22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31, 2024, transfer $5 million principal amount of 2025 Convertible Notes in consideration of Common Shares issued at a price per Common Share equal to the greater of C$0.41 per Common Share and the 12.5% discount to the 5 days volume weighted average price of the Common Shares on Cboe prior to receipt of a Transfer notice;</w:t>
      </w:r>
    </w:p>
    <w:p>
      <w:pPr>
        <w:spacing w:after="0" w:line="95" w:lineRule="exact"/>
        <w:rPr>
          <w:rFonts w:ascii="Times New Roman" w:cs="Times New Roman" w:eastAsia="Times New Roman" w:hAnsi="Times New Roman"/>
          <w:sz w:val="18"/>
          <w:szCs w:val="18"/>
          <w:color w:val="auto"/>
        </w:rPr>
      </w:pPr>
    </w:p>
    <w:p>
      <w:pPr>
        <w:jc w:val="both"/>
        <w:ind w:left="2260" w:hanging="1149"/>
        <w:spacing w:after="0" w:line="263" w:lineRule="auto"/>
        <w:tabs>
          <w:tab w:leader="none" w:pos="22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108" w:lineRule="exact"/>
        <w:rPr>
          <w:rFonts w:ascii="Times New Roman" w:cs="Times New Roman" w:eastAsia="Times New Roman" w:hAnsi="Times New Roman"/>
          <w:sz w:val="18"/>
          <w:szCs w:val="18"/>
          <w:color w:val="auto"/>
        </w:rPr>
      </w:pPr>
    </w:p>
    <w:p>
      <w:pPr>
        <w:jc w:val="both"/>
        <w:ind w:left="2260" w:hanging="1149"/>
        <w:spacing w:after="0" w:line="254" w:lineRule="auto"/>
        <w:tabs>
          <w:tab w:leader="none" w:pos="22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September 30, 2025, (which date the parties extended to December 31, 2024), transfer in three separate equal tranches, an aggregate of $15 million principal amount of 2025 Convertible Notes in consideration of Common Shares issued at a price per Common Share equal to the greater of C$0.57 per Common Share and the 12.5%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60"/>
        <w:spacing w:after="0" w:line="278" w:lineRule="auto"/>
        <w:rPr>
          <w:sz w:val="20"/>
          <w:szCs w:val="20"/>
          <w:color w:val="auto"/>
        </w:rPr>
      </w:pPr>
      <w:r>
        <w:rPr>
          <w:rFonts w:ascii="Times New Roman" w:cs="Times New Roman" w:eastAsia="Times New Roman" w:hAnsi="Times New Roman"/>
          <w:sz w:val="18"/>
          <w:szCs w:val="18"/>
          <w:color w:val="auto"/>
        </w:rPr>
        <w:t>discount to the 5 days volume weighted average price of the Common Shares on Cboe prior to receipt of a Transfer notice, in each case, subject to adjustment in certain instances, on or prior to December 31, 2024.</w:t>
      </w:r>
    </w:p>
    <w:p>
      <w:pPr>
        <w:spacing w:after="0" w:line="162" w:lineRule="exact"/>
        <w:rPr>
          <w:sz w:val="20"/>
          <w:szCs w:val="20"/>
          <w:color w:val="auto"/>
        </w:rPr>
      </w:pPr>
    </w:p>
    <w:p>
      <w:pPr>
        <w:jc w:val="both"/>
        <w:ind w:left="800"/>
        <w:spacing w:after="0" w:line="278" w:lineRule="auto"/>
        <w:rPr>
          <w:sz w:val="20"/>
          <w:szCs w:val="20"/>
          <w:color w:val="auto"/>
        </w:rPr>
      </w:pPr>
      <w:r>
        <w:rPr>
          <w:rFonts w:ascii="Times New Roman" w:cs="Times New Roman" w:eastAsia="Times New Roman" w:hAnsi="Times New Roman"/>
          <w:sz w:val="18"/>
          <w:szCs w:val="18"/>
          <w:color w:val="auto"/>
        </w:rPr>
        <w:t>Through December 31, 2024, $10 million of the potential $25 million exchange had been completed. The term of the Exchange Agreement expired as of January 31, 2025.</w:t>
      </w:r>
    </w:p>
    <w:p>
      <w:pPr>
        <w:spacing w:after="0" w:line="1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2025 Debt Transaction (the 2028 Notes and the 2028 Convertible Notes)</w:t>
      </w:r>
    </w:p>
    <w:p>
      <w:pPr>
        <w:spacing w:after="0" w:line="16" w:lineRule="exact"/>
        <w:rPr>
          <w:sz w:val="20"/>
          <w:szCs w:val="20"/>
          <w:color w:val="auto"/>
        </w:rPr>
      </w:pPr>
    </w:p>
    <w:p>
      <w:pPr>
        <w:jc w:val="both"/>
        <w:ind w:left="800"/>
        <w:spacing w:after="0" w:line="232" w:lineRule="auto"/>
        <w:rPr>
          <w:sz w:val="20"/>
          <w:szCs w:val="20"/>
          <w:color w:val="auto"/>
        </w:rPr>
      </w:pPr>
      <w:r>
        <w:rPr>
          <w:rFonts w:ascii="Times New Roman" w:cs="Times New Roman" w:eastAsia="Times New Roman" w:hAnsi="Times New Roman"/>
          <w:sz w:val="18"/>
          <w:szCs w:val="18"/>
          <w:color w:val="auto"/>
        </w:rPr>
        <w:t>On February 27, 2025, the Company entered into a support agreement (the “Support Agreement”) with certain holders (the “Supporting Noteholders”) of the aggregate principal amount of issued Senior Notes (as defined below) regarding the exchange of their Senior Notes for new notes having a later maturity date and additional covenants (the “2025 Debt Transaction”). The Senior Notes consist of: (i) the 2025 Convertible Notes; (ii) the 2026 Notes; and (iii) the 2027 Notes (together with the 2025 Convertible Notes and the 2026 Notes, the “Senior Notes”). Under the terms of the 2025 Debt Transaction, among other provisions, the holders of the 2025 Convertible Notes and the 2026 Notes exchanged their Senior Notes for an equal principal amount of 9.25% Senior Secured Notes due December 31, 2028 (subject to two six-month extension options available to the Company upon payment of a 0.5% fee, payable in cash) (the “2028 Notes”) and the holders of the 2027 Notes received either (i) an equal principal amount of the 2028 Notes or (ii) if elected, an equal principal amount of newly issued 9.0% convertible notes, which have the same conversion price as the existing 2027 Notes but will the same extended maturity date as the 2028 Notes (the “2028 Convertible Notes”, and together with the 2028 Notes, the “New Notes”).</w:t>
      </w:r>
    </w:p>
    <w:p>
      <w:pPr>
        <w:spacing w:after="0" w:line="213" w:lineRule="exact"/>
        <w:rPr>
          <w:sz w:val="20"/>
          <w:szCs w:val="20"/>
          <w:color w:val="auto"/>
        </w:rPr>
      </w:pPr>
    </w:p>
    <w:p>
      <w:pPr>
        <w:jc w:val="both"/>
        <w:ind w:left="800"/>
        <w:spacing w:after="0" w:line="234" w:lineRule="auto"/>
        <w:rPr>
          <w:sz w:val="20"/>
          <w:szCs w:val="20"/>
          <w:color w:val="auto"/>
        </w:rPr>
      </w:pPr>
      <w:r>
        <w:rPr>
          <w:rFonts w:ascii="Times New Roman" w:cs="Times New Roman" w:eastAsia="Times New Roman" w:hAnsi="Times New Roman"/>
          <w:sz w:val="18"/>
          <w:szCs w:val="18"/>
          <w:color w:val="auto"/>
        </w:rPr>
        <w:t>The 2028 Notes and 2028 Convertible Notes require interest-only payments until December 31, 2028, payable semi-annually in June and December and commencing in December 2025 until maturity. The Company incurred financing costs of $12,155 in connection with the 2025 Debt Transaction. The principal amount of the 2028 Convertible Notes and the conversion price are denominated in U.S. dollars. As the debt was issued out of the Company's Canadian Holding company, but the functional currency of the Company is US Dollars, the amount of the liability to be settled depends on the applicable foreign exchange rate on the date of settlement. The 2028 Convertible Notes therefore represent an obligation to issue a fixed number of shares for a variable amount of liability. Due to this conversion feature within the 2028 Convertible Notes, the Company is unable to obtain an exception from derivative accounting. Accordingly, this conversion feature was accounted for as an embedded derivative liability and measured at fair value of $230 on the date of issuance of debt with a corresponding debt discount, reflected as a reduction to the carrying value of the 2028 Convertible Notes. The Company fair values the derivative liability at each balance sheet date. Changes in fair value of the embedded derivative are recognized in the condensed consolidated interim statements of operations and comprehensive loss. The debt financing costs are amortized over the term of the 2028 Notes and 2028 Convertible Notes.</w:t>
      </w:r>
    </w:p>
    <w:p>
      <w:pPr>
        <w:spacing w:after="0" w:line="228" w:lineRule="exact"/>
        <w:rPr>
          <w:sz w:val="20"/>
          <w:szCs w:val="20"/>
          <w:color w:val="auto"/>
        </w:rPr>
      </w:pPr>
    </w:p>
    <w:p>
      <w:pPr>
        <w:jc w:val="both"/>
        <w:ind w:left="800"/>
        <w:spacing w:after="0" w:line="262" w:lineRule="auto"/>
        <w:rPr>
          <w:sz w:val="20"/>
          <w:szCs w:val="20"/>
          <w:color w:val="auto"/>
        </w:rPr>
      </w:pPr>
      <w:r>
        <w:rPr>
          <w:rFonts w:ascii="Times New Roman" w:cs="Times New Roman" w:eastAsia="Times New Roman" w:hAnsi="Times New Roman"/>
          <w:sz w:val="18"/>
          <w:szCs w:val="18"/>
          <w:color w:val="auto"/>
        </w:rPr>
        <w:t>In addition, as part of the 2025 Debt Transaction, the Company issued 118,209,105 warrants to the Company shareholders on a pro rata basis, see Note 10 Warrants.</w:t>
      </w:r>
    </w:p>
    <w:p>
      <w:pPr>
        <w:spacing w:after="0" w:line="203" w:lineRule="exact"/>
        <w:rPr>
          <w:sz w:val="20"/>
          <w:szCs w:val="20"/>
          <w:color w:val="auto"/>
        </w:rPr>
      </w:pPr>
    </w:p>
    <w:p>
      <w:pPr>
        <w:jc w:val="both"/>
        <w:ind w:left="800"/>
        <w:spacing w:after="0" w:line="247" w:lineRule="auto"/>
        <w:rPr>
          <w:sz w:val="20"/>
          <w:szCs w:val="20"/>
          <w:color w:val="auto"/>
        </w:rPr>
      </w:pPr>
      <w:r>
        <w:rPr>
          <w:rFonts w:ascii="Times New Roman" w:cs="Times New Roman" w:eastAsia="Times New Roman" w:hAnsi="Times New Roman"/>
          <w:sz w:val="18"/>
          <w:szCs w:val="18"/>
          <w:color w:val="auto"/>
        </w:rPr>
        <w:t>The 2028 Notes and 2028 Convertible Notes are secured by a first-priority security interest in all present and after-acquired personal property of the Company, including a pledge of the Equity Interests owned by the Issuer and each Guarantor; and a collateral assignment of leases in respect of certain leasehold property and all of the Company's interests therein as defined in the Amended and Restated Trust Indenture.</w:t>
      </w:r>
    </w:p>
    <w:p>
      <w:pPr>
        <w:spacing w:after="0" w:line="2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Company completed its 2025 Debt Transaction effective May 29, 2025 following receipt of court approval.</w:t>
      </w:r>
    </w:p>
    <w:p>
      <w:pPr>
        <w:spacing w:after="0" w:line="1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143" w:lineRule="exact"/>
        <w:rPr>
          <w:sz w:val="20"/>
          <w:szCs w:val="20"/>
          <w:color w:val="auto"/>
        </w:rPr>
      </w:pPr>
    </w:p>
    <w:p>
      <w:pPr>
        <w:jc w:val="both"/>
        <w:ind w:left="800"/>
        <w:spacing w:after="0" w:line="258" w:lineRule="auto"/>
        <w:rPr>
          <w:sz w:val="20"/>
          <w:szCs w:val="20"/>
          <w:color w:val="auto"/>
        </w:rPr>
      </w:pPr>
      <w:r>
        <w:rPr>
          <w:rFonts w:ascii="Times New Roman" w:cs="Times New Roman" w:eastAsia="Times New Roman" w:hAnsi="Times New Roman"/>
          <w:sz w:val="18"/>
          <w:szCs w:val="18"/>
          <w:color w:val="auto"/>
        </w:rPr>
        <w:t>In December 2021, the Company entered into a term loan and security agreement with a bank. The agreement provides for a $20,000 mortgage on real property in New York and carries interest at a variable rate per annum equal to the Wall Street Prime Rate (“Index”) plus 2.25%. The debt is repayable in 59 monthly installments and a final balloon payment due on January 1, 2027, which is estimated at $17,907 as of September 30, 2025. In connection with this mortgage, the Company incurred financing costs of $655.</w:t>
      </w:r>
    </w:p>
    <w:p>
      <w:pPr>
        <w:spacing w:after="0" w:line="113" w:lineRule="exact"/>
        <w:rPr>
          <w:sz w:val="20"/>
          <w:szCs w:val="20"/>
          <w:color w:val="auto"/>
        </w:rPr>
      </w:pPr>
    </w:p>
    <w:p>
      <w:pPr>
        <w:jc w:val="both"/>
        <w:ind w:left="800"/>
        <w:spacing w:after="0" w:line="258" w:lineRule="auto"/>
        <w:rPr>
          <w:sz w:val="20"/>
          <w:szCs w:val="20"/>
          <w:color w:val="auto"/>
        </w:rPr>
      </w:pPr>
      <w:r>
        <w:rPr>
          <w:rFonts w:ascii="Times New Roman" w:cs="Times New Roman" w:eastAsia="Times New Roman" w:hAnsi="Times New Roman"/>
          <w:sz w:val="18"/>
          <w:szCs w:val="18"/>
          <w:color w:val="auto"/>
        </w:rPr>
        <w:t>In June 2022, the Company entered into a term loan and security agreement with a bank. The agreement provides for a $16,500 mortgage on real property in New Jersey and carries interest at a variable rate per annum equal to the Index plus 2.25%. The debt is repayable in 59 monthly installments and a final balloon payment due on July 15, 2027, which is estimated at $15,536 as of September 30, 2025. In connection with this mortgage, the Company incurred financing costs of $209.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141" w:lineRule="exact"/>
        <w:rPr>
          <w:sz w:val="20"/>
          <w:szCs w:val="20"/>
          <w:color w:val="auto"/>
        </w:rPr>
      </w:pPr>
    </w:p>
    <w:p>
      <w:pPr>
        <w:jc w:val="both"/>
        <w:ind w:left="1620" w:hanging="811"/>
        <w:spacing w:after="0" w:line="258"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first agreement provides for a $6,250 mortgage on real property in Maryland and carries interest at a variable rate per annum equal to the Index plus 2.25%. The debt is repayable in 59 monthly installments and a final balloon payment due on September 1, 2028, which is estimated at $5,892 as of September 30, 2025. In connection with this mortgage, the Company incurred financing costs of $195 and netted $2,903 after the repayment of a prior outstanding mortgage on the property.</w:t>
      </w:r>
    </w:p>
    <w:p>
      <w:pPr>
        <w:spacing w:after="0" w:line="113" w:lineRule="exact"/>
        <w:rPr>
          <w:rFonts w:ascii="Times New Roman" w:cs="Times New Roman" w:eastAsia="Times New Roman" w:hAnsi="Times New Roman"/>
          <w:sz w:val="18"/>
          <w:szCs w:val="18"/>
          <w:color w:val="auto"/>
        </w:rPr>
      </w:pPr>
    </w:p>
    <w:p>
      <w:pPr>
        <w:jc w:val="both"/>
        <w:ind w:left="1620" w:hanging="811"/>
        <w:spacing w:after="0" w:line="258" w:lineRule="auto"/>
        <w:tabs>
          <w:tab w:leader="none" w:pos="1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second agreement provides for a $1,800 mortgage on real property in Delaware and carries interest at a variable rate per annum equal to the Index plus 2.25%. The debt was repayable in 59 monthly installments and matures in August 2028. In connection with this mortgage</w:t>
      </w:r>
      <w:r>
        <w:rPr>
          <w:rFonts w:ascii="Times New Roman" w:cs="Times New Roman" w:eastAsia="Times New Roman" w:hAnsi="Times New Roman"/>
          <w:sz w:val="18"/>
          <w:szCs w:val="18"/>
          <w:color w:val="000000"/>
        </w:rPr>
        <w:t>, the Company incurred financing costs of $77 and netted $1,723. The mortgage was paid in full on January 15,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with the sale of the property.</w:t>
      </w:r>
    </w:p>
    <w:p>
      <w:pPr>
        <w:spacing w:after="0" w:line="113"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Total interest and amortization expense on the Company’s debt obligations during the three and nine months ended September 30, 2025 and 2024 are as follows:</w:t>
      </w:r>
    </w:p>
    <w:p>
      <w:pPr>
        <w:spacing w:after="0" w:line="125" w:lineRule="exact"/>
        <w:rPr>
          <w:sz w:val="20"/>
          <w:szCs w:val="20"/>
          <w:color w:val="auto"/>
        </w:rPr>
      </w:pPr>
    </w:p>
    <w:tbl>
      <w:tblPr>
        <w:tblLayout w:type="fixed"/>
        <w:tblInd w:w="400" w:type="dxa"/>
        <w:tblCellMar>
          <w:top w:w="0" w:type="dxa"/>
          <w:left w:w="0" w:type="dxa"/>
          <w:bottom w:w="0" w:type="dxa"/>
          <w:right w:w="0" w:type="dxa"/>
        </w:tblCellMar>
      </w:tblPr>
      <w:tr>
        <w:trPr>
          <w:trHeight w:val="214"/>
        </w:trPr>
        <w:tc>
          <w:tcPr>
            <w:tcW w:w="29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00" w:type="dxa"/>
            <w:vAlign w:val="bottom"/>
            <w:tcBorders>
              <w:bottom w:val="single" w:sz="8" w:color="auto"/>
            </w:tcBorders>
          </w:tcPr>
          <w:p>
            <w:pPr>
              <w:spacing w:after="0"/>
              <w:rPr>
                <w:sz w:val="18"/>
                <w:szCs w:val="18"/>
                <w:color w:val="auto"/>
              </w:rPr>
            </w:pPr>
          </w:p>
        </w:tc>
      </w:tr>
      <w:tr>
        <w:trPr>
          <w:trHeight w:val="207"/>
        </w:trPr>
        <w:tc>
          <w:tcPr>
            <w:tcW w:w="296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0"/>
        </w:trPr>
        <w:tc>
          <w:tcPr>
            <w:tcW w:w="296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4"/>
        </w:trPr>
        <w:tc>
          <w:tcPr>
            <w:tcW w:w="2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440" w:type="dxa"/>
            <w:vAlign w:val="bottom"/>
            <w:tcBorders>
              <w:bottom w:val="single" w:sz="8" w:color="CFF0FC"/>
            </w:tcBorders>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7,380</w:t>
            </w:r>
          </w:p>
        </w:tc>
        <w:tc>
          <w:tcPr>
            <w:tcW w:w="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7,595</w:t>
            </w:r>
          </w:p>
        </w:tc>
        <w:tc>
          <w:tcPr>
            <w:tcW w:w="1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21,361</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5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22,308</w:t>
            </w:r>
          </w:p>
        </w:tc>
      </w:tr>
      <w:tr>
        <w:trPr>
          <w:trHeight w:val="209"/>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w:t>
            </w:r>
          </w:p>
        </w:tc>
      </w:tr>
      <w:tr>
        <w:trPr>
          <w:trHeight w:val="32"/>
        </w:trPr>
        <w:tc>
          <w:tcPr>
            <w:tcW w:w="2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1"/>
        </w:trPr>
        <w:tc>
          <w:tcPr>
            <w:tcW w:w="2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4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2,780</w:t>
            </w:r>
          </w:p>
        </w:tc>
      </w:tr>
      <w:tr>
        <w:trPr>
          <w:trHeight w:val="209"/>
        </w:trPr>
        <w:tc>
          <w:tcPr>
            <w:tcW w:w="2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interest expense (income), net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32"/>
        </w:trPr>
        <w:tc>
          <w:tcPr>
            <w:tcW w:w="2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9"/>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interest expense, net</w:t>
            </w:r>
          </w:p>
        </w:tc>
        <w:tc>
          <w:tcPr>
            <w:tcW w:w="440" w:type="dxa"/>
            <w:vAlign w:val="bottom"/>
            <w:tcBorders>
              <w:bottom w:val="single" w:sz="8" w:color="CCEEFF"/>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9,744</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32,124</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28,494</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5015230</wp:posOffset>
            </wp:positionH>
            <wp:positionV relativeFrom="paragraph">
              <wp:posOffset>-814705</wp:posOffset>
            </wp:positionV>
            <wp:extent cx="135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5890" cy="8255"/>
                    </a:xfrm>
                    <a:prstGeom prst="rect">
                      <a:avLst/>
                    </a:prstGeom>
                    <a:noFill/>
                  </pic:spPr>
                </pic:pic>
              </a:graphicData>
            </a:graphic>
          </wp:anchor>
        </w:drawing>
        <w:drawing>
          <wp:anchor simplePos="0" relativeHeight="251657728" behindDoc="1" locked="0" layoutInCell="0" allowOverlap="1">
            <wp:simplePos x="0" y="0"/>
            <wp:positionH relativeFrom="column">
              <wp:posOffset>3044825</wp:posOffset>
            </wp:positionH>
            <wp:positionV relativeFrom="paragraph">
              <wp:posOffset>-814705</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weighted average interest rate on the Company’s indebtedness was 9.23%.</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Details of the Company’s property and equipment and related depreciation expense are summarized in the tables below:</w:t>
      </w:r>
    </w:p>
    <w:p>
      <w:pPr>
        <w:spacing w:after="0" w:line="197" w:lineRule="exact"/>
        <w:rPr>
          <w:sz w:val="20"/>
          <w:szCs w:val="20"/>
          <w:color w:val="auto"/>
        </w:rPr>
      </w:pPr>
    </w:p>
    <w:tbl>
      <w:tblPr>
        <w:tblLayout w:type="fixed"/>
        <w:tblInd w:w="740" w:type="dxa"/>
        <w:tblCellMar>
          <w:top w:w="0" w:type="dxa"/>
          <w:left w:w="0" w:type="dxa"/>
          <w:bottom w:w="0" w:type="dxa"/>
          <w:right w:w="0" w:type="dxa"/>
        </w:tblCellMar>
      </w:tblPr>
      <w:tr>
        <w:trPr>
          <w:trHeight w:val="211"/>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6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2"/>
        </w:trPr>
        <w:tc>
          <w:tcPr>
            <w:tcW w:w="59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4"/>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Land and buildings</w:t>
            </w:r>
          </w:p>
        </w:tc>
        <w:tc>
          <w:tcPr>
            <w:tcW w:w="20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109,052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115,277</w:t>
            </w:r>
          </w:p>
        </w:tc>
      </w:tr>
      <w:tr>
        <w:trPr>
          <w:trHeight w:val="209"/>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6,804</w:t>
            </w:r>
          </w:p>
        </w:tc>
      </w:tr>
      <w:tr>
        <w:trPr>
          <w:trHeight w:val="32"/>
        </w:trPr>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1"/>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2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30,966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34,367</w:t>
            </w:r>
          </w:p>
        </w:tc>
      </w:tr>
      <w:tr>
        <w:trPr>
          <w:trHeight w:val="209"/>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Computers and software</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r>
      <w:tr>
        <w:trPr>
          <w:trHeight w:val="32"/>
        </w:trPr>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1"/>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151,460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155,529</w:t>
            </w:r>
          </w:p>
        </w:tc>
      </w:tr>
      <w:tr>
        <w:trPr>
          <w:trHeight w:val="209"/>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6,565</w:t>
            </w:r>
          </w:p>
        </w:tc>
      </w:tr>
      <w:tr>
        <w:trPr>
          <w:trHeight w:val="32"/>
        </w:trPr>
        <w:tc>
          <w:tcPr>
            <w:tcW w:w="59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4"/>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gross</w:t>
            </w:r>
          </w:p>
        </w:tc>
        <w:tc>
          <w:tcPr>
            <w:tcW w:w="20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301,583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320,905</w:t>
            </w:r>
          </w:p>
        </w:tc>
      </w:tr>
      <w:tr>
        <w:trPr>
          <w:trHeight w:val="209"/>
        </w:trPr>
        <w:tc>
          <w:tcPr>
            <w:tcW w:w="5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(92,509)</w:t>
            </w:r>
          </w:p>
        </w:tc>
      </w:tr>
      <w:tr>
        <w:trPr>
          <w:trHeight w:val="32"/>
        </w:trPr>
        <w:tc>
          <w:tcPr>
            <w:tcW w:w="59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6"/>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b w:val="1"/>
                <w:bCs w:val="1"/>
                <w:color w:val="auto"/>
              </w:rPr>
              <w:t>Total property and equipment, net</w:t>
            </w:r>
          </w:p>
        </w:tc>
        <w:tc>
          <w:tcPr>
            <w:tcW w:w="20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209,043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228,396</w:t>
            </w:r>
          </w:p>
        </w:tc>
      </w:tr>
      <w:tr>
        <w:trPr>
          <w:trHeight w:val="20"/>
        </w:trPr>
        <w:tc>
          <w:tcPr>
            <w:tcW w:w="5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7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620" w:type="dxa"/>
            <w:vAlign w:val="bottom"/>
            <w:tcBorders>
              <w:top w:val="single" w:sz="8" w:color="CFF0FC"/>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760" w:type="dxa"/>
        <w:tblCellMar>
          <w:top w:w="0" w:type="dxa"/>
          <w:left w:w="0" w:type="dxa"/>
          <w:bottom w:w="0" w:type="dxa"/>
          <w:right w:w="0" w:type="dxa"/>
        </w:tblCellMar>
      </w:tblPr>
      <w:tr>
        <w:trPr>
          <w:trHeight w:val="211"/>
        </w:trPr>
        <w:tc>
          <w:tcPr>
            <w:tcW w:w="2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32"/>
        </w:trPr>
        <w:tc>
          <w:tcPr>
            <w:tcW w:w="284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840" w:type="dxa"/>
            <w:vAlign w:val="bottom"/>
          </w:tcPr>
          <w:p>
            <w:pPr>
              <w:spacing w:after="0"/>
              <w:rPr>
                <w:sz w:val="17"/>
                <w:szCs w:val="17"/>
                <w:color w:val="auto"/>
              </w:rPr>
            </w:pPr>
          </w:p>
        </w:tc>
        <w:tc>
          <w:tcPr>
            <w:tcW w:w="158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Total depreciation expense for three and</w:t>
            </w:r>
          </w:p>
        </w:tc>
        <w:tc>
          <w:tcPr>
            <w:tcW w:w="460" w:type="dxa"/>
            <w:vAlign w:val="bottom"/>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10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8,314</w:t>
            </w:r>
          </w:p>
        </w:tc>
        <w:tc>
          <w:tcPr>
            <w:tcW w:w="100" w:type="dxa"/>
            <w:vAlign w:val="bottom"/>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13,692</w:t>
            </w:r>
          </w:p>
        </w:tc>
        <w:tc>
          <w:tcPr>
            <w:tcW w:w="34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23,589</w:t>
            </w:r>
          </w:p>
        </w:tc>
        <w:tc>
          <w:tcPr>
            <w:tcW w:w="0" w:type="dxa"/>
            <w:vAlign w:val="bottom"/>
          </w:tcPr>
          <w:p>
            <w:pPr>
              <w:spacing w:after="0"/>
              <w:rPr>
                <w:sz w:val="1"/>
                <w:szCs w:val="1"/>
                <w:color w:val="auto"/>
              </w:rPr>
            </w:pPr>
          </w:p>
        </w:tc>
      </w:tr>
      <w:tr>
        <w:trPr>
          <w:trHeight w:val="228"/>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nine months ended</w:t>
            </w:r>
          </w:p>
        </w:tc>
        <w:tc>
          <w:tcPr>
            <w:tcW w:w="46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56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58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Included in:</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Costs of sales related to inventory</w:t>
            </w:r>
          </w:p>
        </w:tc>
        <w:tc>
          <w:tcPr>
            <w:tcW w:w="460" w:type="dxa"/>
            <w:vAlign w:val="bottom"/>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10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5,216</w:t>
            </w:r>
          </w:p>
        </w:tc>
        <w:tc>
          <w:tcPr>
            <w:tcW w:w="10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8,904</w:t>
            </w:r>
          </w:p>
        </w:tc>
        <w:tc>
          <w:tcPr>
            <w:tcW w:w="34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0" w:type="dxa"/>
            <w:vAlign w:val="bottom"/>
          </w:tcPr>
          <w:p>
            <w:pPr>
              <w:spacing w:after="0"/>
              <w:rPr>
                <w:sz w:val="1"/>
                <w:szCs w:val="1"/>
                <w:color w:val="auto"/>
              </w:rPr>
            </w:pPr>
          </w:p>
        </w:tc>
      </w:tr>
      <w:tr>
        <w:trPr>
          <w:trHeight w:val="228"/>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production</w:t>
            </w:r>
          </w:p>
        </w:tc>
        <w:tc>
          <w:tcPr>
            <w:tcW w:w="46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56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58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6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tcPr>
          <w:p>
            <w:pPr>
              <w:spacing w:after="0"/>
              <w:rPr>
                <w:sz w:val="16"/>
                <w:szCs w:val="16"/>
                <w:color w:val="auto"/>
              </w:rPr>
            </w:pPr>
          </w:p>
        </w:tc>
        <w:tc>
          <w:tcPr>
            <w:tcW w:w="860" w:type="dxa"/>
            <w:vAlign w:val="bottom"/>
            <w:vMerge w:val="restart"/>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3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8,807</w:t>
            </w:r>
          </w:p>
        </w:tc>
        <w:tc>
          <w:tcPr>
            <w:tcW w:w="0" w:type="dxa"/>
            <w:vAlign w:val="bottom"/>
          </w:tcPr>
          <w:p>
            <w:pPr>
              <w:spacing w:after="0"/>
              <w:rPr>
                <w:sz w:val="1"/>
                <w:szCs w:val="1"/>
                <w:color w:val="auto"/>
              </w:rPr>
            </w:pPr>
          </w:p>
        </w:tc>
      </w:tr>
      <w:tr>
        <w:trPr>
          <w:trHeight w:val="209"/>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expenses</w:t>
            </w:r>
          </w:p>
        </w:tc>
        <w:tc>
          <w:tcPr>
            <w:tcW w:w="4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prepaid expenses and other current assets are summarized in the table below:</w:t>
      </w:r>
    </w:p>
    <w:p>
      <w:pPr>
        <w:spacing w:after="0" w:line="183" w:lineRule="exact"/>
        <w:rPr>
          <w:sz w:val="20"/>
          <w:szCs w:val="20"/>
          <w:color w:val="auto"/>
        </w:rPr>
      </w:pPr>
    </w:p>
    <w:tbl>
      <w:tblPr>
        <w:tblLayout w:type="fixed"/>
        <w:tblInd w:w="800" w:type="dxa"/>
        <w:tblCellMar>
          <w:top w:w="0" w:type="dxa"/>
          <w:left w:w="0" w:type="dxa"/>
          <w:bottom w:w="0" w:type="dxa"/>
          <w:right w:w="0" w:type="dxa"/>
        </w:tblCellMar>
      </w:tblPr>
      <w:tr>
        <w:trPr>
          <w:trHeight w:val="211"/>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16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2"/>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8,719</w:t>
            </w: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 term deposits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32"/>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Excise and sales tax receivable</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32"/>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NON-CURRENT ASSETS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other non-current assets are summarized in the table below:</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11"/>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16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2"/>
        </w:trPr>
        <w:tc>
          <w:tcPr>
            <w:tcW w:w="59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4"/>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 term deposits</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8,604</w:t>
            </w:r>
          </w:p>
        </w:tc>
      </w:tr>
      <w:tr>
        <w:trPr>
          <w:trHeight w:val="209"/>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tax receivable</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r>
      <w:tr>
        <w:trPr>
          <w:trHeight w:val="32"/>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1"/>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in affiliates</w:t>
            </w:r>
          </w:p>
        </w:tc>
        <w:tc>
          <w:tcPr>
            <w:tcW w:w="1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09"/>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w:t>
            </w:r>
          </w:p>
        </w:tc>
      </w:tr>
      <w:tr>
        <w:trPr>
          <w:trHeight w:val="32"/>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Company’s accrued expenses and other current liabilities are summarized in the table below:</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211"/>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Pr>
          <w:p>
            <w:pPr>
              <w:spacing w:after="0"/>
              <w:rPr>
                <w:sz w:val="18"/>
                <w:szCs w:val="18"/>
                <w:color w:val="auto"/>
              </w:rPr>
            </w:pPr>
          </w:p>
        </w:tc>
        <w:tc>
          <w:tcPr>
            <w:tcW w:w="160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2"/>
        </w:trPr>
        <w:tc>
          <w:tcPr>
            <w:tcW w:w="70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4"/>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Taxes - property and other</w:t>
            </w:r>
          </w:p>
        </w:tc>
        <w:tc>
          <w:tcPr>
            <w:tcW w:w="22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4,912</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13,477</w:t>
            </w:r>
          </w:p>
        </w:tc>
      </w:tr>
      <w:tr>
        <w:trPr>
          <w:trHeight w:val="32"/>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1"/>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Payroll liabilities</w:t>
            </w:r>
          </w:p>
        </w:tc>
        <w:tc>
          <w:tcPr>
            <w:tcW w:w="22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8,938</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10,709</w:t>
            </w: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w:t>
            </w:r>
          </w:p>
        </w:tc>
      </w:tr>
      <w:tr>
        <w:trPr>
          <w:trHeight w:val="32"/>
        </w:trPr>
        <w:tc>
          <w:tcPr>
            <w:tcW w:w="70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9"/>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tc>
        <w:tc>
          <w:tcPr>
            <w:tcW w:w="22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24,848</w:t>
            </w: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32,839</w:t>
            </w:r>
          </w:p>
        </w:tc>
      </w:tr>
      <w:tr>
        <w:trPr>
          <w:trHeight w:val="20"/>
        </w:trPr>
        <w:tc>
          <w:tcPr>
            <w:tcW w:w="70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activity during the three and nine months ended September 30, 2025:</w:t>
      </w:r>
    </w:p>
    <w:p>
      <w:pPr>
        <w:spacing w:after="0" w:line="47" w:lineRule="exact"/>
        <w:rPr>
          <w:sz w:val="20"/>
          <w:szCs w:val="20"/>
          <w:color w:val="auto"/>
        </w:rPr>
      </w:pPr>
    </w:p>
    <w:p>
      <w:pPr>
        <w:ind w:left="1520" w:hanging="791"/>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Cancelled 93,662 of Restricted Stock Units (RSUs) during the nine months ended September 30, 2025.</w:t>
      </w:r>
    </w:p>
    <w:p>
      <w:pPr>
        <w:spacing w:after="0" w:line="194" w:lineRule="exact"/>
        <w:rPr>
          <w:rFonts w:ascii="Times New Roman" w:cs="Times New Roman" w:eastAsia="Times New Roman" w:hAnsi="Times New Roman"/>
          <w:sz w:val="18"/>
          <w:szCs w:val="18"/>
          <w:color w:val="auto"/>
        </w:rPr>
      </w:pPr>
    </w:p>
    <w:p>
      <w:pPr>
        <w:ind w:left="1520" w:hanging="791"/>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6,872,394 common shares upon vesting of Restricted Stock Units (RSUs).</w:t>
      </w:r>
    </w:p>
    <w:p>
      <w:pPr>
        <w:spacing w:after="0" w:line="154" w:lineRule="exact"/>
        <w:rPr>
          <w:rFonts w:ascii="Times New Roman" w:cs="Times New Roman" w:eastAsia="Times New Roman" w:hAnsi="Times New Roman"/>
          <w:sz w:val="18"/>
          <w:szCs w:val="18"/>
          <w:color w:val="auto"/>
        </w:rPr>
      </w:pPr>
    </w:p>
    <w:p>
      <w:pPr>
        <w:ind w:left="1520" w:hanging="791"/>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19,328,305 common shares in connection with the 2028 Convertible Notes.</w:t>
      </w:r>
    </w:p>
    <w:p>
      <w:pPr>
        <w:spacing w:after="0" w:line="2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58"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2025 and December 31, 2024, outstanding warrants to purchase Common Shares consisted of the following:</w:t>
      </w:r>
    </w:p>
    <w:p>
      <w:pPr>
        <w:spacing w:after="0" w:line="183" w:lineRule="exact"/>
        <w:rPr>
          <w:sz w:val="20"/>
          <w:szCs w:val="20"/>
          <w:color w:val="auto"/>
        </w:rPr>
      </w:pPr>
    </w:p>
    <w:tbl>
      <w:tblPr>
        <w:tblLayout w:type="fixed"/>
        <w:tblInd w:w="760" w:type="dxa"/>
        <w:tblCellMar>
          <w:top w:w="0" w:type="dxa"/>
          <w:left w:w="0" w:type="dxa"/>
          <w:bottom w:w="0" w:type="dxa"/>
          <w:right w:w="0" w:type="dxa"/>
        </w:tblCellMar>
      </w:tblPr>
      <w:tr>
        <w:trPr>
          <w:trHeight w:val="211"/>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180" w:type="dxa"/>
            <w:vAlign w:val="bottom"/>
            <w:gridSpan w:val="4"/>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2"/>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8"/>
        </w:trPr>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jc w:val="right"/>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80"/>
              <w:spacing w:after="0" w:line="178"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right"/>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80"/>
              <w:spacing w:after="0" w:line="178" w:lineRule="exact"/>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211"/>
        </w:trPr>
        <w:tc>
          <w:tcPr>
            <w:tcW w:w="3260" w:type="dxa"/>
            <w:vAlign w:val="bottom"/>
            <w:gridSpan w:val="2"/>
          </w:tcPr>
          <w:p>
            <w:pPr>
              <w:ind w:left="12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Issued and Exercisable</w:t>
            </w:r>
          </w:p>
        </w:tc>
        <w:tc>
          <w:tcPr>
            <w:tcW w:w="10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(Canadian Dollars)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Issued and Exercisable</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(Canadian Dollars)</w:t>
            </w:r>
          </w:p>
        </w:tc>
      </w:tr>
      <w:tr>
        <w:trPr>
          <w:trHeight w:val="32"/>
        </w:trPr>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4"/>
        </w:trPr>
        <w:tc>
          <w:tcPr>
            <w:tcW w:w="3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21, 2026</w:t>
            </w:r>
          </w:p>
        </w:tc>
        <w:tc>
          <w:tcPr>
            <w:tcW w:w="1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11,122,105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11,122,105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1, 2025</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648,783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32"/>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1"/>
        </w:trPr>
        <w:tc>
          <w:tcPr>
            <w:tcW w:w="32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May 29, 2027</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118,246,947</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130,017,835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11,770,888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3"/>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Warrant activity for the nine months ended September 30, 2025 and 2024 are summarized in the table below:</w:t>
      </w:r>
    </w:p>
    <w:p>
      <w:pPr>
        <w:spacing w:after="0" w:line="183" w:lineRule="exact"/>
        <w:rPr>
          <w:sz w:val="20"/>
          <w:szCs w:val="20"/>
          <w:color w:val="auto"/>
        </w:rPr>
      </w:pPr>
    </w:p>
    <w:tbl>
      <w:tblPr>
        <w:tblLayout w:type="fixed"/>
        <w:tblInd w:w="112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6"/>
                <w:szCs w:val="16"/>
                <w:color w:val="auto"/>
              </w:rPr>
            </w:pPr>
          </w:p>
        </w:tc>
        <w:tc>
          <w:tcPr>
            <w:tcW w:w="14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74"/>
        </w:trPr>
        <w:tc>
          <w:tcPr>
            <w:tcW w:w="59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center"/>
              <w:ind w:right="20"/>
              <w:spacing w:after="0" w:line="174" w:lineRule="exact"/>
              <w:rPr>
                <w:sz w:val="20"/>
                <w:szCs w:val="20"/>
                <w:color w:val="auto"/>
              </w:rPr>
            </w:pPr>
            <w:r>
              <w:rPr>
                <w:rFonts w:ascii="Times New Roman" w:cs="Times New Roman" w:eastAsia="Times New Roman" w:hAnsi="Times New Roman"/>
                <w:sz w:val="16"/>
                <w:szCs w:val="16"/>
                <w:b w:val="1"/>
                <w:bCs w:val="1"/>
                <w:color w:val="auto"/>
                <w:w w:val="99"/>
              </w:rPr>
              <w:t>exercise price</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80" w:type="dxa"/>
            <w:vAlign w:val="bottom"/>
          </w:tcPr>
          <w:p>
            <w:pPr>
              <w:spacing w:after="0"/>
              <w:rPr>
                <w:sz w:val="22"/>
                <w:szCs w:val="22"/>
                <w:color w:val="auto"/>
              </w:rPr>
            </w:pPr>
          </w:p>
        </w:tc>
        <w:tc>
          <w:tcPr>
            <w:tcW w:w="14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(Canadian Dollars)</w:t>
            </w:r>
          </w:p>
        </w:tc>
        <w:tc>
          <w:tcPr>
            <w:tcW w:w="0" w:type="dxa"/>
            <w:vAlign w:val="bottom"/>
          </w:tcPr>
          <w:p>
            <w:pPr>
              <w:spacing w:after="0"/>
              <w:rPr>
                <w:sz w:val="1"/>
                <w:szCs w:val="1"/>
                <w:color w:val="auto"/>
              </w:rPr>
            </w:pPr>
          </w:p>
        </w:tc>
      </w:tr>
      <w:tr>
        <w:trPr>
          <w:trHeight w:val="214"/>
        </w:trPr>
        <w:tc>
          <w:tcPr>
            <w:tcW w:w="5940" w:type="dxa"/>
            <w:vAlign w:val="bottom"/>
            <w:tcBorders>
              <w:top w:val="single" w:sz="8" w:color="CCEEFF"/>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4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17,165,833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Issued</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
        </w:trPr>
        <w:tc>
          <w:tcPr>
            <w:tcW w:w="5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Expired</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(5,394,945)</w:t>
            </w: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11,770,888</w:t>
            </w:r>
          </w:p>
        </w:tc>
        <w:tc>
          <w:tcPr>
            <w:tcW w:w="1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32"/>
        </w:trPr>
        <w:tc>
          <w:tcPr>
            <w:tcW w:w="5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59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40" w:type="dxa"/>
            <w:vAlign w:val="bottom"/>
            <w:tcBorders>
              <w:top w:val="single" w:sz="8" w:color="CCEEFF"/>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4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11,770,888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Issued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118,246,947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32"/>
        </w:trPr>
        <w:tc>
          <w:tcPr>
            <w:tcW w:w="5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Expired</w:t>
            </w:r>
          </w:p>
        </w:tc>
        <w:tc>
          <w:tcPr>
            <w:tcW w:w="1580" w:type="dxa"/>
            <w:vAlign w:val="bottom"/>
            <w:tcBorders>
              <w:bottom w:val="single" w:sz="8" w:color="CFF0FC"/>
            </w:tcBorders>
            <w:gridSpan w:val="2"/>
            <w:shd w:val="clear" w:color="auto" w:fill="CFF0FC"/>
          </w:tcPr>
          <w:p>
            <w:pPr>
              <w:ind w:left="1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130,017,835</w:t>
            </w:r>
          </w:p>
        </w:tc>
        <w:tc>
          <w:tcPr>
            <w:tcW w:w="1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32"/>
        </w:trPr>
        <w:tc>
          <w:tcPr>
            <w:tcW w:w="5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00" w:hanging="293"/>
        <w:spacing w:after="0"/>
        <w:tabs>
          <w:tab w:leader="none" w:pos="3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58"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the Company was calculated as follows:</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4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20" w:type="dxa"/>
            <w:vAlign w:val="bottom"/>
            <w:tcBorders>
              <w:bottom w:val="single" w:sz="8" w:color="auto"/>
            </w:tcBorders>
          </w:tcPr>
          <w:p>
            <w:pPr>
              <w:spacing w:after="0"/>
              <w:rPr>
                <w:sz w:val="18"/>
                <w:szCs w:val="18"/>
                <w:color w:val="auto"/>
              </w:rPr>
            </w:pPr>
          </w:p>
        </w:tc>
      </w:tr>
      <w:tr>
        <w:trPr>
          <w:trHeight w:val="207"/>
        </w:trPr>
        <w:tc>
          <w:tcPr>
            <w:tcW w:w="456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0"/>
        </w:trPr>
        <w:tc>
          <w:tcPr>
            <w:tcW w:w="45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r>
      <w:tr>
        <w:trPr>
          <w:trHeight w:val="209"/>
        </w:trPr>
        <w:tc>
          <w:tcPr>
            <w:tcW w:w="4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(14,655)</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(124,247)</w:t>
            </w:r>
          </w:p>
        </w:tc>
        <w:tc>
          <w:tcPr>
            <w:tcW w:w="100" w:type="dxa"/>
            <w:vAlign w:val="bottom"/>
          </w:tcPr>
          <w:p>
            <w:pPr>
              <w:spacing w:after="0"/>
              <w:rPr>
                <w:sz w:val="18"/>
                <w:szCs w:val="18"/>
                <w:color w:val="auto"/>
              </w:rPr>
            </w:pPr>
          </w:p>
        </w:tc>
        <w:tc>
          <w:tcPr>
            <w:tcW w:w="62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(49,974)</w:t>
            </w:r>
          </w:p>
        </w:tc>
      </w:tr>
      <w:tr>
        <w:trPr>
          <w:trHeight w:val="32"/>
        </w:trPr>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4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net profit attributable to non-controlling interests</w:t>
            </w:r>
          </w:p>
        </w:tc>
        <w:tc>
          <w:tcPr>
            <w:tcW w:w="3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3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w:t>
            </w:r>
          </w:p>
        </w:tc>
      </w:tr>
      <w:tr>
        <w:trPr>
          <w:trHeight w:val="202"/>
        </w:trPr>
        <w:tc>
          <w:tcPr>
            <w:tcW w:w="4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 attributable to shareholders</w:t>
            </w:r>
          </w:p>
        </w:tc>
        <w:tc>
          <w:tcPr>
            <w:tcW w:w="3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(14,261)</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3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(124,346)</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(51,274)</w:t>
            </w:r>
          </w:p>
        </w:tc>
      </w:tr>
      <w:tr>
        <w:trPr>
          <w:trHeight w:val="32"/>
        </w:trPr>
        <w:tc>
          <w:tcPr>
            <w:tcW w:w="4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5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4"/>
        </w:trPr>
        <w:tc>
          <w:tcPr>
            <w:tcW w:w="45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r>
        <w:trPr>
          <w:trHeight w:val="209"/>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2"/>
        </w:trPr>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3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499,218,628</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470,552,039</w:t>
            </w:r>
          </w:p>
        </w:tc>
        <w:tc>
          <w:tcPr>
            <w:tcW w:w="3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485,743,942</w:t>
            </w: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458,988,976</w:t>
            </w:r>
          </w:p>
        </w:tc>
      </w:tr>
      <w:tr>
        <w:trPr>
          <w:trHeight w:val="202"/>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3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7"/>
                <w:szCs w:val="17"/>
                <w:color w:val="auto"/>
              </w:rPr>
            </w:pPr>
          </w:p>
        </w:tc>
        <w:tc>
          <w:tcPr>
            <w:tcW w:w="62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32"/>
        </w:trPr>
        <w:tc>
          <w:tcPr>
            <w:tcW w:w="4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-661670</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-661670</wp:posOffset>
            </wp:positionV>
            <wp:extent cx="596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-1307465</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4012565</wp:posOffset>
            </wp:positionH>
            <wp:positionV relativeFrom="paragraph">
              <wp:posOffset>-1307465</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320"/>
        <w:spacing w:after="0" w:line="278" w:lineRule="auto"/>
        <w:rPr>
          <w:sz w:val="20"/>
          <w:szCs w:val="20"/>
          <w:color w:val="auto"/>
        </w:rPr>
      </w:pPr>
      <w:r>
        <w:rPr>
          <w:rFonts w:ascii="Times New Roman" w:cs="Times New Roman" w:eastAsia="Times New Roman" w:hAnsi="Times New Roman"/>
          <w:sz w:val="18"/>
          <w:szCs w:val="18"/>
          <w:color w:val="auto"/>
        </w:rPr>
        <w:t>Certain share-based equity awards were excluded from the computation of dilutive loss per share because inclusion of these awards would have had an anti-dilutive effect.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hanging="313"/>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58" w:lineRule="exact"/>
        <w:rPr>
          <w:rFonts w:ascii="Times New Roman" w:cs="Times New Roman" w:eastAsia="Times New Roman" w:hAnsi="Times New Roman"/>
          <w:sz w:val="18"/>
          <w:szCs w:val="18"/>
          <w:b w:val="1"/>
          <w:bCs w:val="1"/>
          <w:color w:val="auto"/>
        </w:rPr>
      </w:pPr>
    </w:p>
    <w:p>
      <w:pPr>
        <w:jc w:val="both"/>
        <w:ind w:left="3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w:t>
      </w:r>
    </w:p>
    <w:p>
      <w:pPr>
        <w:spacing w:after="0" w:line="103" w:lineRule="exact"/>
        <w:rPr>
          <w:rFonts w:ascii="Times New Roman" w:cs="Times New Roman" w:eastAsia="Times New Roman" w:hAnsi="Times New Roman"/>
          <w:sz w:val="18"/>
          <w:szCs w:val="18"/>
          <w:b w:val="1"/>
          <w:bCs w:val="1"/>
          <w:color w:val="auto"/>
        </w:rPr>
      </w:pPr>
    </w:p>
    <w:p>
      <w:pPr>
        <w:jc w:val="both"/>
        <w:ind w:left="3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the Company may be contingently liable with respect to other claims incidental to the ordinary course of its operations. Except as described below, in the opinion of management, and based on management’s consultation with legal counsel, the ultimate outcome of such other matters will not have a materially adverse effect on the Company. Accordingly, no provision has been made in these consolidated financial statements for losses, if any, which might result from the ultimate disposition of these matters should they arise.</w:t>
      </w:r>
    </w:p>
    <w:p>
      <w:pPr>
        <w:spacing w:after="0" w:line="206" w:lineRule="exact"/>
        <w:rPr>
          <w:rFonts w:ascii="Times New Roman" w:cs="Times New Roman" w:eastAsia="Times New Roman" w:hAnsi="Times New Roman"/>
          <w:sz w:val="18"/>
          <w:szCs w:val="18"/>
          <w:b w:val="1"/>
          <w:bCs w:val="1"/>
          <w:color w:val="auto"/>
        </w:rPr>
      </w:pPr>
    </w:p>
    <w:p>
      <w:pPr>
        <w:jc w:val="both"/>
        <w:ind w:left="3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Murchinson Ltd., an investment manager of holders of 2025 Convertible Notes and 2027 Convertible Notes, subsequently exchanged for 2028 Notes (the “Applicant”), filed an application in the Ontario Superior Court of Justice (Commercial List) (the "Court") on March 27, 2025, opposing the 2025 Debt Transaction and claiming the transaction was oppressive to the Applicant. The application filed by the Applicant also claimed breach of contract and civil conspiracy. The Applicant sought from the court, among other forms of relief, that the 2025 Debt Transaction be declared unlawful under the terms of the Canadian Business Corporations Act, an award of unspecified damages, and recovery of costs. By order dated May 21, 2025, the Court ruled in favor of the Company and the 2025 Debt Transaction was subsequently closed. Murchinson Ltd. has filed an appeal to the Court of Appeal for Toronto that is currently pending with a hearing scheduled in February 2026.</w:t>
      </w:r>
    </w:p>
    <w:p>
      <w:pPr>
        <w:spacing w:after="0" w:line="394" w:lineRule="exact"/>
        <w:rPr>
          <w:rFonts w:ascii="Times New Roman" w:cs="Times New Roman" w:eastAsia="Times New Roman" w:hAnsi="Times New Roman"/>
          <w:sz w:val="18"/>
          <w:szCs w:val="18"/>
          <w:b w:val="1"/>
          <w:bCs w:val="1"/>
          <w:color w:val="auto"/>
        </w:rPr>
      </w:pPr>
    </w:p>
    <w:p>
      <w:pPr>
        <w:ind w:left="320" w:right="5440" w:hanging="313"/>
        <w:spacing w:after="0" w:line="421" w:lineRule="auto"/>
        <w:tabs>
          <w:tab w:leader="none" w:pos="31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AND FAIR VALUE MEASUREMENTS </w:t>
      </w:r>
      <w:r>
        <w:rPr>
          <w:rFonts w:ascii="Times New Roman" w:cs="Times New Roman" w:eastAsia="Times New Roman" w:hAnsi="Times New Roman"/>
          <w:sz w:val="18"/>
          <w:szCs w:val="18"/>
          <w:i w:val="1"/>
          <w:iCs w:val="1"/>
          <w:u w:val="single" w:color="auto"/>
          <w:color w:val="auto"/>
        </w:rPr>
        <w:t>Fair Value Measurements</w:t>
      </w: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Company’s financial instruments that are measured at fair value on a recurring basis: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211"/>
        </w:trPr>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2"/>
        </w:trPr>
        <w:tc>
          <w:tcPr>
            <w:tcW w:w="28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0" w:type="dxa"/>
            <w:vAlign w:val="bottom"/>
          </w:tcPr>
          <w:p>
            <w:pPr>
              <w:spacing w:after="0"/>
              <w:rPr>
                <w:sz w:val="1"/>
                <w:szCs w:val="1"/>
                <w:color w:val="auto"/>
              </w:rPr>
            </w:pPr>
          </w:p>
        </w:tc>
      </w:tr>
      <w:tr>
        <w:trPr>
          <w:trHeight w:val="32"/>
        </w:trPr>
        <w:tc>
          <w:tcPr>
            <w:tcW w:w="28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gridSpan w:val="2"/>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840" w:type="dxa"/>
            <w:vAlign w:val="bottom"/>
            <w:tcBorders>
              <w:top w:val="single" w:sz="8" w:color="CFF0FC"/>
            </w:tcBorders>
            <w:vMerge w:val="continue"/>
          </w:tcPr>
          <w:p>
            <w:pPr>
              <w:spacing w:after="0"/>
              <w:rPr>
                <w:sz w:val="16"/>
                <w:szCs w:val="16"/>
                <w:color w:val="auto"/>
              </w:rPr>
            </w:pPr>
          </w:p>
        </w:tc>
        <w:tc>
          <w:tcPr>
            <w:tcW w:w="28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40" w:type="dxa"/>
            <w:vAlign w:val="bottom"/>
            <w:tcBorders>
              <w:top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32"/>
        </w:trPr>
        <w:tc>
          <w:tcPr>
            <w:tcW w:w="284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1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0" w:type="dxa"/>
            <w:vAlign w:val="bottom"/>
          </w:tcPr>
          <w:p>
            <w:pPr>
              <w:spacing w:after="0"/>
              <w:rPr>
                <w:sz w:val="1"/>
                <w:szCs w:val="1"/>
                <w:color w:val="auto"/>
              </w:rPr>
            </w:pPr>
          </w:p>
        </w:tc>
      </w:tr>
      <w:tr>
        <w:trPr>
          <w:trHeight w:val="235"/>
        </w:trPr>
        <w:tc>
          <w:tcPr>
            <w:tcW w:w="28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 liability</w:t>
            </w:r>
          </w:p>
        </w:tc>
        <w:tc>
          <w:tcPr>
            <w:tcW w:w="2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gridSpan w:val="2"/>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gridSpan w:val="2"/>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840" w:type="dxa"/>
            <w:vAlign w:val="bottom"/>
            <w:tcBorders>
              <w:top w:val="single" w:sz="8" w:color="CFF0FC"/>
              <w:bottom w:val="single" w:sz="8" w:color="CFF0FC"/>
            </w:tcBorders>
            <w:vMerge w:val="continue"/>
          </w:tcPr>
          <w:p>
            <w:pPr>
              <w:spacing w:after="0"/>
              <w:rPr>
                <w:sz w:val="16"/>
                <w:szCs w:val="16"/>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35"/>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0"/>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period included in these financial statements, there were no transfers of amounts between levels.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investment securities are stated at observable inputs such as quoted prices in active markets.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valuation techniques and key inputs used in the fair value measurement of Level 3 financial instruments:</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218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Financial asset/financial</w:t>
            </w:r>
          </w:p>
        </w:tc>
        <w:tc>
          <w:tcPr>
            <w:tcW w:w="204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21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Relationship of unobservable</w:t>
            </w:r>
          </w:p>
        </w:tc>
        <w:tc>
          <w:tcPr>
            <w:tcW w:w="0" w:type="dxa"/>
            <w:vAlign w:val="bottom"/>
          </w:tcPr>
          <w:p>
            <w:pPr>
              <w:spacing w:after="0"/>
              <w:rPr>
                <w:sz w:val="1"/>
                <w:szCs w:val="1"/>
                <w:color w:val="auto"/>
              </w:rPr>
            </w:pPr>
          </w:p>
        </w:tc>
      </w:tr>
      <w:tr>
        <w:trPr>
          <w:trHeight w:val="131"/>
        </w:trPr>
        <w:tc>
          <w:tcPr>
            <w:tcW w:w="2180" w:type="dxa"/>
            <w:vAlign w:val="bottom"/>
            <w:vMerge w:val="restart"/>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liability</w:t>
            </w:r>
          </w:p>
        </w:tc>
        <w:tc>
          <w:tcPr>
            <w:tcW w:w="2040" w:type="dxa"/>
            <w:vAlign w:val="bottom"/>
            <w:vMerge w:val="continue"/>
          </w:tcPr>
          <w:p>
            <w:pPr>
              <w:spacing w:after="0"/>
              <w:rPr>
                <w:sz w:val="11"/>
                <w:szCs w:val="11"/>
                <w:color w:val="auto"/>
              </w:rPr>
            </w:pPr>
          </w:p>
        </w:tc>
        <w:tc>
          <w:tcPr>
            <w:tcW w:w="2120" w:type="dxa"/>
            <w:vAlign w:val="bottom"/>
            <w:vMerge w:val="restart"/>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4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 to fair value</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4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1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80" w:type="dxa"/>
            <w:vAlign w:val="bottom"/>
            <w:shd w:val="clear" w:color="auto" w:fill="CFF0FC"/>
          </w:tcPr>
          <w:p>
            <w:pPr>
              <w:ind w:left="60"/>
              <w:spacing w:after="0" w:line="174" w:lineRule="exact"/>
              <w:rPr>
                <w:sz w:val="20"/>
                <w:szCs w:val="20"/>
                <w:color w:val="auto"/>
              </w:rPr>
            </w:pPr>
            <w:r>
              <w:rPr>
                <w:rFonts w:ascii="Times New Roman" w:cs="Times New Roman" w:eastAsia="Times New Roman" w:hAnsi="Times New Roman"/>
                <w:sz w:val="16"/>
                <w:szCs w:val="16"/>
                <w:color w:val="auto"/>
              </w:rPr>
              <w:t>Derivative liability</w:t>
            </w:r>
          </w:p>
        </w:tc>
        <w:tc>
          <w:tcPr>
            <w:tcW w:w="2040" w:type="dxa"/>
            <w:vAlign w:val="bottom"/>
            <w:shd w:val="clear" w:color="auto" w:fill="CFF0FC"/>
          </w:tcPr>
          <w:p>
            <w:pPr>
              <w:ind w:left="200"/>
              <w:spacing w:after="0" w:line="174" w:lineRule="exact"/>
              <w:rPr>
                <w:sz w:val="20"/>
                <w:szCs w:val="20"/>
                <w:color w:val="auto"/>
              </w:rPr>
            </w:pPr>
            <w:r>
              <w:rPr>
                <w:rFonts w:ascii="Times New Roman" w:cs="Times New Roman" w:eastAsia="Times New Roman" w:hAnsi="Times New Roman"/>
                <w:sz w:val="16"/>
                <w:szCs w:val="16"/>
                <w:color w:val="auto"/>
              </w:rPr>
              <w:t>Market approach</w:t>
            </w:r>
          </w:p>
        </w:tc>
        <w:tc>
          <w:tcPr>
            <w:tcW w:w="2120" w:type="dxa"/>
            <w:vAlign w:val="bottom"/>
            <w:shd w:val="clear" w:color="auto" w:fill="CFF0FC"/>
          </w:tcPr>
          <w:p>
            <w:pPr>
              <w:jc w:val="right"/>
              <w:ind w:right="680"/>
              <w:spacing w:after="0" w:line="174" w:lineRule="exact"/>
              <w:rPr>
                <w:sz w:val="20"/>
                <w:szCs w:val="20"/>
                <w:color w:val="auto"/>
              </w:rPr>
            </w:pPr>
            <w:r>
              <w:rPr>
                <w:rFonts w:ascii="Times New Roman" w:cs="Times New Roman" w:eastAsia="Times New Roman" w:hAnsi="Times New Roman"/>
                <w:sz w:val="16"/>
                <w:szCs w:val="16"/>
                <w:color w:val="auto"/>
              </w:rPr>
              <w:t>Conversion period</w:t>
            </w:r>
          </w:p>
        </w:tc>
        <w:tc>
          <w:tcPr>
            <w:tcW w:w="4040" w:type="dxa"/>
            <w:vAlign w:val="bottom"/>
            <w:shd w:val="clear" w:color="auto" w:fill="CFF0FC"/>
          </w:tcPr>
          <w:p>
            <w:pPr>
              <w:ind w:left="120"/>
              <w:spacing w:after="0" w:line="174" w:lineRule="exact"/>
              <w:rPr>
                <w:sz w:val="20"/>
                <w:szCs w:val="20"/>
                <w:color w:val="auto"/>
              </w:rPr>
            </w:pPr>
            <w:r>
              <w:rPr>
                <w:rFonts w:ascii="Times New Roman" w:cs="Times New Roman" w:eastAsia="Times New Roman" w:hAnsi="Times New Roman"/>
                <w:sz w:val="16"/>
                <w:szCs w:val="16"/>
                <w:color w:val="auto"/>
              </w:rPr>
              <w:t>Increase or decrease in conversion period will result in an</w:t>
            </w:r>
          </w:p>
        </w:tc>
        <w:tc>
          <w:tcPr>
            <w:tcW w:w="0" w:type="dxa"/>
            <w:vAlign w:val="bottom"/>
          </w:tcPr>
          <w:p>
            <w:pPr>
              <w:spacing w:after="0"/>
              <w:rPr>
                <w:sz w:val="1"/>
                <w:szCs w:val="1"/>
                <w:color w:val="auto"/>
              </w:rPr>
            </w:pPr>
          </w:p>
        </w:tc>
      </w:tr>
      <w:tr>
        <w:trPr>
          <w:trHeight w:val="209"/>
        </w:trPr>
        <w:tc>
          <w:tcPr>
            <w:tcW w:w="21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increase or decrease in fair value</w:t>
            </w:r>
          </w:p>
        </w:tc>
        <w:tc>
          <w:tcPr>
            <w:tcW w:w="0" w:type="dxa"/>
            <w:vAlign w:val="bottom"/>
          </w:tcPr>
          <w:p>
            <w:pPr>
              <w:spacing w:after="0"/>
              <w:rPr>
                <w:sz w:val="1"/>
                <w:szCs w:val="1"/>
                <w:color w:val="auto"/>
              </w:rPr>
            </w:pPr>
          </w:p>
        </w:tc>
      </w:tr>
      <w:tr>
        <w:trPr>
          <w:trHeight w:val="32"/>
        </w:trPr>
        <w:tc>
          <w:tcPr>
            <w:tcW w:w="2180" w:type="dxa"/>
            <w:vAlign w:val="bottom"/>
            <w:shd w:val="clear" w:color="auto" w:fill="CFF0FC"/>
          </w:tcPr>
          <w:p>
            <w:pPr>
              <w:spacing w:after="0"/>
              <w:rPr>
                <w:sz w:val="2"/>
                <w:szCs w:val="2"/>
                <w:color w:val="auto"/>
              </w:rPr>
            </w:pPr>
          </w:p>
        </w:tc>
        <w:tc>
          <w:tcPr>
            <w:tcW w:w="2040" w:type="dxa"/>
            <w:vAlign w:val="bottom"/>
            <w:shd w:val="clear" w:color="auto" w:fill="CFF0FC"/>
          </w:tcPr>
          <w:p>
            <w:pPr>
              <w:spacing w:after="0"/>
              <w:rPr>
                <w:sz w:val="2"/>
                <w:szCs w:val="2"/>
                <w:color w:val="auto"/>
              </w:rPr>
            </w:pPr>
          </w:p>
        </w:tc>
        <w:tc>
          <w:tcPr>
            <w:tcW w:w="2120" w:type="dxa"/>
            <w:vAlign w:val="bottom"/>
            <w:shd w:val="clear" w:color="auto" w:fill="CFF0FC"/>
          </w:tcPr>
          <w:p>
            <w:pPr>
              <w:spacing w:after="0"/>
              <w:rPr>
                <w:sz w:val="2"/>
                <w:szCs w:val="2"/>
                <w:color w:val="auto"/>
              </w:rPr>
            </w:pPr>
          </w:p>
        </w:tc>
        <w:tc>
          <w:tcPr>
            <w:tcW w:w="40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There has been no change in the valuation methodology for the nine months ended September 30, 2025. The carrying amounts of cash and restricted cash, accounts receivable, other current assets, accounts payable, accrued expenses, other current liabilities, the current portion of long-term debt, and lease liabilities as of September 30, 2025 and December 31, 2024 approximate their fair values because of the short-term nature of these items and are not included in the table above. The Company’s other long-term liabilities and long-term debt approximate fair value due to the market rate of interest used on initial recognition.</w:t>
      </w:r>
    </w:p>
    <w:p>
      <w:pPr>
        <w:spacing w:after="0" w:line="104"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In addition to the disclosures for assets and liabilities required to be measured at fair value at the balance sheet date, companies are required to disclose the estimated fair values of all financial instruments, even if they are not presented at their fair value on the consolidated balance sheet. The fair values of financial instruments are estimates based upon market conditions and perceived risks as of September 30, 2025 and December 31, 2024. These estimates require management's judgment and may not be indicative of the future fair values of the assets and liabilities.</w:t>
      </w:r>
    </w:p>
    <w:p>
      <w:pPr>
        <w:spacing w:after="0" w:line="390" w:lineRule="exact"/>
        <w:rPr>
          <w:sz w:val="20"/>
          <w:szCs w:val="20"/>
          <w:color w:val="auto"/>
        </w:rPr>
      </w:pPr>
    </w:p>
    <w:p>
      <w:pPr>
        <w:ind w:left="320" w:hanging="313"/>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58"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 of the following:</w:t>
      </w:r>
    </w:p>
    <w:p>
      <w:pPr>
        <w:spacing w:after="0" w:line="197" w:lineRule="exact"/>
        <w:rPr>
          <w:sz w:val="20"/>
          <w:szCs w:val="20"/>
          <w:color w:val="auto"/>
        </w:rPr>
      </w:pPr>
    </w:p>
    <w:tbl>
      <w:tblPr>
        <w:tblLayout w:type="fixed"/>
        <w:tblInd w:w="120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Pr>
          <w:p>
            <w:pPr>
              <w:spacing w:after="0"/>
              <w:rPr>
                <w:sz w:val="18"/>
                <w:szCs w:val="18"/>
                <w:color w:val="auto"/>
              </w:rPr>
            </w:pPr>
          </w:p>
        </w:tc>
        <w:tc>
          <w:tcPr>
            <w:tcW w:w="16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2"/>
        </w:trPr>
        <w:tc>
          <w:tcPr>
            <w:tcW w:w="506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Licenses</w:t>
            </w:r>
          </w:p>
        </w:tc>
        <w:tc>
          <w:tcPr>
            <w:tcW w:w="18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99,162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109,973</w:t>
            </w: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Trademarks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23,810</w:t>
            </w:r>
          </w:p>
        </w:tc>
      </w:tr>
      <w:tr>
        <w:trPr>
          <w:trHeight w:val="32"/>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1"/>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15,263</w:t>
            </w:r>
          </w:p>
        </w:tc>
      </w:tr>
      <w:tr>
        <w:trPr>
          <w:trHeight w:val="202"/>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137,501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149,046</w:t>
            </w:r>
          </w:p>
        </w:tc>
      </w:tr>
      <w:tr>
        <w:trPr>
          <w:trHeight w:val="32"/>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1"/>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80" w:type="dxa"/>
            <w:vAlign w:val="bottom"/>
            <w:tcBorders>
              <w:bottom w:val="single" w:sz="8" w:color="CFF0FC"/>
            </w:tcBorders>
            <w:shd w:val="clear" w:color="auto" w:fill="CFF0FC"/>
          </w:tcPr>
          <w:p>
            <w:pPr>
              <w:spacing w:after="0"/>
              <w:rPr>
                <w:sz w:val="20"/>
                <w:szCs w:val="20"/>
                <w:color w:val="auto"/>
              </w:rPr>
            </w:pPr>
          </w:p>
        </w:tc>
        <w:tc>
          <w:tcPr>
            <w:tcW w:w="1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(98,192)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(97,797)</w:t>
            </w:r>
          </w:p>
        </w:tc>
      </w:tr>
      <w:tr>
        <w:trPr>
          <w:trHeight w:val="231"/>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39,309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51,249</w:t>
            </w:r>
          </w:p>
        </w:tc>
      </w:tr>
      <w:tr>
        <w:trPr>
          <w:trHeight w:val="23"/>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5193030</wp:posOffset>
            </wp:positionH>
            <wp:positionV relativeFrom="paragraph">
              <wp:posOffset>-975995</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2025 and 2024 are as follows:</w:t>
      </w:r>
    </w:p>
    <w:p>
      <w:pPr>
        <w:spacing w:after="0" w:line="197" w:lineRule="exact"/>
        <w:rPr>
          <w:sz w:val="20"/>
          <w:szCs w:val="20"/>
          <w:color w:val="auto"/>
        </w:rPr>
      </w:pPr>
    </w:p>
    <w:tbl>
      <w:tblPr>
        <w:tblLayout w:type="fixed"/>
        <w:tblInd w:w="1180" w:type="dxa"/>
        <w:tblCellMar>
          <w:top w:w="0" w:type="dxa"/>
          <w:left w:w="0" w:type="dxa"/>
          <w:bottom w:w="0" w:type="dxa"/>
          <w:right w:w="0" w:type="dxa"/>
        </w:tblCellMar>
      </w:tblPr>
      <w:tr>
        <w:trPr>
          <w:trHeight w:val="211"/>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3220" w:type="dxa"/>
            <w:vAlign w:val="bottom"/>
            <w:gridSpan w:val="4"/>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2"/>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4"/>
        </w:trPr>
        <w:tc>
          <w:tcPr>
            <w:tcW w:w="2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0"/>
        </w:trPr>
        <w:tc>
          <w:tcPr>
            <w:tcW w:w="2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2"/>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8,924</w:t>
            </w:r>
          </w:p>
        </w:tc>
      </w:tr>
      <w:tr>
        <w:trPr>
          <w:trHeight w:val="32"/>
        </w:trPr>
        <w:tc>
          <w:tcPr>
            <w:tcW w:w="21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86" w:lineRule="exact"/>
        <w:rPr>
          <w:sz w:val="20"/>
          <w:szCs w:val="20"/>
          <w:color w:val="auto"/>
        </w:rPr>
      </w:pPr>
    </w:p>
    <w:p>
      <w:pPr>
        <w:ind w:left="320" w:hanging="313"/>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58"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Selling, general and administrative expenses are summarized in the table below:</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211"/>
        </w:trPr>
        <w:tc>
          <w:tcPr>
            <w:tcW w:w="2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82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620" w:type="dxa"/>
            <w:vAlign w:val="bottom"/>
            <w:gridSpan w:val="3"/>
          </w:tcPr>
          <w:p>
            <w:pPr>
              <w:spacing w:after="0"/>
              <w:rPr>
                <w:sz w:val="2"/>
                <w:szCs w:val="2"/>
                <w:color w:val="auto"/>
              </w:rPr>
            </w:pPr>
          </w:p>
        </w:tc>
        <w:tc>
          <w:tcPr>
            <w:tcW w:w="1580" w:type="dxa"/>
            <w:vAlign w:val="bottom"/>
            <w:gridSpan w:val="3"/>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820" w:type="dxa"/>
            <w:vAlign w:val="bottom"/>
          </w:tcPr>
          <w:p>
            <w:pPr>
              <w:spacing w:after="0"/>
              <w:rPr>
                <w:sz w:val="17"/>
                <w:szCs w:val="17"/>
                <w:color w:val="auto"/>
              </w:rPr>
            </w:pPr>
          </w:p>
        </w:tc>
        <w:tc>
          <w:tcPr>
            <w:tcW w:w="15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7"/>
                <w:szCs w:val="17"/>
                <w:color w:val="auto"/>
              </w:rPr>
            </w:pPr>
          </w:p>
        </w:tc>
        <w:tc>
          <w:tcPr>
            <w:tcW w:w="15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460" w:type="dxa"/>
            <w:vAlign w:val="bottom"/>
            <w:tcBorders>
              <w:bottom w:val="single" w:sz="8" w:color="CFF0FC"/>
            </w:tcBorders>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15,550</w:t>
            </w: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22,705</w:t>
            </w:r>
          </w:p>
        </w:tc>
        <w:tc>
          <w:tcPr>
            <w:tcW w:w="1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45,989</w:t>
            </w:r>
          </w:p>
        </w:tc>
        <w:tc>
          <w:tcPr>
            <w:tcW w:w="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61,841</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8,437</w:t>
            </w:r>
          </w:p>
        </w:tc>
        <w:tc>
          <w:tcPr>
            <w:tcW w:w="0" w:type="dxa"/>
            <w:vAlign w:val="bottom"/>
          </w:tcPr>
          <w:p>
            <w:pPr>
              <w:spacing w:after="0"/>
              <w:rPr>
                <w:sz w:val="1"/>
                <w:szCs w:val="1"/>
                <w:color w:val="auto"/>
              </w:rPr>
            </w:pPr>
          </w:p>
        </w:tc>
      </w:tr>
      <w:tr>
        <w:trPr>
          <w:trHeight w:val="32"/>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4,448</w:t>
            </w: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13,622</w:t>
            </w:r>
          </w:p>
        </w:tc>
        <w:tc>
          <w:tcPr>
            <w:tcW w:w="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19,778</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facilities costs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23,253</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32,001</w:t>
            </w:r>
          </w:p>
        </w:tc>
        <w:tc>
          <w:tcPr>
            <w:tcW w:w="0" w:type="dxa"/>
            <w:vAlign w:val="bottom"/>
          </w:tcPr>
          <w:p>
            <w:pPr>
              <w:spacing w:after="0"/>
              <w:rPr>
                <w:sz w:val="1"/>
                <w:szCs w:val="1"/>
                <w:color w:val="auto"/>
              </w:rPr>
            </w:pPr>
          </w:p>
        </w:tc>
      </w:tr>
      <w:tr>
        <w:trPr>
          <w:trHeight w:val="32"/>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office and general expenses</w:t>
            </w:r>
          </w:p>
        </w:tc>
        <w:tc>
          <w:tcPr>
            <w:tcW w:w="4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1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5,132</w:t>
            </w:r>
          </w:p>
        </w:tc>
        <w:tc>
          <w:tcPr>
            <w:tcW w:w="1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12,439</w:t>
            </w:r>
          </w:p>
        </w:tc>
        <w:tc>
          <w:tcPr>
            <w:tcW w:w="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15,839</w:t>
            </w:r>
          </w:p>
        </w:tc>
        <w:tc>
          <w:tcPr>
            <w:tcW w:w="0" w:type="dxa"/>
            <w:vAlign w:val="bottom"/>
          </w:tcPr>
          <w:p>
            <w:pPr>
              <w:spacing w:after="0"/>
              <w:rPr>
                <w:sz w:val="1"/>
                <w:szCs w:val="1"/>
                <w:color w:val="auto"/>
              </w:rPr>
            </w:pPr>
          </w:p>
        </w:tc>
      </w:tr>
      <w:tr>
        <w:trPr>
          <w:trHeight w:val="209"/>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promotion</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0" w:type="dxa"/>
            <w:vAlign w:val="bottom"/>
          </w:tcPr>
          <w:p>
            <w:pPr>
              <w:spacing w:after="0"/>
              <w:rPr>
                <w:sz w:val="1"/>
                <w:szCs w:val="1"/>
                <w:color w:val="auto"/>
              </w:rPr>
            </w:pPr>
          </w:p>
        </w:tc>
      </w:tr>
      <w:tr>
        <w:trPr>
          <w:trHeight w:val="32"/>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fees and expenses</w:t>
            </w:r>
          </w:p>
        </w:tc>
        <w:tc>
          <w:tcPr>
            <w:tcW w:w="46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0" w:type="dxa"/>
            <w:vAlign w:val="bottom"/>
          </w:tcPr>
          <w:p>
            <w:pPr>
              <w:spacing w:after="0"/>
              <w:rPr>
                <w:sz w:val="1"/>
                <w:szCs w:val="1"/>
                <w:color w:val="auto"/>
              </w:rPr>
            </w:pPr>
          </w:p>
        </w:tc>
      </w:tr>
      <w:tr>
        <w:trPr>
          <w:trHeight w:val="151"/>
        </w:trPr>
        <w:tc>
          <w:tcPr>
            <w:tcW w:w="282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Total selling, general and administrative</w:t>
            </w:r>
          </w:p>
        </w:tc>
        <w:tc>
          <w:tcPr>
            <w:tcW w:w="460" w:type="dxa"/>
            <w:vAlign w:val="bottom"/>
            <w:tcBorders>
              <w:top w:val="single" w:sz="8" w:color="auto"/>
            </w:tcBorders>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34,941</w:t>
            </w:r>
          </w:p>
        </w:tc>
        <w:tc>
          <w:tcPr>
            <w:tcW w:w="100" w:type="dxa"/>
            <w:vAlign w:val="bottom"/>
          </w:tcPr>
          <w:p>
            <w:pPr>
              <w:spacing w:after="0"/>
              <w:rPr>
                <w:sz w:val="13"/>
                <w:szCs w:val="13"/>
                <w:color w:val="auto"/>
              </w:rPr>
            </w:pPr>
          </w:p>
        </w:tc>
        <w:tc>
          <w:tcPr>
            <w:tcW w:w="820" w:type="dxa"/>
            <w:vAlign w:val="bottom"/>
            <w:tcBorders>
              <w:top w:val="single" w:sz="8" w:color="auto"/>
            </w:tcBorders>
            <w:vMerge w:val="restart"/>
          </w:tcPr>
          <w:p>
            <w:pPr>
              <w:jc w:val="right"/>
              <w:ind w:right="64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49,315</w:t>
            </w:r>
          </w:p>
        </w:tc>
        <w:tc>
          <w:tcPr>
            <w:tcW w:w="140" w:type="dxa"/>
            <w:vAlign w:val="bottom"/>
          </w:tcPr>
          <w:p>
            <w:pPr>
              <w:spacing w:after="0"/>
              <w:rPr>
                <w:sz w:val="13"/>
                <w:szCs w:val="13"/>
                <w:color w:val="auto"/>
              </w:rPr>
            </w:pPr>
          </w:p>
        </w:tc>
        <w:tc>
          <w:tcPr>
            <w:tcW w:w="500" w:type="dxa"/>
            <w:vAlign w:val="bottom"/>
            <w:tcBorders>
              <w:top w:val="single" w:sz="8" w:color="auto"/>
            </w:tcBorders>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105,182</w:t>
            </w:r>
          </w:p>
        </w:tc>
        <w:tc>
          <w:tcPr>
            <w:tcW w:w="8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142,634</w:t>
            </w:r>
          </w:p>
        </w:tc>
        <w:tc>
          <w:tcPr>
            <w:tcW w:w="0" w:type="dxa"/>
            <w:vAlign w:val="bottom"/>
          </w:tcPr>
          <w:p>
            <w:pPr>
              <w:spacing w:after="0"/>
              <w:rPr>
                <w:sz w:val="1"/>
                <w:szCs w:val="1"/>
                <w:color w:val="auto"/>
              </w:rPr>
            </w:pPr>
          </w:p>
        </w:tc>
      </w:tr>
      <w:tr>
        <w:trPr>
          <w:trHeight w:val="219"/>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4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OTHER (INCOME) EXPENSE, NET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(income) expense, net is summarized in the table below:</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30"/>
        </w:trPr>
        <w:tc>
          <w:tcPr>
            <w:tcW w:w="282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Change in fair value of the derivative</w:t>
            </w:r>
          </w:p>
        </w:tc>
        <w:tc>
          <w:tcPr>
            <w:tcW w:w="460" w:type="dxa"/>
            <w:vAlign w:val="bottom"/>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0" w:type="dxa"/>
            <w:vAlign w:val="bottom"/>
          </w:tcPr>
          <w:p>
            <w:pPr>
              <w:spacing w:after="0"/>
              <w:rPr>
                <w:sz w:val="1"/>
                <w:szCs w:val="1"/>
                <w:color w:val="auto"/>
              </w:rPr>
            </w:pPr>
          </w:p>
        </w:tc>
      </w:tr>
      <w:tr>
        <w:trPr>
          <w:trHeight w:val="228"/>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liability</w:t>
            </w:r>
          </w:p>
        </w:tc>
        <w:tc>
          <w:tcPr>
            <w:tcW w:w="460" w:type="dxa"/>
            <w:vAlign w:val="bottom"/>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vMerge w:val="continue"/>
            <w:shd w:val="clear" w:color="auto" w:fill="CFF0FC"/>
          </w:tcPr>
          <w:p>
            <w:pPr>
              <w:spacing w:after="0"/>
              <w:rPr>
                <w:sz w:val="19"/>
                <w:szCs w:val="19"/>
                <w:color w:val="auto"/>
              </w:rPr>
            </w:pPr>
          </w:p>
        </w:tc>
        <w:tc>
          <w:tcPr>
            <w:tcW w:w="7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investments</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4,195</w:t>
            </w:r>
          </w:p>
        </w:tc>
        <w:tc>
          <w:tcPr>
            <w:tcW w:w="0" w:type="dxa"/>
            <w:vAlign w:val="bottom"/>
          </w:tcPr>
          <w:p>
            <w:pPr>
              <w:spacing w:after="0"/>
              <w:rPr>
                <w:sz w:val="1"/>
                <w:szCs w:val="1"/>
                <w:color w:val="auto"/>
              </w:rPr>
            </w:pPr>
          </w:p>
        </w:tc>
      </w:tr>
      <w:tr>
        <w:trPr>
          <w:trHeight w:val="32"/>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Restructuring expense</w:t>
            </w:r>
          </w:p>
        </w:tc>
        <w:tc>
          <w:tcPr>
            <w:tcW w:w="4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5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5,749</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32"/>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 for held-for-sale</w:t>
            </w:r>
          </w:p>
        </w:tc>
        <w:tc>
          <w:tcPr>
            <w:tcW w:w="4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16,420</w:t>
            </w:r>
          </w:p>
        </w:tc>
        <w:tc>
          <w:tcPr>
            <w:tcW w:w="5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16,420</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(Gain) / loss on disposal</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(56,865)</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(56,241)</w:t>
            </w:r>
          </w:p>
        </w:tc>
        <w:tc>
          <w:tcPr>
            <w:tcW w:w="0" w:type="dxa"/>
            <w:vAlign w:val="bottom"/>
          </w:tcPr>
          <w:p>
            <w:pPr>
              <w:spacing w:after="0"/>
              <w:rPr>
                <w:sz w:val="1"/>
                <w:szCs w:val="1"/>
                <w:color w:val="auto"/>
              </w:rPr>
            </w:pPr>
          </w:p>
        </w:tc>
      </w:tr>
      <w:tr>
        <w:trPr>
          <w:trHeight w:val="32"/>
        </w:trPr>
        <w:tc>
          <w:tcPr>
            <w:tcW w:w="2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Rental income</w:t>
            </w: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05"/>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other (income) / expense, net</w:t>
            </w:r>
          </w:p>
        </w:tc>
        <w:tc>
          <w:tcPr>
            <w:tcW w:w="4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(12,687)</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(36,295)</w:t>
            </w:r>
          </w:p>
        </w:tc>
        <w:tc>
          <w:tcPr>
            <w:tcW w:w="5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(29,909)</w:t>
            </w:r>
          </w:p>
        </w:tc>
        <w:tc>
          <w:tcPr>
            <w:tcW w:w="0" w:type="dxa"/>
            <w:vAlign w:val="bottom"/>
          </w:tcPr>
          <w:p>
            <w:pPr>
              <w:spacing w:after="0"/>
              <w:rPr>
                <w:sz w:val="1"/>
                <w:szCs w:val="1"/>
                <w:color w:val="auto"/>
              </w:rPr>
            </w:pPr>
          </w:p>
        </w:tc>
      </w:tr>
      <w:tr>
        <w:trPr>
          <w:trHeight w:val="23"/>
        </w:trPr>
        <w:tc>
          <w:tcPr>
            <w:tcW w:w="2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-1358265</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-1358265</wp:posOffset>
            </wp:positionV>
            <wp:extent cx="59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2" w:lineRule="exact"/>
        <w:rPr>
          <w:sz w:val="20"/>
          <w:szCs w:val="20"/>
          <w:color w:val="auto"/>
        </w:rPr>
      </w:pPr>
    </w:p>
    <w:p>
      <w:pPr>
        <w:jc w:val="both"/>
        <w:ind w:left="320"/>
        <w:spacing w:after="0" w:line="278" w:lineRule="auto"/>
        <w:rPr>
          <w:sz w:val="20"/>
          <w:szCs w:val="20"/>
          <w:color w:val="auto"/>
        </w:rPr>
      </w:pPr>
      <w:r>
        <w:rPr>
          <w:rFonts w:ascii="Times New Roman" w:cs="Times New Roman" w:eastAsia="Times New Roman" w:hAnsi="Times New Roman"/>
          <w:sz w:val="18"/>
          <w:szCs w:val="18"/>
          <w:color w:val="auto"/>
        </w:rPr>
        <w:t>During the nine months ended September 30, 2025 and 2024, the Company recorded $2,423 and $5,749 in restructuring expense, respectively. As of September 30, 2025 and 2024, the balance outstanding on the Company’s restructuring reserve was $820 and $4,731 respectively.</w:t>
      </w:r>
    </w:p>
    <w:p>
      <w:pPr>
        <w:spacing w:after="0" w:line="176" w:lineRule="exact"/>
        <w:rPr>
          <w:sz w:val="20"/>
          <w:szCs w:val="20"/>
          <w:color w:val="auto"/>
        </w:rPr>
      </w:pPr>
    </w:p>
    <w:p>
      <w:pPr>
        <w:jc w:val="both"/>
        <w:ind w:left="320"/>
        <w:spacing w:after="0" w:line="239" w:lineRule="auto"/>
        <w:rPr>
          <w:sz w:val="20"/>
          <w:szCs w:val="20"/>
          <w:color w:val="auto"/>
        </w:rPr>
      </w:pPr>
      <w:r>
        <w:rPr>
          <w:rFonts w:ascii="Times New Roman" w:cs="Times New Roman" w:eastAsia="Times New Roman" w:hAnsi="Times New Roman"/>
          <w:sz w:val="18"/>
          <w:szCs w:val="18"/>
          <w:color w:val="auto"/>
        </w:rPr>
        <w:t>The net gain on disposal for the 3 months ended September 30, 2025 arose primarily from the divestiture of the Pennsylvania stores and Balboa, California. The net loss on disposal for the nine months ended September 30, 2025 arose primarily from the impact of other divestitures in California as delineated in Note 17 below. Gains and losses are stated net of any gains and losses attributable to minority investors.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DIVESTITURE</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Utah Business Divestiture</w:t>
      </w:r>
    </w:p>
    <w:p>
      <w:pPr>
        <w:spacing w:after="0" w:line="16" w:lineRule="exact"/>
        <w:rPr>
          <w:sz w:val="20"/>
          <w:szCs w:val="20"/>
          <w:color w:val="auto"/>
        </w:rPr>
      </w:pPr>
    </w:p>
    <w:p>
      <w:pPr>
        <w:jc w:val="both"/>
        <w:ind w:left="400"/>
        <w:spacing w:after="0" w:line="235" w:lineRule="auto"/>
        <w:rPr>
          <w:sz w:val="20"/>
          <w:szCs w:val="20"/>
          <w:color w:val="auto"/>
        </w:rPr>
      </w:pPr>
      <w:r>
        <w:rPr>
          <w:rFonts w:ascii="Times New Roman" w:cs="Times New Roman" w:eastAsia="Times New Roman" w:hAnsi="Times New Roman"/>
          <w:sz w:val="18"/>
          <w:szCs w:val="18"/>
          <w:color w:val="auto"/>
        </w:rPr>
        <w:t>On October 6, 2023, the Company entered into a definitive agreement, subject to closing conditions, to dispose of its Utah operations (the “Utah Business”) which are considered non-core and comprised of one dispensary and one cultivation facility. The Utah Business was divested for gross proceeds of approximately $6.5 million, with approximately $3.9 million due on closing of the transaction, and a $2.6 million Seller note payable to the Company not later than July 2025. The sale of the Utah assets was completed on March 7, 2024 and the Company received an early settlement of the Seller note on April 1, 2025 in the amount of $2.0 million.</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Arizona Divestiture</w:t>
      </w:r>
    </w:p>
    <w:p>
      <w:pPr>
        <w:spacing w:after="0" w:line="156" w:lineRule="exact"/>
        <w:rPr>
          <w:sz w:val="20"/>
          <w:szCs w:val="20"/>
          <w:color w:val="auto"/>
        </w:rPr>
      </w:pPr>
    </w:p>
    <w:p>
      <w:pPr>
        <w:jc w:val="both"/>
        <w:ind w:left="400"/>
        <w:spacing w:after="0" w:line="263" w:lineRule="auto"/>
        <w:rPr>
          <w:sz w:val="20"/>
          <w:szCs w:val="20"/>
          <w:color w:val="auto"/>
        </w:rPr>
      </w:pPr>
      <w:r>
        <w:rPr>
          <w:rFonts w:ascii="Times New Roman" w:cs="Times New Roman" w:eastAsia="Times New Roman" w:hAnsi="Times New Roman"/>
          <w:sz w:val="18"/>
          <w:szCs w:val="18"/>
          <w:color w:val="auto"/>
        </w:rPr>
        <w:t>On July 29, 2024, the Company entered into definitive agreements, subject to closing conditions, to dispose of its Arizona operations (the "Arizona Business") which are comprised of two dispensaries and one cultivation / manufacturing facility. The Arizona Business was divested for gross proceeds of $15 million, with approximately all $15 million which was received on signing of the definitive agreement.</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Eastern Virginia Divestiture</w:t>
      </w:r>
    </w:p>
    <w:p>
      <w:pPr>
        <w:spacing w:after="0" w:line="143"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On July 29, 2024, the Company entered into a definitive agreement, subject to closing conditions, to dispose of a portion of its Virginia operations (the "East Virginia Business") which are comprised of six dispensaries and one cultivation / manufacturing facility. The East Virginia Business was divested for gross proceeds of $90 million, consisting of approximately $20 million in cash, $40 million of equity in the Buyer, Verano Holdings Corp., due on closing of the transaction, and a $30 million seller note payable to the Company over a 14 month period.</w:t>
      </w:r>
    </w:p>
    <w:p>
      <w:pPr>
        <w:spacing w:after="0" w:line="113" w:lineRule="exact"/>
        <w:rPr>
          <w:sz w:val="20"/>
          <w:szCs w:val="20"/>
          <w:color w:val="auto"/>
        </w:rPr>
      </w:pPr>
    </w:p>
    <w:p>
      <w:pPr>
        <w:jc w:val="both"/>
        <w:ind w:left="400"/>
        <w:spacing w:after="0" w:line="263" w:lineRule="auto"/>
        <w:rPr>
          <w:sz w:val="20"/>
          <w:szCs w:val="20"/>
          <w:color w:val="auto"/>
        </w:rPr>
      </w:pPr>
      <w:r>
        <w:rPr>
          <w:rFonts w:ascii="Times New Roman" w:cs="Times New Roman" w:eastAsia="Times New Roman" w:hAnsi="Times New Roman"/>
          <w:sz w:val="18"/>
          <w:szCs w:val="18"/>
          <w:color w:val="auto"/>
        </w:rPr>
        <w:t>In May 2025, the Company reached an agreement on the early settlement of the balance on this seller note receivable, with a $10.0 million one-time payment made as full and early settlement of the note. Accordingly, there is a $0 balance receivable on the note subsequent to the one-time payment. The related proceeds from this early settlement are included within Investing Activities in the Statement of Cash Flows.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Florida Business Divestiture</w:t>
      </w:r>
    </w:p>
    <w:p>
      <w:pPr>
        <w:spacing w:after="0" w:line="210" w:lineRule="exact"/>
        <w:rPr>
          <w:sz w:val="20"/>
          <w:szCs w:val="20"/>
          <w:color w:val="auto"/>
        </w:rPr>
      </w:pPr>
    </w:p>
    <w:p>
      <w:pPr>
        <w:jc w:val="both"/>
        <w:ind w:left="400"/>
        <w:spacing w:after="0" w:line="253" w:lineRule="auto"/>
        <w:rPr>
          <w:sz w:val="20"/>
          <w:szCs w:val="20"/>
          <w:color w:val="auto"/>
        </w:rPr>
      </w:pPr>
      <w:r>
        <w:rPr>
          <w:rFonts w:ascii="Times New Roman" w:cs="Times New Roman" w:eastAsia="Times New Roman" w:hAnsi="Times New Roman"/>
          <w:sz w:val="18"/>
          <w:szCs w:val="18"/>
          <w:color w:val="auto"/>
        </w:rPr>
        <w:t>On November 7, 2024, the Company sold the majority of its Florida operations (the "Florida Business") through the sale of fourteen dispensaries and two cultivation / manufacturing facilities for gross proceeds of $5 million, consisting of approximately $3 million in cash and $2 million of promissory note. Following the sale of the Florida Business, the Company had one license and one cultivation facility in the state, neither of which remained in active operation. On April 17, 2025, the Company sold the license for $5 million in cash of which $4.1 million has been paid to date and $900 thousand remains receivable as of September 30, 2025 and is recorded in prepaid expenses and other current assets on the condensed consolidated interim balance sheet. In connection to the sale of the license, the Company has the potential for an additional $2.5 million contingent payment in the event of an adult use program in the state.</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Milford, Delaware Divestiture</w:t>
      </w:r>
    </w:p>
    <w:p>
      <w:pPr>
        <w:spacing w:after="0" w:line="156" w:lineRule="exact"/>
        <w:rPr>
          <w:sz w:val="20"/>
          <w:szCs w:val="20"/>
          <w:color w:val="auto"/>
        </w:rPr>
      </w:pPr>
    </w:p>
    <w:p>
      <w:pPr>
        <w:jc w:val="both"/>
        <w:ind w:left="400"/>
        <w:spacing w:after="0" w:line="278" w:lineRule="auto"/>
        <w:rPr>
          <w:sz w:val="20"/>
          <w:szCs w:val="20"/>
          <w:color w:val="auto"/>
        </w:rPr>
      </w:pPr>
      <w:r>
        <w:rPr>
          <w:rFonts w:ascii="Times New Roman" w:cs="Times New Roman" w:eastAsia="Times New Roman" w:hAnsi="Times New Roman"/>
          <w:sz w:val="18"/>
          <w:szCs w:val="18"/>
          <w:color w:val="auto"/>
        </w:rPr>
        <w:t>On January 15, 2025, the Company sold its Milford II cultivation property, which had not yet been developed and was a non-operating asset. Gross proceeds from the sale were $3.37 million, approximately $1.8 million of which was used to fully settle the outstanding mortgage on the property.</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North Hollywood, California Divestiture</w:t>
      </w:r>
    </w:p>
    <w:p>
      <w:pPr>
        <w:spacing w:after="0" w:line="156" w:lineRule="exact"/>
        <w:rPr>
          <w:sz w:val="20"/>
          <w:szCs w:val="20"/>
          <w:color w:val="auto"/>
        </w:rPr>
      </w:pPr>
    </w:p>
    <w:p>
      <w:pPr>
        <w:jc w:val="both"/>
        <w:ind w:left="400"/>
        <w:spacing w:after="0" w:line="263" w:lineRule="auto"/>
        <w:rPr>
          <w:sz w:val="20"/>
          <w:szCs w:val="20"/>
          <w:color w:val="auto"/>
        </w:rPr>
      </w:pPr>
      <w:r>
        <w:rPr>
          <w:rFonts w:ascii="Times New Roman" w:cs="Times New Roman" w:eastAsia="Times New Roman" w:hAnsi="Times New Roman"/>
          <w:sz w:val="18"/>
          <w:szCs w:val="18"/>
          <w:color w:val="auto"/>
        </w:rPr>
        <w:t>On March 18, 2025, the Company entered into a definitive agreement, subject to closing conditions, to dispose of its North Hollywood dispensary (the "NoHo store"). The NoHo store was divested for gross proceeds of approximately $1.375 million, with approximately $715 thousand paid up-front and the balance received in July 2025. Nothing remains receivable as of September 30, 2025.</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DeSoto, California Divestiture</w:t>
      </w:r>
    </w:p>
    <w:p>
      <w:pPr>
        <w:spacing w:after="0" w:line="143" w:lineRule="exact"/>
        <w:rPr>
          <w:sz w:val="20"/>
          <w:szCs w:val="20"/>
          <w:color w:val="auto"/>
        </w:rPr>
      </w:pPr>
    </w:p>
    <w:p>
      <w:pPr>
        <w:jc w:val="both"/>
        <w:ind w:left="400"/>
        <w:spacing w:after="0" w:line="263" w:lineRule="auto"/>
        <w:rPr>
          <w:sz w:val="20"/>
          <w:szCs w:val="20"/>
          <w:color w:val="auto"/>
        </w:rPr>
      </w:pPr>
      <w:r>
        <w:rPr>
          <w:rFonts w:ascii="Times New Roman" w:cs="Times New Roman" w:eastAsia="Times New Roman" w:hAnsi="Times New Roman"/>
          <w:sz w:val="18"/>
          <w:szCs w:val="18"/>
          <w:color w:val="auto"/>
        </w:rPr>
        <w:t>On April 3, 2025, the Company entered into a definitive agreement, subject to closing conditions, to dispose of its DeSoto, San Diego, dispensary (the "DeSoto store"). The DeSoto store was divested for gross proceeds of approximately $1 million, with approximately $500 thousand paid up-front and the balance due on completion of closing conditions.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THC, California Divestiture</w:t>
      </w:r>
    </w:p>
    <w:p>
      <w:pPr>
        <w:spacing w:after="0" w:line="156" w:lineRule="exact"/>
        <w:rPr>
          <w:sz w:val="20"/>
          <w:szCs w:val="20"/>
          <w:color w:val="auto"/>
        </w:rPr>
      </w:pPr>
    </w:p>
    <w:p>
      <w:pPr>
        <w:jc w:val="both"/>
        <w:ind w:left="400"/>
        <w:spacing w:after="0" w:line="263" w:lineRule="auto"/>
        <w:rPr>
          <w:sz w:val="20"/>
          <w:szCs w:val="20"/>
          <w:color w:val="auto"/>
        </w:rPr>
      </w:pPr>
      <w:r>
        <w:rPr>
          <w:rFonts w:ascii="Times New Roman" w:cs="Times New Roman" w:eastAsia="Times New Roman" w:hAnsi="Times New Roman"/>
          <w:sz w:val="18"/>
          <w:szCs w:val="18"/>
          <w:color w:val="auto"/>
        </w:rPr>
        <w:t>On April 15, 2025, the Company entered into a definitive agreement, subject to closing conditions, to dispose of its THC, San Diego, dispensary (the "THC store"). The THC store was divested for gross proceeds of approximately $1 million, with approximately $500 thousand paid up-front and the balance due on completion of closing conditions.</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Balboa, California divestiture</w:t>
      </w:r>
    </w:p>
    <w:p>
      <w:pPr>
        <w:spacing w:after="0" w:line="156"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On July 1, 2025, the Company entered into a definitive agreement, subject to closing conditions, to dispose of its Balboa, CA facility ("Balboa"). The Balboa facility was divested for gross proceeds of approximately $0.7 million, with approximately $0.4 million of gross proceeds paid up-front and the balance due on the completion of certain closing conditions. The balance of $0.3 million remains receivable as of September 30, 2025 and is recorded in prepaid expenses and other current assets on the condensed consolidated interim balance sheet.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Pennsylvania Stores divestiture</w:t>
      </w:r>
    </w:p>
    <w:p>
      <w:pPr>
        <w:spacing w:after="0" w:line="143"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On August 4, 2025, the Company entered into a definitive agreement to dispose of its three Pennsylvania retail stores (the "Pennsylvania stores"). The Pennsylvania stores were divested for gross proceeds of approximately $10 million, $1 million of which was placed into escrow and subject to release over a period up to 18 months from the Closing date and is recorded in prepaid expenses and other current assets on the condensed consolidated interim balance sheet.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the operating results of the disposed of business for the three and nine months ended September 30, 2025, and 2024:</w:t>
      </w:r>
    </w:p>
    <w:p>
      <w:pPr>
        <w:spacing w:after="0" w:line="183" w:lineRule="exact"/>
        <w:rPr>
          <w:sz w:val="20"/>
          <w:szCs w:val="20"/>
          <w:color w:val="auto"/>
        </w:rPr>
      </w:pPr>
    </w:p>
    <w:tbl>
      <w:tblPr>
        <w:tblLayout w:type="fixed"/>
        <w:tblInd w:w="930" w:type="dxa"/>
        <w:tblCellMar>
          <w:top w:w="0" w:type="dxa"/>
          <w:left w:w="0" w:type="dxa"/>
          <w:bottom w:w="0" w:type="dxa"/>
          <w:right w:w="0" w:type="dxa"/>
        </w:tblCellMar>
      </w:tblPr>
      <w:tr>
        <w:trPr>
          <w:trHeight w:val="211"/>
        </w:trPr>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3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060" w:type="dxa"/>
            <w:vAlign w:val="bottom"/>
            <w:tcBorders>
              <w:left w:val="single" w:sz="8" w:color="auto"/>
            </w:tcBorders>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50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30"/>
        </w:trPr>
        <w:tc>
          <w:tcPr>
            <w:tcW w:w="3060" w:type="dxa"/>
            <w:vAlign w:val="bottom"/>
            <w:tcBorders>
              <w:left w:val="single" w:sz="8" w:color="auto"/>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0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Arizona</w:t>
            </w: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tcPr>
          <w:p>
            <w:pPr>
              <w:spacing w:after="0"/>
              <w:rPr>
                <w:sz w:val="18"/>
                <w:szCs w:val="18"/>
                <w:color w:val="auto"/>
              </w:rPr>
            </w:pPr>
          </w:p>
        </w:tc>
        <w:tc>
          <w:tcPr>
            <w:tcW w:w="5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11,857</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10,747</w:t>
            </w:r>
          </w:p>
        </w:tc>
        <w:tc>
          <w:tcPr>
            <w:tcW w:w="0" w:type="dxa"/>
            <w:vAlign w:val="bottom"/>
          </w:tcPr>
          <w:p>
            <w:pPr>
              <w:spacing w:after="0"/>
              <w:rPr>
                <w:sz w:val="1"/>
                <w:szCs w:val="1"/>
                <w:color w:val="auto"/>
              </w:rPr>
            </w:pPr>
          </w:p>
        </w:tc>
      </w:tr>
      <w:tr>
        <w:trPr>
          <w:trHeight w:val="212"/>
        </w:trPr>
        <w:tc>
          <w:tcPr>
            <w:tcW w:w="30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District of Columbia</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211"/>
        </w:trPr>
        <w:tc>
          <w:tcPr>
            <w:tcW w:w="30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8"/>
                <w:szCs w:val="18"/>
                <w:color w:val="auto"/>
              </w:rPr>
            </w:pPr>
          </w:p>
        </w:tc>
        <w:tc>
          <w:tcPr>
            <w:tcW w:w="5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Eastern Virginia</w:t>
            </w: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100" w:type="dxa"/>
            <w:vAlign w:val="bottom"/>
          </w:tcPr>
          <w:p>
            <w:pPr>
              <w:spacing w:after="0"/>
              <w:rPr>
                <w:sz w:val="18"/>
                <w:szCs w:val="18"/>
                <w:color w:val="auto"/>
              </w:rPr>
            </w:pPr>
          </w:p>
        </w:tc>
        <w:tc>
          <w:tcPr>
            <w:tcW w:w="5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29,809</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0" w:type="dxa"/>
            <w:vAlign w:val="bottom"/>
          </w:tcPr>
          <w:p>
            <w:pPr>
              <w:spacing w:after="0"/>
              <w:rPr>
                <w:sz w:val="1"/>
                <w:szCs w:val="1"/>
                <w:color w:val="auto"/>
              </w:rPr>
            </w:pPr>
          </w:p>
        </w:tc>
      </w:tr>
      <w:tr>
        <w:trPr>
          <w:trHeight w:val="212"/>
        </w:trPr>
        <w:tc>
          <w:tcPr>
            <w:tcW w:w="30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17,772</w:t>
            </w:r>
          </w:p>
        </w:tc>
        <w:tc>
          <w:tcPr>
            <w:tcW w:w="0" w:type="dxa"/>
            <w:vAlign w:val="bottom"/>
          </w:tcPr>
          <w:p>
            <w:pPr>
              <w:spacing w:after="0"/>
              <w:rPr>
                <w:sz w:val="1"/>
                <w:szCs w:val="1"/>
                <w:color w:val="auto"/>
              </w:rPr>
            </w:pPr>
          </w:p>
        </w:tc>
      </w:tr>
      <w:tr>
        <w:trPr>
          <w:trHeight w:val="211"/>
        </w:trPr>
        <w:tc>
          <w:tcPr>
            <w:tcW w:w="30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10,731</w:t>
            </w:r>
          </w:p>
        </w:tc>
        <w:tc>
          <w:tcPr>
            <w:tcW w:w="100" w:type="dxa"/>
            <w:vAlign w:val="bottom"/>
          </w:tcPr>
          <w:p>
            <w:pPr>
              <w:spacing w:after="0"/>
              <w:rPr>
                <w:sz w:val="18"/>
                <w:szCs w:val="18"/>
                <w:color w:val="auto"/>
              </w:rPr>
            </w:pPr>
          </w:p>
        </w:tc>
        <w:tc>
          <w:tcPr>
            <w:tcW w:w="5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36,968</w:t>
            </w: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Utah</w:t>
            </w:r>
          </w:p>
        </w:tc>
        <w:tc>
          <w:tcPr>
            <w:tcW w:w="4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0" w:type="dxa"/>
            <w:vAlign w:val="bottom"/>
          </w:tcPr>
          <w:p>
            <w:pPr>
              <w:spacing w:after="0"/>
              <w:rPr>
                <w:sz w:val="1"/>
                <w:szCs w:val="1"/>
                <w:color w:val="auto"/>
              </w:rPr>
            </w:pPr>
          </w:p>
        </w:tc>
      </w:tr>
      <w:tr>
        <w:trPr>
          <w:trHeight w:val="212"/>
        </w:trPr>
        <w:tc>
          <w:tcPr>
            <w:tcW w:w="30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California</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0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40" w:type="dxa"/>
            <w:vAlign w:val="bottom"/>
          </w:tcPr>
          <w:p>
            <w:pPr>
              <w:spacing w:after="0"/>
              <w:rPr>
                <w:sz w:val="18"/>
                <w:szCs w:val="18"/>
                <w:color w:val="auto"/>
              </w:rPr>
            </w:pP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200" w:type="dxa"/>
            <w:vAlign w:val="bottom"/>
          </w:tcPr>
          <w:p>
            <w:pPr>
              <w:spacing w:after="0"/>
              <w:rPr>
                <w:sz w:val="18"/>
                <w:szCs w:val="18"/>
                <w:color w:val="auto"/>
              </w:rPr>
            </w:pP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40" w:type="dxa"/>
            <w:vAlign w:val="bottom"/>
          </w:tcPr>
          <w:p>
            <w:pPr>
              <w:spacing w:after="0"/>
              <w:rPr>
                <w:sz w:val="18"/>
                <w:szCs w:val="18"/>
                <w:color w:val="auto"/>
              </w:rPr>
            </w:pP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7,946</w:t>
            </w:r>
          </w:p>
        </w:tc>
        <w:tc>
          <w:tcPr>
            <w:tcW w:w="200" w:type="dxa"/>
            <w:vAlign w:val="bottom"/>
          </w:tcPr>
          <w:p>
            <w:pPr>
              <w:spacing w:after="0"/>
              <w:rPr>
                <w:sz w:val="18"/>
                <w:szCs w:val="18"/>
                <w:color w:val="auto"/>
              </w:rPr>
            </w:pP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61,372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left w:val="single" w:sz="8" w:color="auto"/>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060" w:type="dxa"/>
            <w:vAlign w:val="bottom"/>
            <w:tcBorders>
              <w:left w:val="single" w:sz="8" w:color="auto"/>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16,899</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15,630</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left="320" w:hanging="313"/>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b w:val="1"/>
          <w:bCs w:val="1"/>
          <w:color w:val="auto"/>
        </w:rPr>
        <w:t>NET ASSETS HELD FOR SALE</w:t>
      </w:r>
    </w:p>
    <w:p>
      <w:pPr>
        <w:spacing w:after="0" w:line="205" w:lineRule="exact"/>
        <w:rPr>
          <w:sz w:val="20"/>
          <w:szCs w:val="20"/>
          <w:color w:val="auto"/>
        </w:rPr>
      </w:pPr>
    </w:p>
    <w:p>
      <w:pPr>
        <w:jc w:val="both"/>
        <w:ind w:left="400"/>
        <w:spacing w:after="0" w:line="263" w:lineRule="auto"/>
        <w:rPr>
          <w:sz w:val="20"/>
          <w:szCs w:val="20"/>
          <w:color w:val="auto"/>
        </w:rPr>
      </w:pPr>
      <w:r>
        <w:rPr>
          <w:rFonts w:ascii="Times New Roman" w:cs="Times New Roman" w:eastAsia="Times New Roman" w:hAnsi="Times New Roman"/>
          <w:sz w:val="18"/>
          <w:szCs w:val="18"/>
          <w:color w:val="auto"/>
        </w:rPr>
        <w:t>During 2023, the Company committed to a plan to sell its Utah operations. Accordingly, certain of the assets and liabilities held by the Company’s Utah subsidiary were presented as a disposal group held for sale on the consolidated balance sheet as of December 31, 2023. The sale of the Utah assets was completed on March 7, 2024.</w:t>
      </w:r>
    </w:p>
    <w:p>
      <w:pPr>
        <w:spacing w:after="0" w:line="189" w:lineRule="exact"/>
        <w:rPr>
          <w:sz w:val="20"/>
          <w:szCs w:val="20"/>
          <w:color w:val="auto"/>
        </w:rPr>
      </w:pPr>
    </w:p>
    <w:p>
      <w:pPr>
        <w:ind w:left="400" w:right="180"/>
        <w:spacing w:after="0" w:line="237" w:lineRule="auto"/>
        <w:rPr>
          <w:sz w:val="20"/>
          <w:szCs w:val="20"/>
          <w:color w:val="auto"/>
        </w:rPr>
      </w:pPr>
      <w:r>
        <w:rPr>
          <w:rFonts w:ascii="Times New Roman" w:cs="Times New Roman" w:eastAsia="Times New Roman" w:hAnsi="Times New Roman"/>
          <w:sz w:val="18"/>
          <w:szCs w:val="18"/>
          <w:color w:val="auto"/>
        </w:rPr>
        <w:t>On November 7, 2024, the Company sold its Florida Business through the sale of fourteen dispensaries and two cultivation / manufacturing facilities for gross proceeds of $5 million, consisting of approximately $3 million in cash and $2 million of promissory note. Following the sale of the Florida Business, the Company had one license and one leasehold interest in a cultivation facility in the state, neither of which remained in active operation. On April 17, 2025, the Company sold the license for $5 million in cash, with the potential for an additional $2.5 million contingent payment in the event of an adult use program in the state. On September 22, 2025, the Company entered into a definitive agreement, subject to closing conditions, to sell the leasehold interest and equipment in the cultivation facility for gross proceeds of $11 million with the potential for an additional $1 million contingent payment in the event of an adult use program in the state.</w:t>
      </w:r>
    </w:p>
    <w:p>
      <w:pPr>
        <w:spacing w:after="0" w:line="201" w:lineRule="exact"/>
        <w:rPr>
          <w:sz w:val="20"/>
          <w:szCs w:val="20"/>
          <w:color w:val="auto"/>
        </w:rPr>
      </w:pPr>
    </w:p>
    <w:p>
      <w:pPr>
        <w:jc w:val="both"/>
        <w:ind w:left="400"/>
        <w:spacing w:after="0" w:line="262" w:lineRule="auto"/>
        <w:rPr>
          <w:sz w:val="20"/>
          <w:szCs w:val="20"/>
          <w:color w:val="auto"/>
        </w:rPr>
      </w:pPr>
      <w:r>
        <w:rPr>
          <w:rFonts w:ascii="Times New Roman" w:cs="Times New Roman" w:eastAsia="Times New Roman" w:hAnsi="Times New Roman"/>
          <w:sz w:val="18"/>
          <w:szCs w:val="18"/>
          <w:color w:val="auto"/>
        </w:rPr>
        <w:t>In early 2025, the Company committed to a plan to sell its Illinois operations (the “Illinois Business") which are comprised of two dispensaries and one cultivation / manufacturing facility.</w:t>
      </w:r>
    </w:p>
    <w:p>
      <w:pPr>
        <w:spacing w:after="0" w:line="190" w:lineRule="exact"/>
        <w:rPr>
          <w:sz w:val="20"/>
          <w:szCs w:val="20"/>
          <w:color w:val="auto"/>
        </w:rPr>
      </w:pPr>
    </w:p>
    <w:p>
      <w:pPr>
        <w:jc w:val="both"/>
        <w:ind w:left="400"/>
        <w:spacing w:after="0" w:line="247" w:lineRule="auto"/>
        <w:rPr>
          <w:sz w:val="20"/>
          <w:szCs w:val="20"/>
          <w:color w:val="auto"/>
        </w:rPr>
      </w:pPr>
      <w:r>
        <w:rPr>
          <w:rFonts w:ascii="Times New Roman" w:cs="Times New Roman" w:eastAsia="Times New Roman" w:hAnsi="Times New Roman"/>
          <w:sz w:val="18"/>
          <w:szCs w:val="18"/>
          <w:color w:val="auto"/>
        </w:rPr>
        <w:t>In early 2025, the Company also committed to a plan to sell its remaining California operations (the "remaining California Business") which is comprised of three dispensaries and one cultivation / manufacturing facility. During the six months ended June 30, 2025, the Company disposed of two of the three dispensaries, see Note 17 Divestitures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ind w:left="400"/>
        <w:spacing w:after="0" w:line="262" w:lineRule="auto"/>
        <w:rPr>
          <w:sz w:val="20"/>
          <w:szCs w:val="20"/>
          <w:color w:val="auto"/>
        </w:rPr>
      </w:pPr>
      <w:r>
        <w:rPr>
          <w:rFonts w:ascii="Times New Roman" w:cs="Times New Roman" w:eastAsia="Times New Roman" w:hAnsi="Times New Roman"/>
          <w:sz w:val="18"/>
          <w:szCs w:val="18"/>
          <w:color w:val="auto"/>
        </w:rPr>
        <w:t>(DeSoto and THC). In July 2025, the cultivation / manufacturing facility was divested and as of September 30, 2025, one dispensary remains to be sold.</w:t>
      </w:r>
    </w:p>
    <w:p>
      <w:pPr>
        <w:spacing w:after="0" w:line="110"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The planned disposals as of September 30, 2025 did not represent a strategic shift of the Company that had or will have a major effect on the Company’s operations and financial results. Accordingly, the operations were not segregated and were presented as continuing operations in the condensed consolidated interim statements of operations and comprehensive loss as of September 30, 2025 and December 31, 2024. The disposal group was stated at fair value less costs to sell and comprised the following assets and liabilities:</w:t>
      </w:r>
    </w:p>
    <w:p>
      <w:pPr>
        <w:spacing w:after="0" w:line="4" w:lineRule="exact"/>
        <w:rPr>
          <w:sz w:val="20"/>
          <w:szCs w:val="20"/>
          <w:color w:val="auto"/>
        </w:rPr>
      </w:pPr>
    </w:p>
    <w:tbl>
      <w:tblPr>
        <w:tblLayout w:type="fixed"/>
        <w:tblInd w:w="1260" w:type="dxa"/>
        <w:tblCellMar>
          <w:top w:w="0" w:type="dxa"/>
          <w:left w:w="0" w:type="dxa"/>
          <w:bottom w:w="0" w:type="dxa"/>
          <w:right w:w="0" w:type="dxa"/>
        </w:tblCellMar>
      </w:tblPr>
      <w:tr>
        <w:trPr>
          <w:trHeight w:val="174"/>
        </w:trPr>
        <w:tc>
          <w:tcPr>
            <w:tcW w:w="5280" w:type="dxa"/>
            <w:vAlign w:val="bottom"/>
            <w:tcBorders>
              <w:bottom w:val="single" w:sz="8" w:color="CAEEF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220" w:type="dxa"/>
            <w:vAlign w:val="bottom"/>
            <w:tcBorders>
              <w:bottom w:val="single" w:sz="8" w:color="CAEEF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214"/>
        </w:trPr>
        <w:tc>
          <w:tcPr>
            <w:tcW w:w="5280" w:type="dxa"/>
            <w:vAlign w:val="bottom"/>
            <w:shd w:val="clear" w:color="auto" w:fill="CAEEFB"/>
          </w:tcPr>
          <w:p>
            <w:pPr>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AEEFB"/>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6"/>
        </w:trPr>
        <w:tc>
          <w:tcPr>
            <w:tcW w:w="5280" w:type="dxa"/>
            <w:vAlign w:val="bottom"/>
            <w:shd w:val="clear" w:color="auto" w:fill="CAEEFB"/>
          </w:tcPr>
          <w:p>
            <w:pPr>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AEEFB"/>
          </w:tcPr>
          <w:p>
            <w:pPr>
              <w:spacing w:after="0"/>
              <w:rPr>
                <w:sz w:val="18"/>
                <w:szCs w:val="18"/>
                <w:color w:val="auto"/>
              </w:rPr>
            </w:pPr>
          </w:p>
        </w:tc>
        <w:tc>
          <w:tcPr>
            <w:tcW w:w="1460" w:type="dxa"/>
            <w:vAlign w:val="bottom"/>
            <w:shd w:val="clear" w:color="auto" w:fill="CAEEFB"/>
          </w:tcPr>
          <w:p>
            <w:pPr>
              <w:jc w:val="right"/>
              <w:ind w:right="1"/>
              <w:spacing w:after="0"/>
              <w:rPr>
                <w:sz w:val="20"/>
                <w:szCs w:val="20"/>
                <w:color w:val="auto"/>
              </w:rPr>
            </w:pPr>
            <w:r>
              <w:rPr>
                <w:rFonts w:ascii="Times New Roman" w:cs="Times New Roman" w:eastAsia="Times New Roman" w:hAnsi="Times New Roman"/>
                <w:sz w:val="16"/>
                <w:szCs w:val="16"/>
                <w:color w:val="auto"/>
              </w:rPr>
              <w:t>4,465</w:t>
            </w:r>
          </w:p>
        </w:tc>
        <w:tc>
          <w:tcPr>
            <w:tcW w:w="220" w:type="dxa"/>
            <w:vAlign w:val="bottom"/>
            <w:shd w:val="clear" w:color="auto" w:fill="CAEEFB"/>
          </w:tcPr>
          <w:p>
            <w:pPr>
              <w:spacing w:after="0"/>
              <w:rPr>
                <w:sz w:val="18"/>
                <w:szCs w:val="18"/>
                <w:color w:val="auto"/>
              </w:rPr>
            </w:pPr>
          </w:p>
        </w:tc>
        <w:tc>
          <w:tcPr>
            <w:tcW w:w="180" w:type="dxa"/>
            <w:vAlign w:val="bottom"/>
            <w:shd w:val="clear" w:color="auto" w:fill="CAEEFB"/>
          </w:tcPr>
          <w:p>
            <w:pPr>
              <w:spacing w:after="0"/>
              <w:rPr>
                <w:sz w:val="18"/>
                <w:szCs w:val="18"/>
                <w:color w:val="auto"/>
              </w:rPr>
            </w:pPr>
          </w:p>
        </w:tc>
        <w:tc>
          <w:tcPr>
            <w:tcW w:w="1420" w:type="dxa"/>
            <w:vAlign w:val="bottom"/>
            <w:shd w:val="clear" w:color="auto" w:fill="CAEEFB"/>
          </w:tcPr>
          <w:p>
            <w:pPr>
              <w:jc w:val="right"/>
              <w:ind w:right="1"/>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6"/>
        </w:trPr>
        <w:tc>
          <w:tcPr>
            <w:tcW w:w="5280" w:type="dxa"/>
            <w:vAlign w:val="bottom"/>
            <w:shd w:val="clear" w:color="auto" w:fill="CAEEFB"/>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shd w:val="clear" w:color="auto" w:fill="CAEEFB"/>
          </w:tcPr>
          <w:p>
            <w:pPr>
              <w:spacing w:after="0"/>
              <w:rPr>
                <w:sz w:val="18"/>
                <w:szCs w:val="18"/>
                <w:color w:val="auto"/>
              </w:rPr>
            </w:pPr>
          </w:p>
        </w:tc>
        <w:tc>
          <w:tcPr>
            <w:tcW w:w="1460" w:type="dxa"/>
            <w:vAlign w:val="bottom"/>
            <w:shd w:val="clear" w:color="auto" w:fill="CAEEFB"/>
          </w:tcPr>
          <w:p>
            <w:pPr>
              <w:jc w:val="right"/>
              <w:ind w:right="1"/>
              <w:spacing w:after="0"/>
              <w:rPr>
                <w:sz w:val="20"/>
                <w:szCs w:val="20"/>
                <w:color w:val="auto"/>
              </w:rPr>
            </w:pPr>
            <w:r>
              <w:rPr>
                <w:rFonts w:ascii="Times New Roman" w:cs="Times New Roman" w:eastAsia="Times New Roman" w:hAnsi="Times New Roman"/>
                <w:sz w:val="16"/>
                <w:szCs w:val="16"/>
                <w:color w:val="auto"/>
              </w:rPr>
              <w:t>10,394</w:t>
            </w:r>
          </w:p>
        </w:tc>
        <w:tc>
          <w:tcPr>
            <w:tcW w:w="220" w:type="dxa"/>
            <w:vAlign w:val="bottom"/>
            <w:shd w:val="clear" w:color="auto" w:fill="CAEEFB"/>
          </w:tcPr>
          <w:p>
            <w:pPr>
              <w:spacing w:after="0"/>
              <w:rPr>
                <w:sz w:val="18"/>
                <w:szCs w:val="18"/>
                <w:color w:val="auto"/>
              </w:rPr>
            </w:pPr>
          </w:p>
        </w:tc>
        <w:tc>
          <w:tcPr>
            <w:tcW w:w="180" w:type="dxa"/>
            <w:vAlign w:val="bottom"/>
            <w:shd w:val="clear" w:color="auto" w:fill="CAEEFB"/>
          </w:tcPr>
          <w:p>
            <w:pPr>
              <w:spacing w:after="0"/>
              <w:rPr>
                <w:sz w:val="18"/>
                <w:szCs w:val="18"/>
                <w:color w:val="auto"/>
              </w:rPr>
            </w:pPr>
          </w:p>
        </w:tc>
        <w:tc>
          <w:tcPr>
            <w:tcW w:w="1420" w:type="dxa"/>
            <w:vAlign w:val="bottom"/>
            <w:shd w:val="clear" w:color="auto" w:fill="CAEEFB"/>
          </w:tcPr>
          <w:p>
            <w:pPr>
              <w:jc w:val="right"/>
              <w:ind w:right="1"/>
              <w:spacing w:after="0"/>
              <w:rPr>
                <w:sz w:val="20"/>
                <w:szCs w:val="20"/>
                <w:color w:val="auto"/>
              </w:rPr>
            </w:pPr>
            <w:r>
              <w:rPr>
                <w:rFonts w:ascii="Times New Roman" w:cs="Times New Roman" w:eastAsia="Times New Roman" w:hAnsi="Times New Roman"/>
                <w:sz w:val="16"/>
                <w:szCs w:val="16"/>
                <w:color w:val="auto"/>
              </w:rPr>
              <w:t>9,516</w:t>
            </w: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0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2,364</w:t>
            </w:r>
          </w:p>
        </w:tc>
        <w:tc>
          <w:tcPr>
            <w:tcW w:w="0" w:type="dxa"/>
            <w:vAlign w:val="bottom"/>
          </w:tcPr>
          <w:p>
            <w:pPr>
              <w:spacing w:after="0"/>
              <w:rPr>
                <w:sz w:val="1"/>
                <w:szCs w:val="1"/>
                <w:color w:val="auto"/>
              </w:rPr>
            </w:pPr>
          </w:p>
        </w:tc>
      </w:tr>
      <w:tr>
        <w:trPr>
          <w:trHeight w:val="216"/>
        </w:trPr>
        <w:tc>
          <w:tcPr>
            <w:tcW w:w="5280" w:type="dxa"/>
            <w:vAlign w:val="bottom"/>
            <w:shd w:val="clear" w:color="auto" w:fill="CAEEFB"/>
          </w:tcPr>
          <w:p>
            <w:pPr>
              <w:spacing w:after="0"/>
              <w:rPr>
                <w:sz w:val="20"/>
                <w:szCs w:val="20"/>
                <w:color w:val="auto"/>
              </w:rPr>
            </w:pPr>
            <w:r>
              <w:rPr>
                <w:rFonts w:ascii="Times New Roman" w:cs="Times New Roman" w:eastAsia="Times New Roman" w:hAnsi="Times New Roman"/>
                <w:sz w:val="16"/>
                <w:szCs w:val="16"/>
                <w:color w:val="auto"/>
              </w:rPr>
              <w:t>Right of use assets - finance leases, net</w:t>
            </w:r>
          </w:p>
        </w:tc>
        <w:tc>
          <w:tcPr>
            <w:tcW w:w="200" w:type="dxa"/>
            <w:vAlign w:val="bottom"/>
            <w:shd w:val="clear" w:color="auto" w:fill="CAEEFB"/>
          </w:tcPr>
          <w:p>
            <w:pPr>
              <w:spacing w:after="0"/>
              <w:rPr>
                <w:sz w:val="18"/>
                <w:szCs w:val="18"/>
                <w:color w:val="auto"/>
              </w:rPr>
            </w:pPr>
          </w:p>
        </w:tc>
        <w:tc>
          <w:tcPr>
            <w:tcW w:w="1460" w:type="dxa"/>
            <w:vAlign w:val="bottom"/>
            <w:shd w:val="clear" w:color="auto" w:fill="CAEEFB"/>
          </w:tcPr>
          <w:p>
            <w:pPr>
              <w:jc w:val="right"/>
              <w:ind w:right="1"/>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shd w:val="clear" w:color="auto" w:fill="CAEEFB"/>
          </w:tcPr>
          <w:p>
            <w:pPr>
              <w:spacing w:after="0"/>
              <w:rPr>
                <w:sz w:val="18"/>
                <w:szCs w:val="18"/>
                <w:color w:val="auto"/>
              </w:rPr>
            </w:pPr>
          </w:p>
        </w:tc>
        <w:tc>
          <w:tcPr>
            <w:tcW w:w="180" w:type="dxa"/>
            <w:vAlign w:val="bottom"/>
            <w:shd w:val="clear" w:color="auto" w:fill="CAEEFB"/>
          </w:tcPr>
          <w:p>
            <w:pPr>
              <w:spacing w:after="0"/>
              <w:rPr>
                <w:sz w:val="18"/>
                <w:szCs w:val="18"/>
                <w:color w:val="auto"/>
              </w:rPr>
            </w:pPr>
          </w:p>
        </w:tc>
        <w:tc>
          <w:tcPr>
            <w:tcW w:w="1420" w:type="dxa"/>
            <w:vAlign w:val="bottom"/>
            <w:shd w:val="clear" w:color="auto" w:fill="CAEEFB"/>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1"/>
        </w:trPr>
        <w:tc>
          <w:tcPr>
            <w:tcW w:w="5280" w:type="dxa"/>
            <w:vAlign w:val="bottom"/>
            <w:tcBorders>
              <w:bottom w:val="single" w:sz="8" w:color="CAEEFB"/>
            </w:tcBorders>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787</w:t>
            </w:r>
          </w:p>
        </w:tc>
        <w:tc>
          <w:tcPr>
            <w:tcW w:w="220" w:type="dxa"/>
            <w:vAlign w:val="bottom"/>
            <w:tcBorders>
              <w:bottom w:val="single" w:sz="8" w:color="CAEEF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4,778</w:t>
            </w:r>
          </w:p>
        </w:tc>
        <w:tc>
          <w:tcPr>
            <w:tcW w:w="0" w:type="dxa"/>
            <w:vAlign w:val="bottom"/>
          </w:tcPr>
          <w:p>
            <w:pPr>
              <w:spacing w:after="0"/>
              <w:rPr>
                <w:sz w:val="1"/>
                <w:szCs w:val="1"/>
                <w:color w:val="auto"/>
              </w:rPr>
            </w:pPr>
          </w:p>
        </w:tc>
      </w:tr>
      <w:tr>
        <w:trPr>
          <w:trHeight w:val="232"/>
        </w:trPr>
        <w:tc>
          <w:tcPr>
            <w:tcW w:w="5280" w:type="dxa"/>
            <w:vAlign w:val="bottom"/>
            <w:tcBorders>
              <w:bottom w:val="single" w:sz="8" w:color="CAEEFB"/>
            </w:tcBorders>
            <w:shd w:val="clear" w:color="auto" w:fill="CAEEFB"/>
          </w:tcPr>
          <w:p>
            <w:pPr>
              <w:spacing w:after="0"/>
              <w:rPr>
                <w:sz w:val="20"/>
                <w:szCs w:val="20"/>
                <w:color w:val="auto"/>
              </w:rPr>
            </w:pPr>
            <w:r>
              <w:rPr>
                <w:rFonts w:ascii="Times New Roman" w:cs="Times New Roman" w:eastAsia="Times New Roman" w:hAnsi="Times New Roman"/>
                <w:sz w:val="16"/>
                <w:szCs w:val="16"/>
                <w:b w:val="1"/>
                <w:bCs w:val="1"/>
                <w:color w:val="auto"/>
              </w:rPr>
              <w:t>Assets held for sale</w:t>
            </w:r>
          </w:p>
        </w:tc>
        <w:tc>
          <w:tcPr>
            <w:tcW w:w="20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29,954</w:t>
            </w:r>
          </w:p>
        </w:tc>
        <w:tc>
          <w:tcPr>
            <w:tcW w:w="220" w:type="dxa"/>
            <w:vAlign w:val="bottom"/>
            <w:tcBorders>
              <w:bottom w:val="single" w:sz="8" w:color="CAEEFB"/>
            </w:tcBorders>
            <w:shd w:val="clear" w:color="auto" w:fill="CAEEFB"/>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17,778</w:t>
            </w:r>
          </w:p>
        </w:tc>
        <w:tc>
          <w:tcPr>
            <w:tcW w:w="0" w:type="dxa"/>
            <w:vAlign w:val="bottom"/>
          </w:tcPr>
          <w:p>
            <w:pPr>
              <w:spacing w:after="0"/>
              <w:rPr>
                <w:sz w:val="1"/>
                <w:szCs w:val="1"/>
                <w:color w:val="auto"/>
              </w:rPr>
            </w:pPr>
          </w:p>
        </w:tc>
      </w:tr>
      <w:tr>
        <w:trPr>
          <w:trHeight w:val="20"/>
        </w:trPr>
        <w:tc>
          <w:tcPr>
            <w:tcW w:w="5280" w:type="dxa"/>
            <w:vAlign w:val="bottom"/>
            <w:tcBorders>
              <w:top w:val="single" w:sz="8" w:color="CAEEFB"/>
              <w:bottom w:val="single" w:sz="8" w:color="CAEEFB"/>
            </w:tcBorders>
            <w:vMerge w:val="restart"/>
          </w:tcPr>
          <w:p>
            <w:pPr>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AEEFB"/>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80" w:type="dxa"/>
            <w:vAlign w:val="bottom"/>
            <w:vMerge w:val="continue"/>
          </w:tcPr>
          <w:p>
            <w:pPr>
              <w:spacing w:after="0"/>
              <w:rPr>
                <w:sz w:val="16"/>
                <w:szCs w:val="16"/>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2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6"/>
        </w:trPr>
        <w:tc>
          <w:tcPr>
            <w:tcW w:w="5280" w:type="dxa"/>
            <w:vAlign w:val="bottom"/>
            <w:shd w:val="clear" w:color="auto" w:fill="CAEEFB"/>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200" w:type="dxa"/>
            <w:vAlign w:val="bottom"/>
            <w:tcBorders>
              <w:bottom w:val="single" w:sz="8" w:color="auto"/>
            </w:tcBorders>
            <w:shd w:val="clear" w:color="auto" w:fill="CAEEFB"/>
          </w:tcPr>
          <w:p>
            <w:pPr>
              <w:spacing w:after="0"/>
              <w:rPr>
                <w:sz w:val="18"/>
                <w:szCs w:val="18"/>
                <w:color w:val="auto"/>
              </w:rPr>
            </w:pPr>
          </w:p>
        </w:tc>
        <w:tc>
          <w:tcPr>
            <w:tcW w:w="146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(13,563)</w:t>
            </w:r>
          </w:p>
        </w:tc>
        <w:tc>
          <w:tcPr>
            <w:tcW w:w="220" w:type="dxa"/>
            <w:vAlign w:val="bottom"/>
            <w:shd w:val="clear" w:color="auto" w:fill="CAEEFB"/>
          </w:tcPr>
          <w:p>
            <w:pPr>
              <w:spacing w:after="0"/>
              <w:rPr>
                <w:sz w:val="18"/>
                <w:szCs w:val="18"/>
                <w:color w:val="auto"/>
              </w:rPr>
            </w:pPr>
          </w:p>
        </w:tc>
        <w:tc>
          <w:tcPr>
            <w:tcW w:w="180" w:type="dxa"/>
            <w:vAlign w:val="bottom"/>
            <w:tcBorders>
              <w:bottom w:val="single" w:sz="8" w:color="auto"/>
            </w:tcBorders>
            <w:shd w:val="clear" w:color="auto" w:fill="CAEEFB"/>
          </w:tcPr>
          <w:p>
            <w:pPr>
              <w:spacing w:after="0"/>
              <w:rPr>
                <w:sz w:val="18"/>
                <w:szCs w:val="18"/>
                <w:color w:val="auto"/>
              </w:rPr>
            </w:pPr>
          </w:p>
        </w:tc>
        <w:tc>
          <w:tcPr>
            <w:tcW w:w="142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0" w:type="dxa"/>
            <w:vAlign w:val="bottom"/>
          </w:tcPr>
          <w:p>
            <w:pPr>
              <w:spacing w:after="0"/>
              <w:rPr>
                <w:sz w:val="1"/>
                <w:szCs w:val="1"/>
                <w:color w:val="auto"/>
              </w:rPr>
            </w:pPr>
          </w:p>
        </w:tc>
      </w:tr>
      <w:tr>
        <w:trPr>
          <w:trHeight w:val="205"/>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held for sale</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(14,550)</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w:t>
            </w:r>
          </w:p>
        </w:tc>
        <w:tc>
          <w:tcPr>
            <w:tcW w:w="0" w:type="dxa"/>
            <w:vAlign w:val="bottom"/>
          </w:tcPr>
          <w:p>
            <w:pPr>
              <w:spacing w:after="0"/>
              <w:rPr>
                <w:sz w:val="1"/>
                <w:szCs w:val="1"/>
                <w:color w:val="auto"/>
              </w:rPr>
            </w:pPr>
          </w:p>
        </w:tc>
      </w:tr>
      <w:tr>
        <w:trPr>
          <w:trHeight w:val="23"/>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400"/>
        <w:spacing w:after="0" w:line="278" w:lineRule="auto"/>
        <w:rPr>
          <w:sz w:val="20"/>
          <w:szCs w:val="20"/>
          <w:color w:val="auto"/>
        </w:rPr>
      </w:pPr>
      <w:r>
        <w:rPr>
          <w:rFonts w:ascii="Times New Roman" w:cs="Times New Roman" w:eastAsia="Times New Roman" w:hAnsi="Times New Roman"/>
          <w:sz w:val="18"/>
          <w:szCs w:val="18"/>
          <w:color w:val="auto"/>
        </w:rPr>
        <w:t>The non-recurring fair value measurement for the disposal group has been categorized as a Level 3 fair value utilizing Level 3 inputs and using a market approach, based on available data for transactions in the region and discussions with potential acquirers.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Sale of Inactive Real Estate Interests</w:t>
      </w:r>
      <w:r>
        <w:rPr>
          <w:rFonts w:ascii="Times New Roman" w:cs="Times New Roman" w:eastAsia="Times New Roman" w:hAnsi="Times New Roman"/>
          <w:sz w:val="18"/>
          <w:szCs w:val="18"/>
          <w:color w:val="auto"/>
        </w:rPr>
        <w:t>: On October 3, 2025, the Company completed the sale of a property in New Jersey for gross proceeds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$2.55 million pursuant to a regulatory taking initiated by the state. The property had originally been intended for a dispensary, which never opened, and was ultimately opened at a different location. On November 10, 2025, the Company completed the sale of its leasehold interest and equipment in a cultivation facility in Florida for gross proceeds of $11 million with the potential for an additional $1 million contingent payment in the event of an adult use program in the state, subject to certain conditions. The cultivation facility had been inactive since the second half of 2024 following the Company’s announced exit from the Florida market. The Company has no remaining assets in Florida.</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This management’s discussion and analysis (“MD&amp;A”) of the financial condition and results of operations of The Cannabist Company Holdings Inc. (“The Cannabist Company”, the “Company”, “us”, “our” or “we”) is supplemental to, and should be read in conjunction with, The Cannabist Company's unaudited condensed consolidated interim financial statements and the accompanying notes for the three and nine months ended September 30, 2025 and 2024.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the Company’s 2024 Form 10-K filed with the SEC on March 17, 2025 and subsequent securities filings.</w:t>
      </w:r>
    </w:p>
    <w:p>
      <w:pPr>
        <w:spacing w:after="0" w:line="1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The Cannabist Company's financial statements are prepared in accordance with generally accepted accounting principles in the United States of America (“US GAAP”). Financial information presented in this MD&amp;A is presented in thousands of United States dollars (“$” or “US$”), unless otherwise indicated.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CANNABIST COMPANY</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Cannabist Company, formerly known as Columbia Care, is one of the most experienced cultivators, manufacturers and providers of cannabis products and related services, with licenses in 12 U.S. jurisdictions. The Company operates 77 facilities including 61 dispensaries and 16 cultivation and manufacturing facilities, including those under development. Columbia Care, now The Cannabist Company, is one of the original multi-state providers of cannabis in the U.S. and now delivers industry-leading products and services to both the medical and adult-use markets. In 2021, the Company launched Cannabist, its retail brand, creating a national dispensary network that leverages proprietary technology platforms. The company offers products spanning flower, edibles, oils and tablets, and manufactures popular brands including dreamt, Seed &amp; Strain, Triple Seven, Hedy, gLeaf, Classix, Press, and Amber.</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FINANCIAL INFORMATION</w:t>
      </w:r>
    </w:p>
    <w:p>
      <w:pPr>
        <w:spacing w:after="0" w:line="14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The following tables set forth selected consolidated financial information derived from our unaudited condensed consolidated interim financial statements and the respective accompanying notes prepared in accordance with U.S. GAAP.</w:t>
      </w:r>
    </w:p>
    <w:p>
      <w:pPr>
        <w:spacing w:after="0" w:line="9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During the periods discussed herein, our accounting policies have remained consistent. The selected and summarized consolidated financial information below may not be indicative of our future performance.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04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3"/>
                <w:szCs w:val="13"/>
                <w:color w:val="auto"/>
              </w:rPr>
            </w:pPr>
          </w:p>
        </w:tc>
        <w:tc>
          <w:tcPr>
            <w:tcW w:w="96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04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2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84"/>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79,912</w:t>
            </w: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114,783</w:t>
            </w: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(34,871)</w:t>
            </w:r>
          </w:p>
        </w:tc>
        <w:tc>
          <w:tcPr>
            <w:tcW w:w="9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253,702</w:t>
            </w: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362,584</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(108,882)</w:t>
            </w:r>
          </w:p>
        </w:tc>
        <w:tc>
          <w:tcPr>
            <w:tcW w:w="10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1"/>
        </w:trPr>
        <w:tc>
          <w:tcPr>
            <w:tcW w:w="29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(57,001)</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(70,973)</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13,972</w:t>
            </w:r>
          </w:p>
        </w:tc>
        <w:tc>
          <w:tcPr>
            <w:tcW w:w="9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(184,353)</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(228,185)</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43,832</w:t>
            </w:r>
          </w:p>
        </w:tc>
        <w:tc>
          <w:tcPr>
            <w:tcW w:w="10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(20,899)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69,349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134,399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(65,050)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1"/>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163"/>
        </w:trPr>
        <w:tc>
          <w:tcPr>
            <w:tcW w:w="2900" w:type="dxa"/>
            <w:vAlign w:val="bottom"/>
            <w:shd w:val="clear" w:color="auto" w:fill="CFF0FC"/>
          </w:tcPr>
          <w:p>
            <w:pPr>
              <w:ind w:left="20"/>
              <w:spacing w:after="0" w:line="163"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FF0FC"/>
          </w:tcPr>
          <w:p>
            <w:pPr>
              <w:spacing w:after="0"/>
              <w:rPr>
                <w:sz w:val="14"/>
                <w:szCs w:val="14"/>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(34,941)</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(49,315)</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14,374</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(105,182)</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(142,634)</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37,452</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4"/>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(21,992)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(37,872)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(36,602)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2882 %</w:t>
            </w:r>
          </w:p>
        </w:tc>
        <w:tc>
          <w:tcPr>
            <w:tcW w:w="0" w:type="dxa"/>
            <w:vAlign w:val="bottom"/>
          </w:tcPr>
          <w:p>
            <w:pPr>
              <w:spacing w:after="0"/>
              <w:rPr>
                <w:sz w:val="1"/>
                <w:szCs w:val="1"/>
                <w:color w:val="auto"/>
              </w:rPr>
            </w:pPr>
          </w:p>
        </w:tc>
      </w:tr>
      <w:tr>
        <w:trPr>
          <w:trHeight w:val="211"/>
        </w:trPr>
        <w:tc>
          <w:tcPr>
            <w:tcW w:w="29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(21,838)</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15,504</w:t>
            </w:r>
          </w:p>
        </w:tc>
        <w:tc>
          <w:tcPr>
            <w:tcW w:w="9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(50,349)</w:t>
            </w: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(40,348)</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(10,001)</w:t>
            </w:r>
          </w:p>
        </w:tc>
        <w:tc>
          <w:tcPr>
            <w:tcW w:w="10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(14,655)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731 %</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(124,247)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(49,974)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(74,273)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160"/>
        </w:trPr>
        <w:tc>
          <w:tcPr>
            <w:tcW w:w="290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Net profit (loss) attributable to non-</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1"/>
        </w:trPr>
        <w:tc>
          <w:tcPr>
            <w:tcW w:w="29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CFF0FC"/>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CFF0F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90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6"/>
                <w:szCs w:val="16"/>
                <w:color w:val="auto"/>
              </w:rPr>
              <w:t>Net loss attributable to The Cannabist</w:t>
            </w:r>
          </w:p>
        </w:tc>
        <w:tc>
          <w:tcPr>
            <w:tcW w:w="1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(14,261)</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(12,401)</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667 %</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(124,346)</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(51,274)</w:t>
            </w: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(73,072)</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0" w:type="dxa"/>
            <w:vAlign w:val="bottom"/>
          </w:tcPr>
          <w:p>
            <w:pPr>
              <w:spacing w:after="0"/>
              <w:rPr>
                <w:sz w:val="1"/>
                <w:szCs w:val="1"/>
                <w:color w:val="auto"/>
              </w:rPr>
            </w:pPr>
          </w:p>
        </w:tc>
      </w:tr>
      <w:tr>
        <w:trPr>
          <w:trHeight w:val="207"/>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Company Holdings Inc.</w:t>
            </w: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980" w:type="dxa"/>
            <w:vAlign w:val="bottom"/>
            <w:tcBorders>
              <w:bottom w:val="single" w:sz="8" w:color="CFF0FC"/>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1020" w:type="dxa"/>
            <w:vAlign w:val="bottom"/>
            <w:tcBorders>
              <w:bottom w:val="single" w:sz="8" w:color="CFF0FC"/>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bottom w:val="single" w:sz="8" w:color="CFF0FC"/>
            </w:tcBorders>
            <w:vMerge w:val="restart"/>
          </w:tcPr>
          <w:p>
            <w:pPr>
              <w:ind w:left="20"/>
              <w:spacing w:after="0" w:line="148" w:lineRule="exact"/>
              <w:rPr>
                <w:sz w:val="20"/>
                <w:szCs w:val="20"/>
                <w:color w:val="auto"/>
              </w:rPr>
            </w:pPr>
            <w:r>
              <w:rPr>
                <w:rFonts w:ascii="Times New Roman" w:cs="Times New Roman" w:eastAsia="Times New Roman" w:hAnsi="Times New Roman"/>
                <w:sz w:val="16"/>
                <w:szCs w:val="16"/>
                <w:color w:val="auto"/>
              </w:rPr>
              <w:t>Loss per share attributable to The Cannabist</w:t>
            </w: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900" w:type="dxa"/>
            <w:vAlign w:val="bottom"/>
            <w:vMerge w:val="continue"/>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9"/>
                <w:szCs w:val="9"/>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623 %</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tcPr>
          <w:p>
            <w:pPr>
              <w:spacing w:after="0"/>
              <w:rPr>
                <w:sz w:val="9"/>
                <w:szCs w:val="9"/>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0" w:type="dxa"/>
            <w:vAlign w:val="bottom"/>
          </w:tcPr>
          <w:p>
            <w:pPr>
              <w:spacing w:after="0"/>
              <w:rPr>
                <w:sz w:val="1"/>
                <w:szCs w:val="1"/>
                <w:color w:val="auto"/>
              </w:rPr>
            </w:pPr>
          </w:p>
        </w:tc>
      </w:tr>
      <w:tr>
        <w:trPr>
          <w:trHeight w:val="18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 Holdings Inc.—based and diluted</w:t>
            </w: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0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900" w:type="dxa"/>
            <w:vAlign w:val="bottom"/>
            <w:shd w:val="clear" w:color="auto" w:fill="CFF0FC"/>
          </w:tcPr>
          <w:p>
            <w:pPr>
              <w:ind w:left="20"/>
              <w:spacing w:after="0" w:line="127" w:lineRule="exact"/>
              <w:rPr>
                <w:sz w:val="20"/>
                <w:szCs w:val="20"/>
                <w:color w:val="auto"/>
              </w:rPr>
            </w:pPr>
            <w:r>
              <w:rPr>
                <w:rFonts w:ascii="Times New Roman" w:cs="Times New Roman" w:eastAsia="Times New Roman" w:hAnsi="Times New Roman"/>
                <w:sz w:val="14"/>
                <w:szCs w:val="14"/>
                <w:color w:val="auto"/>
              </w:rPr>
              <w:t>Weighted average number of shares</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499,218,628</w:t>
            </w:r>
          </w:p>
        </w:tc>
        <w:tc>
          <w:tcPr>
            <w:tcW w:w="8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470,552,039</w:t>
            </w: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485,743,942</w:t>
            </w:r>
          </w:p>
        </w:tc>
        <w:tc>
          <w:tcPr>
            <w:tcW w:w="8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458,988,976</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outstanding—basic and diluted</w:t>
            </w:r>
          </w:p>
        </w:tc>
        <w:tc>
          <w:tcPr>
            <w:tcW w:w="940" w:type="dxa"/>
            <w:vAlign w:val="bottom"/>
            <w:tcBorders>
              <w:bottom w:val="single" w:sz="8" w:color="auto"/>
            </w:tcBorders>
            <w:gridSpan w:val="2"/>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vMerge w:val="continue"/>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vMerge w:val="continue"/>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of Balance Sheet items: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800" w:type="dxa"/>
            <w:vAlign w:val="bottom"/>
          </w:tcPr>
          <w:p>
            <w:pPr>
              <w:spacing w:after="0"/>
              <w:rPr>
                <w:sz w:val="19"/>
                <w:szCs w:val="19"/>
                <w:color w:val="auto"/>
              </w:rPr>
            </w:pPr>
          </w:p>
        </w:tc>
        <w:tc>
          <w:tcPr>
            <w:tcW w:w="2760" w:type="dxa"/>
            <w:vAlign w:val="bottom"/>
            <w:tcBorders>
              <w:bottom w:val="single" w:sz="8" w:color="CFF0FC"/>
            </w:tcBorders>
          </w:tcPr>
          <w:p>
            <w:pPr>
              <w:spacing w:after="0"/>
              <w:rPr>
                <w:sz w:val="19"/>
                <w:szCs w:val="19"/>
                <w:color w:val="auto"/>
              </w:rPr>
            </w:pPr>
          </w:p>
        </w:tc>
        <w:tc>
          <w:tcPr>
            <w:tcW w:w="1820" w:type="dxa"/>
            <w:vAlign w:val="bottom"/>
            <w:tcBorders>
              <w:bottom w:val="single" w:sz="8" w:color="CFF0FC"/>
            </w:tcBorders>
          </w:tcPr>
          <w:p>
            <w:pPr>
              <w:spacing w:after="0"/>
              <w:rPr>
                <w:sz w:val="19"/>
                <w:szCs w:val="19"/>
                <w:color w:val="auto"/>
              </w:rPr>
            </w:pPr>
          </w:p>
        </w:tc>
        <w:tc>
          <w:tcPr>
            <w:tcW w:w="15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780" w:type="dxa"/>
            <w:vAlign w:val="bottom"/>
          </w:tcPr>
          <w:p>
            <w:pPr>
              <w:spacing w:after="0"/>
              <w:rPr>
                <w:sz w:val="19"/>
                <w:szCs w:val="19"/>
                <w:color w:val="auto"/>
              </w:rPr>
            </w:pPr>
          </w:p>
        </w:tc>
      </w:tr>
      <w:tr>
        <w:trPr>
          <w:trHeight w:val="209"/>
        </w:trPr>
        <w:tc>
          <w:tcPr>
            <w:tcW w:w="1800" w:type="dxa"/>
            <w:vAlign w:val="bottom"/>
          </w:tcPr>
          <w:p>
            <w:pPr>
              <w:spacing w:after="0"/>
              <w:rPr>
                <w:sz w:val="18"/>
                <w:szCs w:val="18"/>
                <w:color w:val="auto"/>
              </w:rPr>
            </w:pPr>
          </w:p>
        </w:tc>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center"/>
              <w:ind w:left="280"/>
              <w:spacing w:after="0"/>
              <w:rPr>
                <w:sz w:val="20"/>
                <w:szCs w:val="20"/>
                <w:color w:val="auto"/>
              </w:rPr>
            </w:pPr>
            <w:r>
              <w:rPr>
                <w:rFonts w:ascii="Times New Roman" w:cs="Times New Roman" w:eastAsia="Times New Roman" w:hAnsi="Times New Roman"/>
                <w:sz w:val="16"/>
                <w:szCs w:val="16"/>
                <w:color w:val="auto"/>
                <w:w w:val="99"/>
              </w:rPr>
              <w:t>536,509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696,173</w:t>
            </w:r>
          </w:p>
        </w:tc>
        <w:tc>
          <w:tcPr>
            <w:tcW w:w="1780" w:type="dxa"/>
            <w:vAlign w:val="bottom"/>
          </w:tcPr>
          <w:p>
            <w:pPr>
              <w:spacing w:after="0"/>
              <w:rPr>
                <w:sz w:val="18"/>
                <w:szCs w:val="18"/>
                <w:color w:val="auto"/>
              </w:rPr>
            </w:pPr>
          </w:p>
        </w:tc>
      </w:tr>
      <w:tr>
        <w:trPr>
          <w:trHeight w:val="211"/>
        </w:trPr>
        <w:tc>
          <w:tcPr>
            <w:tcW w:w="180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center"/>
              <w:ind w:left="280"/>
              <w:spacing w:after="0"/>
              <w:rPr>
                <w:sz w:val="20"/>
                <w:szCs w:val="20"/>
                <w:color w:val="auto"/>
              </w:rPr>
            </w:pPr>
            <w:r>
              <w:rPr>
                <w:rFonts w:ascii="Times New Roman" w:cs="Times New Roman" w:eastAsia="Times New Roman" w:hAnsi="Times New Roman"/>
                <w:sz w:val="16"/>
                <w:szCs w:val="16"/>
                <w:color w:val="auto"/>
                <w:w w:val="99"/>
              </w:rPr>
              <w:t>689,458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726,232</w:t>
            </w:r>
          </w:p>
        </w:tc>
        <w:tc>
          <w:tcPr>
            <w:tcW w:w="1780" w:type="dxa"/>
            <w:vAlign w:val="bottom"/>
          </w:tcPr>
          <w:p>
            <w:pPr>
              <w:spacing w:after="0"/>
              <w:rPr>
                <w:sz w:val="18"/>
                <w:szCs w:val="18"/>
                <w:color w:val="auto"/>
              </w:rPr>
            </w:pPr>
          </w:p>
        </w:tc>
      </w:tr>
      <w:tr>
        <w:trPr>
          <w:trHeight w:val="216"/>
        </w:trPr>
        <w:tc>
          <w:tcPr>
            <w:tcW w:w="1800" w:type="dxa"/>
            <w:vAlign w:val="bottom"/>
          </w:tcPr>
          <w:p>
            <w:pPr>
              <w:spacing w:after="0"/>
              <w:rPr>
                <w:sz w:val="18"/>
                <w:szCs w:val="18"/>
                <w:color w:val="auto"/>
              </w:rPr>
            </w:pPr>
          </w:p>
        </w:tc>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center"/>
              <w:ind w:left="280"/>
              <w:spacing w:after="0"/>
              <w:rPr>
                <w:sz w:val="20"/>
                <w:szCs w:val="20"/>
                <w:color w:val="auto"/>
              </w:rPr>
            </w:pPr>
            <w:r>
              <w:rPr>
                <w:rFonts w:ascii="Times New Roman" w:cs="Times New Roman" w:eastAsia="Times New Roman" w:hAnsi="Times New Roman"/>
                <w:sz w:val="16"/>
                <w:szCs w:val="16"/>
                <w:color w:val="auto"/>
                <w:w w:val="99"/>
              </w:rPr>
              <w:t>527,329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rPr>
              <w:t>497,522</w:t>
            </w:r>
          </w:p>
        </w:tc>
        <w:tc>
          <w:tcPr>
            <w:tcW w:w="1780" w:type="dxa"/>
            <w:vAlign w:val="bottom"/>
          </w:tcPr>
          <w:p>
            <w:pPr>
              <w:spacing w:after="0"/>
              <w:rPr>
                <w:sz w:val="18"/>
                <w:szCs w:val="18"/>
                <w:color w:val="auto"/>
              </w:rPr>
            </w:pPr>
          </w:p>
        </w:tc>
      </w:tr>
      <w:tr>
        <w:trPr>
          <w:trHeight w:val="209"/>
        </w:trPr>
        <w:tc>
          <w:tcPr>
            <w:tcW w:w="180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2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center"/>
              <w:ind w:left="240"/>
              <w:spacing w:after="0"/>
              <w:rPr>
                <w:sz w:val="20"/>
                <w:szCs w:val="20"/>
                <w:color w:val="auto"/>
              </w:rPr>
            </w:pPr>
            <w:r>
              <w:rPr>
                <w:rFonts w:ascii="Times New Roman" w:cs="Times New Roman" w:eastAsia="Times New Roman" w:hAnsi="Times New Roman"/>
                <w:sz w:val="16"/>
                <w:szCs w:val="16"/>
                <w:color w:val="auto"/>
              </w:rPr>
              <w:t>(152,949)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(30,059)</w:t>
            </w:r>
          </w:p>
        </w:tc>
        <w:tc>
          <w:tcPr>
            <w:tcW w:w="1780" w:type="dxa"/>
            <w:vAlign w:val="bottom"/>
          </w:tcPr>
          <w:p>
            <w:pPr>
              <w:spacing w:after="0"/>
              <w:rPr>
                <w:sz w:val="18"/>
                <w:szCs w:val="18"/>
                <w:color w:val="auto"/>
              </w:rPr>
            </w:pPr>
          </w:p>
        </w:tc>
      </w:tr>
      <w:tr>
        <w:trPr>
          <w:trHeight w:val="581"/>
        </w:trPr>
        <w:tc>
          <w:tcPr>
            <w:tcW w:w="18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2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4"/>
        </w:trPr>
        <w:tc>
          <w:tcPr>
            <w:tcW w:w="18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2025 and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8"/>
                <w:szCs w:val="18"/>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45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79,912</w:t>
            </w: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114,783</w:t>
            </w: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(34,871)</w:t>
            </w:r>
          </w:p>
        </w:tc>
        <w:tc>
          <w:tcPr>
            <w:tcW w:w="1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1"/>
        </w:trPr>
        <w:tc>
          <w:tcPr>
            <w:tcW w:w="45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(57,001)</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(70,973)</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13,972</w:t>
            </w:r>
          </w:p>
        </w:tc>
        <w:tc>
          <w:tcPr>
            <w:tcW w:w="1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22,911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(20,899)</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1"/>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asset impairment</w:t>
            </w: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(34,941)</w:t>
            </w: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(49,315)</w:t>
            </w: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14,374</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5"/>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(6,404)</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25,701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(21,992)</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1"/>
        </w:trPr>
        <w:tc>
          <w:tcPr>
            <w:tcW w:w="45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(21,838)</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15,504</w:t>
            </w:r>
          </w:p>
        </w:tc>
        <w:tc>
          <w:tcPr>
            <w:tcW w:w="1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(14,655)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(12,892)</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731 %</w:t>
            </w:r>
          </w:p>
        </w:tc>
        <w:tc>
          <w:tcPr>
            <w:tcW w:w="0" w:type="dxa"/>
            <w:vAlign w:val="bottom"/>
          </w:tcPr>
          <w:p>
            <w:pPr>
              <w:spacing w:after="0"/>
              <w:rPr>
                <w:sz w:val="1"/>
                <w:szCs w:val="1"/>
                <w:color w:val="auto"/>
              </w:rPr>
            </w:pPr>
          </w:p>
        </w:tc>
      </w:tr>
      <w:tr>
        <w:trPr>
          <w:trHeight w:val="211"/>
        </w:trPr>
        <w:tc>
          <w:tcPr>
            <w:tcW w:w="45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profit (loss) attributable to non-controlling interests</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35"/>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The Cannabist Company Holdings Inc.</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(14,261)</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(12,401)</w:t>
            </w: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667 %</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bottom w:val="single" w:sz="8" w:color="CFF0FC"/>
            </w:tcBorders>
            <w:vMerge w:val="restart"/>
          </w:tcPr>
          <w:p>
            <w:pPr>
              <w:ind w:left="20"/>
              <w:spacing w:after="0" w:line="148" w:lineRule="exact"/>
              <w:rPr>
                <w:sz w:val="20"/>
                <w:szCs w:val="20"/>
                <w:color w:val="auto"/>
              </w:rPr>
            </w:pPr>
            <w:r>
              <w:rPr>
                <w:rFonts w:ascii="Times New Roman" w:cs="Times New Roman" w:eastAsia="Times New Roman" w:hAnsi="Times New Roman"/>
                <w:sz w:val="16"/>
                <w:szCs w:val="16"/>
                <w:color w:val="auto"/>
              </w:rPr>
              <w:t>Loss per share attributable to The Cannabist Company Holdings Inc.</w:t>
            </w: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560" w:type="dxa"/>
            <w:vAlign w:val="bottom"/>
            <w:vMerge w:val="continue"/>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623 %</w:t>
            </w:r>
          </w:p>
        </w:tc>
        <w:tc>
          <w:tcPr>
            <w:tcW w:w="0" w:type="dxa"/>
            <w:vAlign w:val="bottom"/>
          </w:tcPr>
          <w:p>
            <w:pPr>
              <w:spacing w:after="0"/>
              <w:rPr>
                <w:sz w:val="1"/>
                <w:szCs w:val="1"/>
                <w:color w:val="auto"/>
              </w:rPr>
            </w:pPr>
          </w:p>
        </w:tc>
      </w:tr>
      <w:tr>
        <w:trPr>
          <w:trHeight w:val="187"/>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—based and diluted</w:t>
            </w:r>
          </w:p>
        </w:tc>
        <w:tc>
          <w:tcPr>
            <w:tcW w:w="14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outstanding—basic and diluted</w:t>
            </w:r>
          </w:p>
        </w:tc>
        <w:tc>
          <w:tcPr>
            <w:tcW w:w="1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499,218,628</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470,552,039</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46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in revenue of $34,871 for the three months ended September 30, 2025, as compared to the prior year period, was driven by the net decline in revenue of $13,433 in our existing retail and wholesale operations and a decline of $23,616 from the sale or closure of certain operations. This was partly offset by changes in regulation allowing for adult use which contributed to a revenue growth of $2,178 during the three months ended September 30, 2025, as compared to the prior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decrease in cost of sales of $13,972 for the three months ended September 30, 2025, as compared to the prior year period, was driven by a cost of sales decrease from the sale or closure of certain operations of $14,427. This was partly offset by an increase of $455 in our existing retail and wholesale operations, including from inventory impairment.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gross profit of $20,899 for the three months ended September 30, 2025, as compared to the prior year period, was directly attributable to the decline in revenues and the decline in cost of sales as described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decrease of $14,374 in operating expenses for the three months ended September 30, 2025, as compared to the prior year period, was primarily attributable to decreases in salaries and benefits of expenses of $7,155, operating facilities costs of $2,220, professional fees of $1,644, depreciation and amortization of $1,565, operating office and general expenses of $1,483, and other fees and expenses of $921. This was partially offset by increases in advertisement and promotion expense of $614 for the three months ended September 30,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(expense), Net</w:t>
      </w:r>
    </w:p>
    <w:p>
      <w:pPr>
        <w:spacing w:after="0" w:line="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other expenses, net of $21,992 for the three months ended September 30, 2025, as compared to the prior year period, was primarily due to increases in loss on disposal group of $52,929, restructuring expense of $112, and other expenses of $776. This was partially offset by decreases in adjustment for held-for-sale of $19,287, change in fair value of the derivative liability of $10,911, interest expense, net of $1,459, interest expense on leases of $157 and a decrease in rental income of $11.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2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recorded income tax expense of $6,334 for the three months ended September 30, 2025, as compared to an income tax expense of $21,838 for the three months ended September 30,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2025 and 2024:</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4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8"/>
                <w:szCs w:val="18"/>
                <w:color w:val="auto"/>
              </w:rPr>
            </w:pPr>
          </w:p>
        </w:tc>
        <w:tc>
          <w:tcPr>
            <w:tcW w:w="146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8"/>
              </w:rPr>
              <w:t>September 30, 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253,702</w:t>
            </w: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362,584</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(108,882)</w:t>
            </w:r>
          </w:p>
        </w:tc>
        <w:tc>
          <w:tcPr>
            <w:tcW w:w="1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 related to inventory production</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(184,353)</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(228,185)</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43,832</w:t>
            </w:r>
          </w:p>
        </w:tc>
        <w:tc>
          <w:tcPr>
            <w:tcW w:w="12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69,349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134,399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(65,050)</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Fixed asset impairment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1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(105,182)</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(142,634)</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37,452</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(27,670)</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0" w:type="dxa"/>
            <w:vAlign w:val="bottom"/>
          </w:tcPr>
          <w:p>
            <w:pPr>
              <w:spacing w:after="0"/>
              <w:rPr>
                <w:sz w:val="1"/>
                <w:szCs w:val="1"/>
                <w:color w:val="auto"/>
              </w:rPr>
            </w:pPr>
          </w:p>
        </w:tc>
      </w:tr>
      <w:tr>
        <w:trPr>
          <w:trHeight w:val="21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 (expense),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(36,602)</w:t>
            </w:r>
          </w:p>
        </w:tc>
        <w:tc>
          <w:tcPr>
            <w:tcW w:w="120" w:type="dxa"/>
            <w:vAlign w:val="bottom"/>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2882 %</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(50,349)</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(40,348)</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(10,001)</w:t>
            </w:r>
          </w:p>
        </w:tc>
        <w:tc>
          <w:tcPr>
            <w:tcW w:w="12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2"/>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(124,247)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(49,974)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(74,273)</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Net profit attributable to non-controlling interests</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2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The Cannabist Company Holdings Inc.</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(124,346)</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(51,274)</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(73,072)</w:t>
            </w:r>
          </w:p>
        </w:tc>
        <w:tc>
          <w:tcPr>
            <w:tcW w:w="1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line="148" w:lineRule="exact"/>
              <w:rPr>
                <w:sz w:val="20"/>
                <w:szCs w:val="20"/>
                <w:color w:val="auto"/>
              </w:rPr>
            </w:pPr>
            <w:r>
              <w:rPr>
                <w:rFonts w:ascii="Times New Roman" w:cs="Times New Roman" w:eastAsia="Times New Roman" w:hAnsi="Times New Roman"/>
                <w:sz w:val="16"/>
                <w:szCs w:val="16"/>
                <w:color w:val="auto"/>
              </w:rPr>
              <w:t>Loss per share attributable to The Cannabist Company Holdings Inc.</w:t>
            </w: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540" w:type="dxa"/>
            <w:vAlign w:val="bottom"/>
            <w:vMerge w:val="continue"/>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0" w:type="dxa"/>
            <w:vAlign w:val="bottom"/>
          </w:tcPr>
          <w:p>
            <w:pPr>
              <w:spacing w:after="0"/>
              <w:rPr>
                <w:sz w:val="1"/>
                <w:szCs w:val="1"/>
                <w:color w:val="auto"/>
              </w:rPr>
            </w:pPr>
          </w:p>
        </w:tc>
      </w:tr>
      <w:tr>
        <w:trPr>
          <w:trHeight w:val="187"/>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—based and diluted</w:t>
            </w:r>
          </w:p>
        </w:tc>
        <w:tc>
          <w:tcPr>
            <w:tcW w:w="14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number of shares outstanding—basic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vMerge w:val="continue"/>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485,743,942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458,988,976</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46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decrease in revenue of $108,882 for the nine months ended September 30, 2025, as compared to the prior year period, was driven by the net decline in revenue of $27,808 in our existing retail and wholesale operations and a decline of $82,537 from the sale or closure of certain</w:t>
      </w:r>
    </w:p>
    <w:p>
      <w:pPr>
        <w:jc w:val="both"/>
        <w:spacing w:after="0" w:line="256" w:lineRule="auto"/>
        <w:rPr>
          <w:sz w:val="20"/>
          <w:szCs w:val="20"/>
          <w:color w:val="auto"/>
        </w:rPr>
      </w:pPr>
      <w:r>
        <w:rPr>
          <w:rFonts w:ascii="Times New Roman" w:cs="Times New Roman" w:eastAsia="Times New Roman" w:hAnsi="Times New Roman"/>
          <w:sz w:val="18"/>
          <w:szCs w:val="18"/>
          <w:color w:val="auto"/>
        </w:rPr>
        <w:t>operations. This was partly offset by changes in regulation to adult use which contributed to a revenue growth of $1,463 during the nine months ended September 30, 2025, as compared to the prior period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decrease in cost of sales of $43,832 for the nine months ended September 30, 2025, as compared to the prior year period, was driven by the sale or closure of certain operations of $48,440. This was partly offset by an increase of $4,608 in our existing retail and wholesale operations, including from inventory impairment, as compared to the prior period.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gross profit of $65,050 for the nine months ended September 30, 2025, as compared to the prior year period, was directly attributable to the decline in revenues and the decline in cost of sales as described above.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of $37,452 in operating expenses for the nine months ended September 30, 2025, as compared to the prior year period, was primarily attributable to decreases in salary and benefits expenses of $15,852, operating facilities costs of $8,748, depreciation and amortization of $6,156, operating office and general expenses of $3,400, professional fees of $2,778, and other fees and expenses of $1,679. This was partially offset by an increase in advertisement and promotion expenses of $1,161 for the nine months ended September 30, 2025.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(expense), Net</w:t>
      </w:r>
    </w:p>
    <w:p>
      <w:pPr>
        <w:spacing w:after="0" w:line="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increase in other expenses, net of $36,602 for the nine months ended September 30, 2025, as compared to the prior year period, was primarily due to a increases in loss on disposal group of $59,632, interest expense, net of $3,630, and rental income of $56. This was partially offset by decreases in adjustment for held-for-sale of $16,419, change in fair value of investments of $4,391, restructuring expense of $3,326, change in fair value of the derivative liability of $1,970, interest expense on leases of $550, and other expense of $60.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Provisions for Income Taxes</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income tax expense of $50,349 for the nine months ended September 30, 2025, as compared to an income tax expense of $40,348 for the six months ended September 30,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use certain non-GAAP measures, referenced in this MD&amp;A. These measures are not recognized measures under GAAP and do not have a standardized meaning prescribed by GAAP and therefore may not be comparable to similar measures presented by other companies. Accordingly, these measures should not be considered in isolation from nor as a substitute for our financial information reported under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GAAP. We use non-GAAP measures including EBITDA, Adjusted EBITDA and Adjusted EBITDA margin which may be calculated differently by other companies. These non-GAAP measures and metrics are used to provide investors with supplemental measures of our operating performance and liquidity and thus highlight trends in our business that may not otherwise be apparent when relying solely on GAAP measures. These supplemental non-GAAP financial measures should not be considered superior to, as a substitute for, or as an alternative to, and should be considered in conjunction with, the GAAP financial measures presented. We also recognize that securities analysts, investors, and other interested parties frequently use non-GAAP measures in the evaluation of companies within our industry. Finally, we use non-GAAP measures and metrics in order to facilitate evaluation of operating performance comparisons from period to period, to prepare annual operating budgets and forecasts and to determine components of executive compensation.</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provides a reconciliation of net loss for the period to EBITDA and Adjusted EBITDA for the three and nine months ended September 30, 2025, and 2024:</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234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7"/>
        </w:trPr>
        <w:tc>
          <w:tcPr>
            <w:tcW w:w="57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20"/>
              <w:spacing w:after="0" w:line="157"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0"/>
              <w:spacing w:after="0" w:line="157" w:lineRule="exact"/>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212"/>
        </w:trPr>
        <w:tc>
          <w:tcPr>
            <w:tcW w:w="57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(14,655)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(124,247)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(49,974)</w:t>
            </w:r>
          </w:p>
        </w:tc>
      </w:tr>
      <w:tr>
        <w:trPr>
          <w:trHeight w:val="211"/>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w:t>
            </w:r>
          </w:p>
        </w:tc>
        <w:tc>
          <w:tcPr>
            <w:tcW w:w="100" w:type="dxa"/>
            <w:vAlign w:val="bottom"/>
          </w:tcPr>
          <w:p>
            <w:pPr>
              <w:spacing w:after="0"/>
              <w:rPr>
                <w:sz w:val="18"/>
                <w:szCs w:val="18"/>
                <w:color w:val="auto"/>
              </w:rPr>
            </w:pP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6,334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21,838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50,349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40,348</w:t>
            </w:r>
          </w:p>
        </w:tc>
      </w:tr>
      <w:tr>
        <w:trPr>
          <w:trHeight w:val="216"/>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8,055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11,767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24,906</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39,314</w:t>
            </w:r>
          </w:p>
        </w:tc>
      </w:tr>
      <w:tr>
        <w:trPr>
          <w:trHeight w:val="211"/>
        </w:trPr>
        <w:tc>
          <w:tcPr>
            <w:tcW w:w="57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Interest expense, net and debt amortization</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11,598</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13,127</w:t>
            </w: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42,186</w:t>
            </w: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38,728</w:t>
            </w: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(Non-GAAP measure)</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11,332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44,969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(6,806)</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68,416</w:t>
            </w:r>
          </w:p>
        </w:tc>
      </w:tr>
      <w:tr>
        <w:trPr>
          <w:trHeight w:val="211"/>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552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2,374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1,487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(2,588)</w:t>
            </w:r>
          </w:p>
        </w:tc>
      </w:tr>
      <w:tr>
        <w:trPr>
          <w:trHeight w:val="211"/>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Legal settlement</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(1,108)</w:t>
            </w:r>
          </w:p>
        </w:tc>
      </w:tr>
      <w:tr>
        <w:trPr>
          <w:trHeight w:val="216"/>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Fair-value changes on investments and derivative liabilities</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(6,716)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4,195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6,524</w:t>
            </w:r>
          </w:p>
        </w:tc>
      </w:tr>
      <w:tr>
        <w:trPr>
          <w:trHeight w:val="211"/>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for acquisition and other non-core costs</w:t>
            </w:r>
          </w:p>
        </w:tc>
        <w:tc>
          <w:tcPr>
            <w:tcW w:w="100" w:type="dxa"/>
            <w:vAlign w:val="bottom"/>
          </w:tcPr>
          <w:p>
            <w:pPr>
              <w:spacing w:after="0"/>
              <w:rPr>
                <w:sz w:val="18"/>
                <w:szCs w:val="18"/>
                <w:color w:val="auto"/>
              </w:rPr>
            </w:pP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3,357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2,393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18,965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10,364</w:t>
            </w:r>
          </w:p>
        </w:tc>
      </w:tr>
      <w:tr>
        <w:trPr>
          <w:trHeight w:val="216"/>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Restructuring expense</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1,319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1,207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2,423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5,749</w:t>
            </w:r>
          </w:p>
        </w:tc>
      </w:tr>
      <w:tr>
        <w:trPr>
          <w:trHeight w:val="211"/>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Fixed asset impairment</w:t>
            </w: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121</w:t>
            </w:r>
          </w:p>
        </w:tc>
      </w:tr>
      <w:tr>
        <w:trPr>
          <w:trHeight w:val="216"/>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(Gain) / loss on disposal group</w:t>
            </w: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(6,803)</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(40,444)</w:t>
            </w: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3,392</w:t>
            </w: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(39,821)</w:t>
            </w:r>
          </w:p>
        </w:tc>
      </w:tr>
      <w:tr>
        <w:trPr>
          <w:trHeight w:val="205"/>
        </w:trPr>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3,041</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14,815</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19,817</w:t>
            </w:r>
          </w:p>
        </w:tc>
        <w:tc>
          <w:tcPr>
            <w:tcW w:w="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47,657</w:t>
            </w:r>
          </w:p>
        </w:tc>
      </w:tr>
      <w:tr>
        <w:trPr>
          <w:trHeight w:val="20"/>
        </w:trPr>
        <w:tc>
          <w:tcPr>
            <w:tcW w:w="57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79,912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114,783</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253,702</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362,584</w:t>
            </w:r>
          </w:p>
        </w:tc>
      </w:tr>
      <w:tr>
        <w:trPr>
          <w:trHeight w:val="211"/>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(Non-GAAP measure)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3,041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14,815</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19,817</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47,657</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 margin (Non-GAAP measure)</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13.1%</w:t>
            </w:r>
          </w:p>
        </w:tc>
      </w:tr>
      <w:tr>
        <w:trPr>
          <w:trHeight w:val="211"/>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79,912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114,783</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253,702</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362,584</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22,911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43,810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69,349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134,399</w:t>
            </w: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00" w:type="dxa"/>
            <w:vAlign w:val="bottom"/>
          </w:tcPr>
          <w:p>
            <w:pPr>
              <w:spacing w:after="0"/>
              <w:rPr>
                <w:sz w:val="18"/>
                <w:szCs w:val="18"/>
                <w:color w:val="auto"/>
              </w:rPr>
            </w:pP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37.1%</w:t>
            </w: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decrease in Adjusted EBITDA for the three and nine months ended September 30, 2025, as compared to the prior year period, was primarily driven by declines in gross profit in the ongoing wholesale and retail operations and through restructuring and disposal activity, partially offset by improved leverage of revenues across selling, general, and administrative expenses such as facility costs, salary costs, and benefit costs.</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Our future financial results are subject to significant potential fluctuations caused by, among other things, growth of sales volume in new and existing markets and our ability to control operating expenses. In addition, our financial results may be impacted significantly by changes to the regulatory environment in which we operate, on a local, state, and federal level.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and Going Concern Considerations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incurred substantial net losses since its inception, including net losses of $105.1 million for the 12 months ended December 31, 2024 and $124.2 million for the nine months ended September 30, 2025. As of September 30, 2025, the Company’s accumulated deficit was $1,309.8 million, and for the nine months ended September 30, 2025, the Company had negative operating cash flow of $35.7 million. As of September 30, 2025, the Company had cash and restricted cash of $20.9 million. Historically, the Company has relied on external financing as its primary source of liquidity. These conditions, together with uncertainty as to the Company’s ability to generate sufficient cash flow from operations, asset divestitures or external financing sources to meet its financial obligations including,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without limitation, making interest payments on its senior debt or otherwise complying with its indenture obligations, absent material divestitures, significant concessions or consents from its creditors, raise substantial doubt about the Company’s ability to continue as a going concern for a period of at least one year from the date of this report. The consolidated financial statements do not include any adjustments relating to the recoverability and classification of liabilities that might be necessary should the Company be unable to continue as a going concern. In the future, reports from our independent public accounting firm may also contain statements expressing substantial doubt about our ability to continue as a going concern.</w:t>
      </w:r>
    </w:p>
    <w:p>
      <w:pPr>
        <w:spacing w:after="0" w:line="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an effort to alleviate these conditions and to maximize value for the Company’s stakeholders, the Board of Directors (the “Board”) has formed a special committee of independent directors (the “Special Committee”) to review strategic alternatives. The Special Committee, with support from external financial and legal advisors, is considering a range of options, including potential asset sales, mergers, or other strategic or financial transactions. The review is being conducted in consideration of the ongoing operational and financial challenges for the Company and the industry, as well as of the continuing uncertainty as to if and when U.S. federal regulatory changes may occur that will impact the Company and the industry, including, without limitation, changes to U.S. federal taxation of the Company and the industry under Section 280(e) of the Internal Revenue Code.</w:t>
      </w:r>
    </w:p>
    <w:p>
      <w:pPr>
        <w:spacing w:after="0" w:line="1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If we are unable to obtain sufficient funding or otherwise complete strategic transactions on acceptable terms, or successfully negotiate with creditors with respect to waivers and/or concessions necessary to permit asset divestitures or other actions, then we will not be able to continue as a going concern and we may be forced to delay or further reduce the scope of our activities, extend payment terms with suppliers, liquidate assets where possible at a potentially lower amount than as recorded in our financial statements, further curtail planned operations or cease operations entirely and wind down our business. Any of these could materially and adversely affect our liquidity, financial condition and business prospects and, as a result, our stockholders and/or creditors may not receive full value, or may receive no value, for their investment.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Financing Transactions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3, 2022, the Company closed a private placement (the “February 2022 Private Placement”) of $185,000 aggregate principal amount of 9.50% senior-secured first-lien notes due 2026 (the “2026 Notes”) and received aggregate gross proceeds of $153,250. The 2026 Notes were senior secured obligations of the Company and were issued at 100.0% of face value. The 2026 Notes accrued interest in arrears which was payable semi-annually and were scheduled to mature on February 3, 2026, unless earlier redeemed or repurchased. The Company may redeem the 2026 Notes at par, in whole or in part, on or after February 3, 2024, as more particularly described in the fourth supplemental trust indenture governing the 2026 Notes. In connection with the offering of the 2026 Notes, the Company exchanged $31,750 of the Company’s existing 13.0% senior secured first-lien notes (the “13.0% Term Debt”), pursuant to private agreements in accordance with the trust indenture, for an equivalent amount of 2026 Notes plus accrued but unpaid interest and any negotiated premium thereon.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premium and paid interest were paid out of funds raised from the February 2022 Private Placement. The total unamortized debt premium and debt issuance costs of $2,153, related to the modified portion of the 13.0% Term Debt, was being amortized over the term of the 2026 Notes using the effective interest method. The Company incurred $7,189 in creditor fees in connection with the modified 13.0% Term Debt and 2026 Notes and $301 in third-party legal fees related to 2026 Notes, which were capitalized and were being amortized over the term of the 2026 Notes using the effective interest rate method.</w:t>
      </w:r>
    </w:p>
    <w:p>
      <w:pPr>
        <w:spacing w:after="0" w:line="207" w:lineRule="exact"/>
        <w:rPr>
          <w:sz w:val="20"/>
          <w:szCs w:val="20"/>
          <w:color w:val="auto"/>
        </w:rPr>
      </w:pPr>
    </w:p>
    <w:p>
      <w:pPr>
        <w:jc w:val="both"/>
        <w:ind w:right="20"/>
        <w:spacing w:after="0" w:line="308" w:lineRule="auto"/>
        <w:rPr>
          <w:sz w:val="20"/>
          <w:szCs w:val="20"/>
          <w:color w:val="auto"/>
        </w:rPr>
      </w:pPr>
      <w:r>
        <w:rPr>
          <w:rFonts w:ascii="Times New Roman" w:cs="Times New Roman" w:eastAsia="Times New Roman" w:hAnsi="Times New Roman"/>
          <w:sz w:val="17"/>
          <w:szCs w:val="17"/>
          <w:color w:val="auto"/>
        </w:rPr>
        <w:t>On May 29, 2025, the 2026 Notes were exchanged for the 2028 Notes, see 2025 Debt Transactions (the 2028 Notes and the 2028 Convertible Notes). At the time of the exchange, the remaining unamortized debt premium, debt issuance costs, collector fees, and third party legal fees of $2,216 were written off.</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2027 Convertible Notes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19, 2024, the Company closed a private placement (the “March 2024 Private Placement”) of $25,750 aggregate principal amount of 9.0% senior-secured first-lien notes due 2027 (the “2027 Notes”) and received aggregate gross proceeds of $15,600. The 2027 Notes were senior secured obligations of the Company and were issued at 80.0% of face value. The 2027 Notes accrued interest in arrears which was payable semi-annually and were scheduled to mature on March 19, 2027. In connection with the offering of the 2027 Notes, the Company exchanged $5,000 of the Company’s existing 6.0% 2025 Convertible Notes. Through September 30, 2025, 983,604 shares were issued to convert $300 principal.</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amount of the 2027 Convertible Notes and the conversion price were denominated in U.S. dollars. As the debt was issued out of the Company's Canadian Holding company, but the functional currency of the Company is US Dollars, the amount of the liability to be settled depends on the applicable foreign exchange rate on the date of settlement. The 2027 Convertible Notes therefore represented an obligation to issue a fixed number of shares for a variable amount of liability. Due to this conversion feature within the 2027 Convertible Notes, the Company was unable to obtain an exception from derivative accounting. Accordingly, this conversion feature was accounted for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embedded derivative liability and measured at fair value of $2,632 on the date of issuance of debt with a corresponding debt discount and debt issuance costs of $5,952, reflected as a reduction to the carrying value of the 2027 Convertible Notes. The Company fair valued the derivative liability at each balance sheet date. Changes in fair value of the embedded derivative were recognized in the condensed consolidated interim statements of operations and comprehensive loss. The debt discount and debt issuance costs were being amortized over the term of the 2027 Convertible Notes.</w:t>
      </w:r>
    </w:p>
    <w:p>
      <w:pPr>
        <w:spacing w:after="0" w:line="2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On May 29, 2025, the 2027 Convertible Notes were exchanged for the 2028 Notes, see 2025 Debt Transactions (the 2028 Notes and the 2028 Convertible Notes). At the time of the exchange, the remaining unamortized debt discount and debt issuance costs of $3,759 were written off.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Convertible Notes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On June 29, 2021, the Company completed an offering of 6.0% Secured Convertible Notes Due 2025 (“2025 Convertible Notes”) for an aggregate principal amount of $74.5 million. The 2025 Convertible Notes were senior secured obligations of the Company and accrued interest payable semiannually in arrears and were scheduled to mature on June 29, 2025, unless earlier converted, redeemed, or repurchased.</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2025 Convertible Notes shall be convertible, at the option of the holder, from the date of issuance until the date that is 10 days prior to their maturity date into Common Shares of the Company at a conversion price equal to $6.49 payable on the business day prior to the date of conversion, adjusted downwards for any cash dividends paid to holders of Common Shares and other customary adjustments. The Company may redeem the 2025 Convertible Notes at par, in whole or in part, on or after June 29, 2023, if the volume weighted average price of the Common Shares trading on the Canadian Stock Exchange or Cboe Canada for 15 of the 30 trading days immediately preceding the day on which the Company exercises its redemption right, exceeds 120.0% of the conversion price of the 2025 Convertible Notes at a Redemption Price equal to 100.0% of the principal amount of the 2025 Convertible Notes redeemed, plus accrued but unpaid interest, if any, up to but excluding the Redemption Date.</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2025 Convertible Notes required interest-only payments until June 29, 2025, at a rate of 6.0% per annum, payable semi-annually in June and December and commencing in December 2021. The 2025 Convertible Notes were scheduled to mature on June 29, 2025. The Company incurred financing costs of $3,190 in connection with the 2025 Convertible Notes. The principal amount of the 2025 Convertible Notes and the conversion price were denominated in U.S. dollars. As the debt was issued out of the Company's Canadian Holding company, but the functional currency of the Company is US Dollars, the amount of the liability to be settled depends on the applicable foreign exchange rate on the date of settlement. The 2025 Convertible Notes therefore represented an obligation to issue a fixed number of shares for a variable amount of liability. Due to this conversion feature within the 2025 Convertible Notes, the Company was unable to obtain an exception from derivative accounting. Accordingly, this conversion feature was accounted for as an embedded derivative liability and measured at fair value of $15,099 on the date of issuance of debt with a corresponding debt discount, reflected as a reduction to the carrying value of the 2025 Convertible Notes. The Company fair valued the derivative liability at each balance sheet date. Changes in fair value of the embedded derivative were recognized in the condensed consolidated interim statements of operations and comprehensive loss. The debt discount was amortized over the term of the 2025 Convertible Notes.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On May 29, 2025, the 2025 Convertible Notes were exchanged for the 2028 Notes, see 2025 Debt Transactions (the 2028 Notes and the 2028 Convertible Notes). At the time of the exchange, the remaining unamortized finance costs of $973, were written off.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2024 Debt Exchange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22, 2024, the Company entered into an exchange agreement, as amended on June 30, 2024 and September 30, 2024 (the “Exchange</w:t>
      </w:r>
    </w:p>
    <w:p>
      <w:pPr>
        <w:spacing w:after="0" w:line="4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7"/>
          <w:szCs w:val="17"/>
          <w:color w:val="auto"/>
        </w:rPr>
        <w:t>Agreement”), with certain holders of the Company’s 6.0% senior secured 2025 Convertible Notes (the “Holders”), pursuant to which the Company agreed to the repurchase of up to $25 million principal amount of the 2025 Convertible Notes in exchange for Common Shares (the “January 2024 Debt Exchange”).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Exchange Agreement, the Holders shall:</w:t>
      </w:r>
    </w:p>
    <w:p>
      <w:pPr>
        <w:spacing w:after="0" w:line="248" w:lineRule="exact"/>
        <w:rPr>
          <w:sz w:val="20"/>
          <w:szCs w:val="20"/>
          <w:color w:val="auto"/>
        </w:rPr>
      </w:pPr>
    </w:p>
    <w:p>
      <w:pPr>
        <w:jc w:val="both"/>
        <w:ind w:left="640" w:hanging="312"/>
        <w:spacing w:after="0" w:line="263"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January 31, 2024, transfer $5 million principal amount of 2025 Convertible Notes in consideration of Common Shares issued at a price per Common Share equal to the greater of C$0.41 per Common Share and the 12.5% discount to the 5 days volume weighted average price of the Common Shares on Cboe prior to receipt of a Transfer notice;</w:t>
      </w:r>
    </w:p>
    <w:p>
      <w:pPr>
        <w:spacing w:after="0" w:line="202" w:lineRule="exact"/>
        <w:rPr>
          <w:rFonts w:ascii="Times New Roman" w:cs="Times New Roman" w:eastAsia="Times New Roman" w:hAnsi="Times New Roman"/>
          <w:sz w:val="18"/>
          <w:szCs w:val="18"/>
          <w:color w:val="auto"/>
        </w:rPr>
      </w:pPr>
    </w:p>
    <w:p>
      <w:pPr>
        <w:jc w:val="both"/>
        <w:ind w:left="640" w:hanging="312"/>
        <w:spacing w:after="0" w:line="263"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five-day volume weighted average price of the Common Shares on the Exchange is greater than C$0.47 as of the close of trading at 4:01pm on January 31, 2024, transfer $5 million principal amount of 2025 Convertible Notes in consideration of Common Shares issued at the Initial Exchange Price on or prior to February 29, 2024;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both"/>
        <w:ind w:left="640" w:hanging="312"/>
        <w:spacing w:after="0" w:line="253"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February Exchange is completed and the daily volume weighted average price of the Common Shares on Cboe is greater than C$0.87 for 5 consecutive trading days, provided that, the trading volume of the Common Shares on Cboe was equal to or greater than 600,000 Common Shares on the applicable trading dates, from the period commencing on January 1, 2024 and ending on June 30, 2025, (which date the parties extended to December 31, 2024), transfer in three separate equal tranches, an aggregate of $15 million principal amount of 2025 Convertible Notes in consideration of Common Shares issued at a price per Common Share equal to the greater of C$0.57 per Common Share and the 12.5% discount to the 5 days volume weighted average price of the Common Shares on Cboe prior to receipt of a Transfer notice, in each case, subject to adjustment in certain instances, on or prior to December 31, 2024.</w:t>
      </w:r>
    </w:p>
    <w:p>
      <w:pPr>
        <w:spacing w:after="0" w:line="21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Through December 31, 2024, $10 million of the potential $25 million exchange had been completed. The term of the Exchange Agreement expired as of January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Debt Transaction (the 2028 Notes and the 2028 Convertible Notes)</w:t>
      </w:r>
    </w:p>
    <w:p>
      <w:pPr>
        <w:spacing w:after="0" w:line="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February 27, 2025, the Company entered into a support agreement (the “Support Agreement”) with certain holders (the “Supporting Noteholders”) of the aggregate principal amount of issued Senior Notes (as defined below) regarding the exchange of their Senior Notes for new notes having a later maturity date and additional covenants (the “2025 Debt Transaction”). The Senior Notes consist of: (i) the 2025 Convertible Notes; (ii) the 2026 Notes; and (iii) the 2027 Convertible Notes (together with the 2025 Convertible Notes and the 2026 Notes, the “Senior Notes”). Under the terms of the 2025 Debt Transaction, among other provisions, the holders of the 2025 Convertible Notes and the 2026 Notes exchanged their Senior Notes for an equal principal amount of 9.25% Senior Secured Notes due December 31, 2028 (subject to two six-month extension options available to the Company upon payment of a 0.5% fee, payable in cash) (the new “2028 Notes”) and the holders of the 2027 Convertible Notes received either (i) an equal principal amount of the 2028 Notes or (ii) if elected, an equal principal amount of newly issued 9.0% convertible notes, which have the same conversion price as the existing 2027 Convertible Notes but will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extended maturity date as the 2028 Notes (the new “2028 Convertible Notes”, and together with the 2028 Notes, the “New Notes”).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2028 Notes and 2028 Convertible Notes require interest-only payments until December 31, 2028, payable semi-annually in June and December and</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commencing in December 2025 until maturity. The Company incurred financing costs of $12,155 in connection with the 2025 Debt Transaction. The principal amount of the 2028 Convertible Notes and the conversion price are denominated in U.S. dollars. As the debt was issued out of the Company's Canadian Holding company, but the functional currency of the Company is US Dollars, the amount of the liability to be settled depends on the applicable foreign exchange rate on the date of settlement. The 2028 Convertible Notes therefore represent an obligation to issue a fixed number of shares for a variable amount of liability. Due to this conversion feature within the 2028 Convertible Notes, the Company is unable to obtain an exception from derivative accounting. Accordingly, this conversion feature was accounted for as an embedded derivative liability and measured at fair value of $230 on the date of issuance of debt with a corresponding debt discount, reflected as a reduction to the carrying value of the 2028 Convertible Notes. The Company fair values the derivative liability at each balance sheet date. Changes in fair value of the embedded derivative are recognized in the condensed consolidated interim statements of operations and comprehensive loss. The debt financing costs are amortized over the term of the 2028 Notes and 2028 Convertible Notes.</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addition, as part of the 2025 Debt Transaction, the Company issued 118,209,105 warrants to the Company shareholders on a pro rata basis, see Note 10 Warrants.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2028 Notes and 2028 Convertible Notes are secured by a first-priority security interest in all present and after-acquired personal property of the Company, including a pledge of the Equity Interests owned by the Issuer and each Guarantor; and a collateral assignment of leases in respect of certain leasehold property and all of the Company's interests therein as defined in the Amended and Restated Trust Indenture.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its 2025 Debt Transaction effective May 29, 2025 following receipt of court approval.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2021, the Company entered into a term loan and security agreement with a bank. The agreement provides for a $20,000 mortgage on real property in New York and carries interest at a variable rate per annum equal to the Wall Street Prime Rate (“Index”) plus 2.25%. The debt is repayable in 59 monthly installments and a final balloon payment due on January 1, 2027, which is estimated at $17,907 as of September 30, 2025. In connection with this mortgage, the Company incurred financing costs of $655.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2022, the Company entered into a term loan and security agreement with a bank. The agreement provides for a $16,500 mortgage on real property in New Jersey and carries interest at a variable rate per annum equal to the Index plus 2.25%. The debt is repayable in 59 monthly installments and a final balloon payment due on July 15, 2027, which is estimated at $15,636 as of September 30, 2025. In connection with this mortgage, the Company incurred financing costs of $209.</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10, 2023, the Company entered into two term loans and security agreements with a bank as follows:</w:t>
      </w:r>
    </w:p>
    <w:p>
      <w:pPr>
        <w:spacing w:after="0" w:line="288" w:lineRule="exact"/>
        <w:rPr>
          <w:sz w:val="20"/>
          <w:szCs w:val="20"/>
          <w:color w:val="auto"/>
        </w:rPr>
      </w:pPr>
    </w:p>
    <w:p>
      <w:pPr>
        <w:jc w:val="both"/>
        <w:ind w:left="640" w:hanging="312"/>
        <w:spacing w:after="0" w:line="244" w:lineRule="auto"/>
        <w:tabs>
          <w:tab w:leader="none" w:pos="63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first agreement provides for a $6,250 mortgage on real property in Maryland and carries interest at a variable rate per annum equal to the Index plus 2.25%. The debt is repayable in 59 monthly installments and a final balloon payment due on September 1, 2028, which is estimated at $5,892 as of September 30, 2025. In connection with this mortgage, the Company incurred financing costs of $195 and netted $2,903 after the repayment of a prior outstanding mortgage on the property.</w:t>
      </w:r>
    </w:p>
    <w:p>
      <w:pPr>
        <w:spacing w:after="0" w:line="259" w:lineRule="exact"/>
        <w:rPr>
          <w:rFonts w:ascii="Times New Roman" w:cs="Times New Roman" w:eastAsia="Times New Roman" w:hAnsi="Times New Roman"/>
          <w:sz w:val="21"/>
          <w:szCs w:val="21"/>
          <w:color w:val="auto"/>
        </w:rPr>
      </w:pPr>
    </w:p>
    <w:p>
      <w:pPr>
        <w:jc w:val="both"/>
        <w:ind w:left="640" w:hanging="312"/>
        <w:spacing w:after="0" w:line="242" w:lineRule="auto"/>
        <w:tabs>
          <w:tab w:leader="none" w:pos="63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second agreement provides for a $1,800 mortgage on real property in Delaware and carries interest at a variable rate per annum equal to the Index plus 2.25%. The debt was repayable in 59 monthly installments and matures in August 2028. In connection with this mortgage, the Company incurred financing costs of $77 and netted $1,723. The mortgage was paid in full on January 15, 2025 with the sale of the property.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the Company’s indebtedness was 9.23%.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sources and uses of cash for each of the periods presented:</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7"/>
        </w:trPr>
        <w:tc>
          <w:tcPr>
            <w:tcW w:w="5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1200" w:type="dxa"/>
            <w:vAlign w:val="bottom"/>
          </w:tcPr>
          <w:p>
            <w:pPr>
              <w:jc w:val="right"/>
              <w:ind w:right="100"/>
              <w:spacing w:after="0" w:line="157"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0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(27,360)</w:t>
            </w:r>
          </w:p>
        </w:tc>
      </w:tr>
      <w:tr>
        <w:trPr>
          <w:trHeight w:val="211"/>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29,971</w:t>
            </w:r>
          </w:p>
        </w:tc>
      </w:tr>
      <w:tr>
        <w:trPr>
          <w:trHeight w:val="216"/>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(16,827)</w:t>
            </w: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(6,878)</w:t>
            </w:r>
          </w:p>
        </w:tc>
      </w:tr>
      <w:tr>
        <w:trPr>
          <w:trHeight w:val="205"/>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(4,267)</w:t>
            </w:r>
          </w:p>
        </w:tc>
      </w:tr>
      <w:tr>
        <w:trPr>
          <w:trHeight w:val="23"/>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2025, operating activities used $35,666 of cash, primarily resulting from a net loss of $124,247 and a change in fair value of $196, and this was partly offset by deferred income tax of $32,164, depreciation and amortization of $24,906, debt amortization expenses of $11,645, loss on deconsolidation of subsidiary of $3,355, loss on early extinguishment of note of $3,227, provision for credit losses of $3,035, provision for obsolete inventory and other assets of $12,340, equity based compensation of $1,487, change in fair value of derivative liability of $359, impairment of fixed assets of $193, and net decrease in operating assets and liabilities of $3,934. The net change in operating assets and liabilities was primarily due to, a decrease in inventory of $6,800, a decrease in other assets of $9,838, a decrease in accounts receivable of $2,380; this was partially offset by a decrease in accrued expenses and other current liabilities of $4,821, a decrease in accounts payable of $15,494, a decrease in income tax payable of $360, an increase in other long-term liabilities of $1,751, and an increase prepaid expenses and other current assets of $4,028.</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2024, operating activities used $27,360 of cash, primarily resulting from a net loss of $49,974, deferred taxes of $2,723, legal settlement of $1,108, gain on deconsolidation of subsidiary of $39,821, and equity-based compensation expense of $2,588; this was partially offset by depreciation and amortization of $39,314, debt amortization expense of $6,794, provision for credit losses of $1,689, provision for obsolete inventory and other assets of $5,671, change in fair value of derivative liability of $2,329, change in fair value of investment of $4,195, other items of $837, impairment of fixed assets of $120, and net increase in operating assets and liabilities of $7,905. The net change in operating assets and liabilities was primarily due to an increase in accounts receivable of $5,095, inventory of $11,566, prepaid expenses and other current assets of $4,255, other assets of $1,388, decrease in accounts payable of $543, and accrued expenses and other current liabilities of $11,281. This was partially offset by an increase in income tax payable of $38,583 and other long term liabilities of $3,450.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the nine months ended September 30, 2025, investing activities provided $35,459 of cash, mainly due to the proceeds from the sale of business of $13,957, proceeds from the settlement of note receivables of $21,398, proceeds from the sale of license of $4,100, and cash received on deposits, net of $108. This was partially offset by purchases of property and equipment of $4,104.</w:t>
      </w:r>
    </w:p>
    <w:p>
      <w:pPr>
        <w:spacing w:after="0" w:line="2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the nine months ended September 30, 2024, investing activities provided $29,971 of cash mainly due to the proceeds from the sale of the Utah, Arizona, and Eastern Virginia businesses of $34,371, and proceeds from sale of license of $329. This was partially offset by purchases of property and equipment of $4,147, cash paid on deposits, net of $268 and change in note receivable of $314.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2025, financing activities used $16,827 of cash, mainly due to payment of debt issuance costs of $12,155, payment of lease liabilities of $3,914, repayment of notes payable of $100, repayment of mortgage notes of $526, taxes paid on equity based compensation of $120, and distributions of $12.</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During the nine months ended September 30, 2024, financing activities used $6,878 of cash, mainly due to repayments of debt of $13,228, payment of lease liabilities of $5,323, payment of debt issuance costs of $802, repayment of sellers note of $1,119, taxes paid on equity based compensation of $1,255, distributions of $333, and repayment of mortgage notes of $418. This was partially offset by proceeds from issuance of convertible debt of $15,600.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following table summarizes contractual obligations as of September 30, 2025 and the effects that such obligations are expected to have on our liquidity and cash flows in future periods: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6"/>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
        </w:trPr>
        <w:tc>
          <w:tcPr>
            <w:tcW w:w="3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5"/>
        </w:trPr>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w w:val="98"/>
              </w:rPr>
              <w:t>Less than 1</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80"/>
              <w:spacing w:after="0" w:line="165" w:lineRule="exact"/>
              <w:rPr>
                <w:sz w:val="20"/>
                <w:szCs w:val="20"/>
                <w:color w:val="auto"/>
              </w:rPr>
            </w:pPr>
            <w:r>
              <w:rPr>
                <w:rFonts w:ascii="Times New Roman" w:cs="Times New Roman" w:eastAsia="Times New Roman" w:hAnsi="Times New Roman"/>
                <w:sz w:val="16"/>
                <w:szCs w:val="16"/>
                <w:b w:val="1"/>
                <w:bCs w:val="1"/>
                <w:color w:val="auto"/>
                <w:w w:val="97"/>
              </w:rPr>
              <w:t>Year 5 and</w:t>
            </w:r>
          </w:p>
        </w:tc>
      </w:tr>
      <w:tr>
        <w:trPr>
          <w:trHeight w:val="211"/>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w:t>
            </w:r>
          </w:p>
        </w:tc>
        <w:tc>
          <w:tcPr>
            <w:tcW w:w="18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18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Year 2</w:t>
            </w:r>
          </w:p>
        </w:tc>
        <w:tc>
          <w:tcPr>
            <w:tcW w:w="26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3</w:t>
            </w: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Year 4</w:t>
            </w:r>
          </w:p>
        </w:tc>
        <w:tc>
          <w:tcPr>
            <w:tcW w:w="140" w:type="dxa"/>
            <w:vAlign w:val="bottom"/>
          </w:tcPr>
          <w:p>
            <w:pPr>
              <w:spacing w:after="0"/>
              <w:rPr>
                <w:sz w:val="18"/>
                <w:szCs w:val="18"/>
                <w:color w:val="auto"/>
              </w:rPr>
            </w:pPr>
          </w:p>
        </w:tc>
        <w:tc>
          <w:tcPr>
            <w:tcW w:w="92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beyond</w:t>
            </w:r>
          </w:p>
        </w:tc>
      </w:tr>
      <w:tr>
        <w:trPr>
          <w:trHeight w:val="32"/>
        </w:trPr>
        <w:tc>
          <w:tcPr>
            <w:tcW w:w="31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7"/>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 commitments</w:t>
            </w:r>
          </w:p>
        </w:tc>
        <w:tc>
          <w:tcPr>
            <w:tcW w:w="24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219,247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22,727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22,200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130,985</w:t>
            </w:r>
          </w:p>
        </w:tc>
      </w:tr>
      <w:tr>
        <w:trPr>
          <w:trHeight w:val="211"/>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Sale-leaseback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197,289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151,894</w:t>
            </w:r>
          </w:p>
        </w:tc>
      </w:tr>
      <w:tr>
        <w:trPr>
          <w:trHeight w:val="21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 Notes (principal)</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250,750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250,750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2028 notes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 Convertible notes (principal)</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convertible debt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notes (principal)</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40,615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33,656</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notes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1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contractual obligations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823,547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24,283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332,239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282,879</w:t>
            </w:r>
          </w:p>
        </w:tc>
      </w:tr>
      <w:tr>
        <w:trPr>
          <w:trHeight w:val="20"/>
        </w:trPr>
        <w:tc>
          <w:tcPr>
            <w:tcW w:w="3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7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7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table excludes purchase orders for inventory in the normal course of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Rising inflation rates have had a substantial impact on our financial performance to date and may have an impact on our financial performance in the future as our ability to pass on an increase in costs is not entirely within our control.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make judgments, estimates and assumptions about the future that affect assets and liabilities, and revenues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review affects both current and future periods.</w:t>
      </w:r>
    </w:p>
    <w:p>
      <w:pPr>
        <w:spacing w:after="0" w:line="1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Judgments, estimates, and assumptions with the most significant effect on the amounts recognized in the consolidated financial statements are described below.</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FINANCIAL RISK MANAGEMENT</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receivable, notes receivable, deposits and other current assets, accounts payable, accrued expenses, current taxes payable and other current liabilities like interest payable and payroll liabilities, derivative liability, debt, and lease liabilities. The fair values of cash and restricted cash, accounts and notes receivable, deposits, accounts payable and accrued expenses and other current liabilities like interest payable and payroll liabilities, short-term debt and lease liabilities approximate their carrying values due to the relatively short-term to maturity or because of the market rate of interest used on initial recognition. The Cannabist Company classifies its derivative liability as fair value through profit and loss (FVTPL).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the inputs to fair value measurements.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fair value contained within the hierarchy are:</w:t>
      </w:r>
    </w:p>
    <w:p>
      <w:pPr>
        <w:spacing w:after="0" w:line="1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Level 2 – Inputs other than quoted prices that are observable for the asset or liability, either directly or indirectly; and</w:t>
      </w:r>
    </w:p>
    <w:p>
      <w:pPr>
        <w:spacing w:after="0" w:line="1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Level 3 – Inputs for the asset or liability that are not based on observable market data.</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assets measured at fair value on a nonrecurring basis include investments, assets and liabilities held for sale, long-lived assets, and indefinite-lived intangible assets. We review the carrying amounts of such assets whenever events or changes in circumstances indicate that the carrying amounts may not be recoverable or at least annually, for indefinite-lived intangible assets. Any resulting asset impairment would require that the asset be recorded at its fair value. The resulting fair value measurements of the assets are considered Level 3 measurements.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We are exposed, in varying degrees, to a variety of financial instrument related risks. Our risk exposures and the impact on our financial instruments is summarized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Credit risk is the risk of a potential loss to us if a customer or third party to a financial instrument fails to meet its contractual obligations. The maximum credit exposure at September 30, 2025 and December 31, 2024, is the carrying amount of cash and cash equivalents, accounts receivable and notes receivable. We do not have significant credit risk with respect to our customers. All cash deposits are with regulated U.S. financial institutions.</w:t>
      </w:r>
    </w:p>
    <w:p>
      <w:pPr>
        <w:spacing w:after="0" w:line="10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We provide credit to our customers in the normal course of business and have established credit evaluation and monitoring processes to mitigate credit risk but have limited risk as the majority of our sales are transacted with cash.</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management of our capital structure. Our approach to managing liquidity is to estimate cash requirements from operations, capital expenditures and investments and ensure that we have sufficient liquidity to fund our ongoing operations and to settle obligations and liabilities when due.</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To date, we have incurred significant cumulative net losses and we have not generated positive cash flows from our operations. We have therefore depended on financing from the sale of our equity and from debt financing to fund our operations. Overall, we do not expect the net cash contribution from our operations and investments to be positive in the near term, and we therefore expect to rely on financing from equity or debt.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addition to business opportunities and challenges applicable to any business operating in a fast-growing environment, our business operates in a highly regulated and multi-jurisdictional industry, which is subject to potentially significant changes outside of our control as individual states as well as the U.S. federal government may impose restrictions on our ability to grow our business profitably or enact new laws and regulations that open up new markets.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our financial instrument will fluctuate because of changes in market interest rates. Our cash deposits bear interest at market rates.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14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Our operating results and financial position are reported in thousands of U.S. dollars. We may enter into financial transactions denominated in other currencies, which would result in your operations and financial position becoming subject to currency transaction and translation risks.</w:t>
      </w:r>
    </w:p>
    <w:p>
      <w:pPr>
        <w:spacing w:after="0" w:line="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As of September 30, 2025, and December 31, 2024, we had no hedging agreements in place with respect to foreign exchange rates. We have not entered into any agreements or purchased any instruments to hedge possible currency risks at this time.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Risk</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Price risk is the risk of variability in fair value due to movements in equity or market prices. We are subject to the risk of price variability pursuant to our products due to competitive or regulatory pressures.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There have been no significant material changes to the market risks as disclosed in the Company’s 2024 Form 10-K. See also Financial Risk Management in Part I, Item 2 of this Form 10-Q.</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defined in Rules 13a-15(e) and 15d-15(e) under the Securities Exchange Act of 1934, as amended) as of the end of the period covered by this report were effective to provide reasonable assurance that the information required to be disclosed by the Company in reports filed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under the Securities Exchange Act of 1934, as amended) during the nine months ended September 30, 2025 that have materially affected, or are reasonably likely to materially affect, the Company’s internal control over financial reporting.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Murchinson Ltd., an investment manager of holders of 2025 Convertible Notes and 2027 Convertible Notes (the “Applicant”), filed an application in the Ontario Superior Court of Justice (Commercial List) (the “Court”) on March 27, 2025, opposing the 2025 Debt Transaction and claiming the transaction was oppressive to the Applicant. The application filed by the Applicant also claims breach of contract and civil conspiracy. The Applicant seeks from the court, among other forms of relief, that the 2025 Debt Transaction be declared unlawful under the terms of the Canadian Business Corporations Act, an award of unspecified damages, and recovery of costs. By order dated May 21, 2025, the Court ruled in favor of the Company and the 2025 Debt Transaction was subsequently closed. Murchinson Ltd. has filed an appeal to the Court of Appeal for Ontario that is currently pending with a hearing scheduled in February 2026.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than set forth herein, there have been no material changes from the risk factors previously disclosed in Part I, Item 1A, of the Company’s 2024 Form 10-K, which is incorporated by reference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 may not be able to retain or hire necessary qualified personnel</w:t>
      </w:r>
    </w:p>
    <w:p>
      <w:pPr>
        <w:spacing w:after="0" w:line="28" w:lineRule="exact"/>
        <w:rPr>
          <w:sz w:val="20"/>
          <w:szCs w:val="20"/>
          <w:color w:val="auto"/>
        </w:rPr>
      </w:pPr>
    </w:p>
    <w:p>
      <w:pPr>
        <w:ind w:right="2700"/>
        <w:spacing w:after="0" w:line="252" w:lineRule="auto"/>
        <w:rPr>
          <w:sz w:val="20"/>
          <w:szCs w:val="20"/>
          <w:color w:val="auto"/>
        </w:rPr>
      </w:pPr>
      <w:r>
        <w:rPr>
          <w:rFonts w:ascii="Times New Roman" w:cs="Times New Roman" w:eastAsia="Times New Roman" w:hAnsi="Times New Roman"/>
          <w:sz w:val="18"/>
          <w:szCs w:val="18"/>
          <w:color w:val="auto"/>
        </w:rPr>
        <w:t>The Company’s ability to retain or hire qualified personnel is subject to a variety of uncertainties due to the challenging financial conditions facing both the industry and the Company. If the Company is unable to retain or hire sufficiently qualified resources, the Company may have difficulty executing on its operational and strategic plans.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Condition</w:t>
      </w: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as to our ability to continue as a going concern, and our continuation as a going concern depends on events and circumstances that may not occur.</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Since our inception, we have incurred significant net operating losses, including net losses of $105.1 million for the 12 months ended December 31, 2024 and $124.2 million for the nine months ended September 30, 2025. As of September 30, 2025, the Company’s accumulated deficit was $1,309.8 million, and for the nine months ended September 30, 2025, the Company had negative operating cash flow of $35.7 million. As of September 30, 2025, the Company had cash and restricted cash of $20.9 million and debt obligations of $299.3 million. To date, we have financed our operations primarily through external financing as our primary source of liquidity. Our consolidated financial statements do not include any adjustments relating to the recoverability and classification of liabilities that might be necessary should the Company be unable to continue as a going concern.</w:t>
      </w:r>
    </w:p>
    <w:p>
      <w:pPr>
        <w:spacing w:after="0" w:line="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above conditions, together with uncertainty as to our ability to generate sufficient cash flow from operations, asset divestitures or external financing to meet our financial obligations including, without limitation, making interest payments on our senior debt or otherwise complying with our indenture obligations, absent material divestitures, significant concessions or consents from our creditors, raise substantial doubt about our ability to continue as a going concern for a period of at least one year from the date of this report.</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we are not able to obtain sufficient funding or otherwise complete strategic transactions on acceptable terms, or successfully negotiate with creditors with respect to waivers and/or concessions necessary to permit asset divestitures or other actions, then we will not be able to continue as a going concern and may be forced to delay or further reduce the scope of our activities, extend payment terms with suppliers, liquidate assets where possible, at a potentially lower amount than as recorded in our financial statements, further curtail planned operations or cease operations entirely and wind down our business. Any such actions could result in significant impairment charges, loss of key personnel, loss of customer relationships, and a material adverse effect on our business, financial condition, results of operations, and prospects. In addition, an inability to continue as a going concern could adversely affect our access to capital and our relationships with vendors, customers, employees and other stakeholders.</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are reviewing strategic alternatives to reduce leverage and address our capital structure, which may not be successful and could create significant risks and uncertainties.</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Special Committee, with the assistance of legal and financial advisors, is conducting a comprehensive review of strategic alternatives and is considering a range of options, including potential asset sales, mergers, or other strategic or financial transactions. The review is being conducted in consideration of the ongoing operational and financial challenges for the Company and the industry, as well as of the continuing uncertainty as to if and when U.S. federal regulatory changes may occur that will impact the Company and the industry, including, without limitation, changes to U.S. federal taxation of the Company and the industry under Section 280(e) of the Internal Revenue Code.</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There can be no assurance as to when or whether we will implement any particular transaction or strategy, that any transaction or strategy will be completed on favorable terms or at all, or that any such actions will achieve their intended benefits. Failure to develop and implement effective measures to address our leverage and liquidity could materially and adversely affect our financial condition, business prospects, and ability to refinance debt as it matures or to address potential defaults. Even if we pursue one or more transactions, we may not be able to obtain necessary approvals from stakeholders or regulators, and we may be required to accept terms that are dilutive or not accretive to existing equity holders or otherwise unfavorable.</w:t>
      </w:r>
    </w:p>
    <w:p>
      <w:pPr>
        <w:spacing w:after="0" w:line="20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Our debt agreements contain covenants that restrict our operations and may inhibit flexibility in operating our business and pursuing strategic alternatives, and failure to comply with these covenants could have a material adverse effect on our business, financial condition and results of operations.</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indentures governing our 2028 Notes and 2028 Convertible Notes (collectively the “A&amp;R Indenture”) contain negative covenants that limit our ability to, among other things, incur additional debt; pay dividends; redeem stock or make other distributions; make investments; create liens; consolidate, merge, sell or otherwise dispose of all or substantially all of our assets; and enter into certain transactions with affiliates.</w:t>
      </w:r>
    </w:p>
    <w:p>
      <w:pPr>
        <w:jc w:val="both"/>
        <w:spacing w:after="0" w:line="236" w:lineRule="auto"/>
        <w:rPr>
          <w:sz w:val="20"/>
          <w:szCs w:val="20"/>
          <w:color w:val="auto"/>
        </w:rPr>
      </w:pPr>
      <w:r>
        <w:rPr>
          <w:rFonts w:ascii="Times New Roman" w:cs="Times New Roman" w:eastAsia="Times New Roman" w:hAnsi="Times New Roman"/>
          <w:sz w:val="18"/>
          <w:szCs w:val="18"/>
          <w:color w:val="auto"/>
        </w:rPr>
        <w:t>The A&amp;R Indenture also contains affirmative and financial covenants, including requirements that we: maintain at least $15 million of cash and cash equivalents in accounts subject to control agreements in favor of the trustee; maintain specified Consolidated Leverage Ratios (as defined in the A&amp;R Indenture) as of each fiscal quarter-end commncing March 31, 2026; and obtain Board approval for certain asset sales and the application of related proceeds.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Our obligation to comply with such covenants could decrease our operating flexibility and our ability to achieve our operating objectives, which could have an adverse affect on our business and/or our ability to consummate a strategic transaction. A breach of any covenant or other event of default under the A&amp;R Indenture could, if not cured or waived, result in the acceleration of a substantial portion of our outstanding debt. In such circumstances, we may be unable to access additional liquidity, refinance our debt on acceptable terms, or obtain necessary waivers and/or concessions, and we may not have sufficient cash on hand to repay amounts due. An acceleration could force us to seek bankruptcy protection or other court protection, consummate asset sales on unfavorable terms, or undertake other actions that materially and adversely affect our business, financial condition, results of operations, and prospects. In addition, to implement certain strategic alternatives, such as asset sales, mergers, or other transactions, we may need waivers, amendments, and/or consents from holders of the 2028 Notes and 2028 Convertible Notes, which may not be granted or may be granted only on terms that are unfavorable to us.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8" w:lineRule="exact"/>
        <w:rPr>
          <w:sz w:val="20"/>
          <w:szCs w:val="20"/>
          <w:color w:val="auto"/>
        </w:rPr>
      </w:pPr>
    </w:p>
    <w:p>
      <w:pPr>
        <w:ind w:left="2240" w:hanging="1110"/>
        <w:spacing w:after="0"/>
        <w:tabs>
          <w:tab w:leader="none" w:pos="2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left="2240" w:hanging="1110"/>
        <w:spacing w:after="0"/>
        <w:tabs>
          <w:tab w:leader="none" w:pos="2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Trading Plans of Directors and Executive Officers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defined in Item 408(c) of Regulation S-K.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 Index</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810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2.1</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2.2</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3.1</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3.2</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4.2</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4.3</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4.4</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4.5</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4.6</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4.7</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4.8</w:t>
      </w:r>
    </w:p>
    <w:p>
      <w:pPr>
        <w:spacing w:after="0" w:line="2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4.9</w:t>
      </w:r>
    </w:p>
    <w:p>
      <w:pPr>
        <w:spacing w:after="0" w:line="3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4.10</w:t>
      </w: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w:t>
      </w:r>
    </w:p>
    <w:p>
      <w:pPr>
        <w:spacing w:after="0" w:line="2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2928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850" cy="8255"/>
                    </a:xfrm>
                    <a:prstGeom prst="rect">
                      <a:avLst/>
                    </a:prstGeom>
                    <a:noFill/>
                  </pic:spPr>
                </pic:pic>
              </a:graphicData>
            </a:graphic>
          </wp:anchor>
        </w:drawing>
      </w:r>
    </w:p>
    <w:p>
      <w:pPr>
        <w:spacing w:after="0" w:line="58" w:lineRule="exact"/>
        <w:rPr>
          <w:sz w:val="20"/>
          <w:szCs w:val="20"/>
          <w:color w:val="auto"/>
        </w:rPr>
      </w:pPr>
    </w:p>
    <w:p>
      <w:pPr>
        <w:ind w:right="80"/>
        <w:spacing w:after="0" w:line="262" w:lineRule="auto"/>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Arrangement Agreement, dated March 23, 2022, between Cresco Labs Inc. and Columbia Care Inc. (incorporated by reference to Exhibit</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2.1 of the Registrant’s Current Report on Form 8-K, filed with the SEC on March 29, 2022)</w:t>
        </w:r>
      </w:hyperlink>
    </w:p>
    <w:p>
      <w:pPr>
        <w:spacing w:after="0" w:line="30" w:lineRule="exact"/>
        <w:rPr>
          <w:sz w:val="20"/>
          <w:szCs w:val="20"/>
          <w:color w:val="auto"/>
        </w:rPr>
      </w:pPr>
    </w:p>
    <w:p>
      <w:pPr>
        <w:ind w:right="80"/>
        <w:spacing w:after="0" w:line="262"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Amending Agreement, dated February 27, 2023, between Cresco Labs Inc. and Columbia Care Inc. (incorporated by reference to Exhibit</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2.1 of the Registrant’s Current Report on Form 8-K, filed with the SEC on February 28, 2023)</w:t>
        </w:r>
      </w:hyperlink>
    </w:p>
    <w:p>
      <w:pPr>
        <w:spacing w:after="0" w:line="30" w:lineRule="exact"/>
        <w:rPr>
          <w:sz w:val="20"/>
          <w:szCs w:val="20"/>
          <w:color w:val="auto"/>
        </w:rPr>
      </w:pPr>
    </w:p>
    <w:p>
      <w:pPr>
        <w:ind w:right="240"/>
        <w:spacing w:after="0" w:line="262"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Articles, dated April 26, 2019 (incorporated by reference to Exhibit 3.1 of the Registrant’s Form 8-K, filed with the SEC on September</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22, 2023)</w:t>
        </w:r>
      </w:hyperlink>
    </w:p>
    <w:p>
      <w:pPr>
        <w:spacing w:after="0" w:line="30" w:lineRule="exact"/>
        <w:rPr>
          <w:sz w:val="20"/>
          <w:szCs w:val="20"/>
          <w:color w:val="auto"/>
        </w:rPr>
      </w:pPr>
    </w:p>
    <w:p>
      <w:pPr>
        <w:ind w:right="240"/>
        <w:spacing w:after="0" w:line="262"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Certificate of Change of Name, dated September 19, 2023 (incorporated by reference to Exhibit 3.2 of the Registrant’s Form 8-K, filed</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with the SEC on September 22, 2023)</w:t>
        </w:r>
      </w:hyperlink>
    </w:p>
    <w:p>
      <w:pPr>
        <w:spacing w:after="0" w:line="30" w:lineRule="exact"/>
        <w:rPr>
          <w:sz w:val="20"/>
          <w:szCs w:val="20"/>
          <w:color w:val="auto"/>
        </w:rPr>
      </w:pPr>
    </w:p>
    <w:p>
      <w:pPr>
        <w:ind w:right="380"/>
        <w:spacing w:after="0" w:line="255"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Warrant Agency Agreement dated September 20, 2018 between Canaccord Genuity Growth Corp. and Odyssey Trust Company</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(incorporated by reference to Exhibit 4.1 of the Registrant’s Registration Statement on Form 10, filed with the SEC on December 14,</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2021)</w:t>
        </w:r>
      </w:hyperlink>
    </w:p>
    <w:p>
      <w:pPr>
        <w:spacing w:after="0" w:line="22" w:lineRule="exact"/>
        <w:rPr>
          <w:rFonts w:ascii="Times New Roman" w:cs="Times New Roman" w:eastAsia="Times New Roman" w:hAnsi="Times New Roman"/>
          <w:sz w:val="18"/>
          <w:szCs w:val="18"/>
          <w:u w:val="single" w:color="auto"/>
          <w:color w:val="0000FF"/>
        </w:rPr>
      </w:pPr>
    </w:p>
    <w:p>
      <w:pPr>
        <w:spacing w:after="0" w:line="262"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Warrant Agreement dated April 26, 2019 between Columbia Care Inc. and Canaccord Genuity Corp. (incorporated by reference to Exhibit</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4.2 of the Registrant’s Registration Statement on Form 10, filed with the SEC on December 14, 2021)</w:t>
        </w:r>
      </w:hyperlink>
    </w:p>
    <w:p>
      <w:pPr>
        <w:spacing w:after="0" w:line="30" w:lineRule="exact"/>
        <w:rPr>
          <w:sz w:val="20"/>
          <w:szCs w:val="20"/>
          <w:color w:val="auto"/>
        </w:rPr>
      </w:pPr>
    </w:p>
    <w:p>
      <w:pPr>
        <w:ind w:right="460"/>
        <w:spacing w:after="0" w:line="262"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Trust Indenture made as of March 31, 2020 between Columbia Care Inc. and Odyssey Trust Company (incorporated by reference to</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Exhibit 4.3 of the Registrant’s Registration Statement on Form 10, filed with the SEC on December 14, 2021)</w:t>
        </w:r>
      </w:hyperlink>
    </w:p>
    <w:p>
      <w:pPr>
        <w:spacing w:after="0" w:line="30" w:lineRule="exact"/>
        <w:rPr>
          <w:sz w:val="20"/>
          <w:szCs w:val="20"/>
          <w:color w:val="auto"/>
        </w:rPr>
      </w:pPr>
    </w:p>
    <w:p>
      <w:pPr>
        <w:jc w:val="both"/>
        <w:ind w:right="80"/>
        <w:spacing w:after="0" w:line="262"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Warrant Indenture dated March 31, 2020 between Columbia Care Inc. and Odyssey Trust Company (incorporated by reference to Exhibit</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4.4 of the Registrant’s Registration Statement on Form 10, filed with the SEC on December 14, 2021)</w:t>
        </w:r>
      </w:hyperlink>
    </w:p>
    <w:p>
      <w:pPr>
        <w:spacing w:after="0" w:line="30" w:lineRule="exact"/>
        <w:rPr>
          <w:sz w:val="20"/>
          <w:szCs w:val="20"/>
          <w:color w:val="auto"/>
        </w:rPr>
      </w:pPr>
    </w:p>
    <w:p>
      <w:pPr>
        <w:ind w:right="220"/>
        <w:spacing w:after="0" w:line="262"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Warrant Indenture dated May 14, 2020 between Columbia Care Inc. and Odyssey Trust Company (incorporated by reference to Exhibit</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4.6 of the Registrant’s Registration Statement on Form 10, filed with the SEC on December 14, 2021)</w:t>
        </w:r>
      </w:hyperlink>
    </w:p>
    <w:p>
      <w:pPr>
        <w:spacing w:after="0" w:line="30" w:lineRule="exact"/>
        <w:rPr>
          <w:sz w:val="20"/>
          <w:szCs w:val="20"/>
          <w:color w:val="auto"/>
        </w:rPr>
      </w:pPr>
    </w:p>
    <w:p>
      <w:pPr>
        <w:jc w:val="both"/>
        <w:ind w:right="80"/>
        <w:spacing w:after="0" w:line="262"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Warrant Indenture dated July 2, 2020 between Columbia Care Inc. and Odyssey Trust Company (incorporated by reference to Exhibit 4.8</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of the Registrant’s Registration Statement on Form 10, filed with the SEC on December 14, 2021)</w:t>
        </w:r>
      </w:hyperlink>
    </w:p>
    <w:p>
      <w:pPr>
        <w:spacing w:after="0" w:line="30" w:lineRule="exact"/>
        <w:rPr>
          <w:sz w:val="20"/>
          <w:szCs w:val="20"/>
          <w:color w:val="auto"/>
        </w:rPr>
      </w:pPr>
    </w:p>
    <w:p>
      <w:pPr>
        <w:ind w:right="540"/>
        <w:spacing w:after="0" w:line="262" w:lineRule="auto"/>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Warrant Indenture dated October 29, 2020 between Columbia Care Inc. and Odyssey Trust Company (incorporated by reference to</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Exhibit 4.9 of the Registrant’s Registration Statement on Form 10, filed with the SEC on December 14, 2021)</w:t>
        </w:r>
      </w:hyperlink>
    </w:p>
    <w:p>
      <w:pPr>
        <w:spacing w:after="0" w:line="30" w:lineRule="exact"/>
        <w:rPr>
          <w:sz w:val="20"/>
          <w:szCs w:val="20"/>
          <w:color w:val="auto"/>
        </w:rPr>
      </w:pPr>
    </w:p>
    <w:p>
      <w:pPr>
        <w:jc w:val="both"/>
        <w:ind w:right="80"/>
        <w:spacing w:after="0" w:line="262"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Extension Notice dated March 28, 2023 to Odyssey Trust Company (incorporated by reference to Exhibit 4.14 of the Registrant’s Annual</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Report on Form 10-K for the fiscal year ended December 31, 2022, filed with the SEC on March 29, 2023)</w:t>
        </w:r>
      </w:hyperlink>
    </w:p>
    <w:p>
      <w:pPr>
        <w:spacing w:after="0" w:line="3" w:lineRule="exact"/>
        <w:rPr>
          <w:sz w:val="20"/>
          <w:szCs w:val="20"/>
          <w:color w:val="auto"/>
        </w:rPr>
      </w:pPr>
    </w:p>
    <w:p>
      <w:pPr>
        <w:ind w:right="160"/>
        <w:spacing w:after="0" w:line="233" w:lineRule="auto"/>
        <w:rPr>
          <w:rFonts w:ascii="Times New Roman" w:cs="Times New Roman" w:eastAsia="Times New Roman" w:hAnsi="Times New Roman"/>
          <w:sz w:val="17"/>
          <w:szCs w:val="17"/>
          <w:u w:val="single" w:color="auto"/>
          <w:color w:val="0000FF"/>
        </w:rPr>
      </w:pPr>
      <w:hyperlink r:id="rId85">
        <w:r>
          <w:rPr>
            <w:rFonts w:ascii="Times New Roman" w:cs="Times New Roman" w:eastAsia="Times New Roman" w:hAnsi="Times New Roman"/>
            <w:sz w:val="17"/>
            <w:szCs w:val="17"/>
            <w:u w:val="single" w:color="auto"/>
            <w:color w:val="0000FF"/>
          </w:rPr>
          <w:t>Amended and Restated Trust Indenture, among The Cannabist Company Holdings Inc. and The Cannabist Company Holdings (Canada)</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Inc, as co-issuers, and Odyssey Trust Company, as Trustee, dated May 29, 2025 (incorporated by reference to Exhibit 4.1 of the</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Registrant’s Current Report on Form 8-K, filed with the SEC on June 4, 2025)</w:t>
        </w:r>
      </w:hyperlink>
    </w:p>
    <w:p>
      <w:pPr>
        <w:spacing w:after="0" w:line="14" w:lineRule="exact"/>
        <w:rPr>
          <w:sz w:val="20"/>
          <w:szCs w:val="20"/>
          <w:color w:val="auto"/>
        </w:rPr>
      </w:pPr>
    </w:p>
    <w:p>
      <w:pPr>
        <w:jc w:val="both"/>
        <w:ind w:right="80"/>
        <w:spacing w:after="0" w:line="255"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First Supplemental Indenture, among The Cannabist Company Holdings Inc. and The Cannabist Company Holdings (Canada) Inc, as co-</w:t>
        </w:r>
      </w:hyperlink>
      <w:hyperlink r:id="rId85">
        <w:r>
          <w:rPr>
            <w:rFonts w:ascii="Times New Roman" w:cs="Times New Roman" w:eastAsia="Times New Roman" w:hAnsi="Times New Roman"/>
            <w:sz w:val="18"/>
            <w:szCs w:val="18"/>
            <w:u w:val="single" w:color="auto"/>
            <w:color w:val="0000FF"/>
          </w:rPr>
          <w:t>issuers, and Odyssey Trust Company, dated May 29, 2025 (incorporated by reference to Exhibit 4.2 of the Registrant’s Current Report on</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Form 8-K, filed with the SEC on June 4, 2025)</w:t>
        </w:r>
      </w:hyperlink>
    </w:p>
    <w:p>
      <w:pPr>
        <w:spacing w:after="0" w:line="9" w:lineRule="exact"/>
        <w:rPr>
          <w:rFonts w:ascii="Times New Roman" w:cs="Times New Roman" w:eastAsia="Times New Roman" w:hAnsi="Times New Roman"/>
          <w:sz w:val="18"/>
          <w:szCs w:val="18"/>
          <w:u w:val="single" w:color="auto"/>
          <w:color w:val="0000FF"/>
        </w:rPr>
      </w:pPr>
    </w:p>
    <w:p>
      <w:pPr>
        <w:ind w:right="20"/>
        <w:spacing w:after="0" w:line="262"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Summary of The Cannabist Company Holdings Inc. Transaction Bonus Plan (incorporated by reference to Exhibit 10.4 of the Registrant’s</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Quarterly Report on Form 10-Q for the quarter ended June 30, 2025, filed with the SEC on August 7, 2025)</w:t>
        </w:r>
      </w:hyperlink>
    </w:p>
    <w:p>
      <w:pPr>
        <w:spacing w:after="0" w:line="16" w:lineRule="exact"/>
        <w:rPr>
          <w:sz w:val="20"/>
          <w:szCs w:val="20"/>
          <w:color w:val="auto"/>
        </w:rPr>
      </w:pPr>
    </w:p>
    <w:p>
      <w:pPr>
        <w:ind w:right="40"/>
        <w:spacing w:after="0" w:line="255"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Second Amended and Restated At-Will Employment Agreement dated July 17, 2025 between The Cannabist Company Holdings Inc. and</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Jesse Channon (incorporated by reference to Exhibit 10.5 of the Registrant’s Quarterly Report on Form 10-Q for the quarter ended June</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30, 2025, filed with the SEC on August 7, 2025)</w:t>
        </w:r>
      </w:hyperlink>
    </w:p>
    <w:p>
      <w:pPr>
        <w:spacing w:after="0" w:line="22" w:lineRule="exact"/>
        <w:rPr>
          <w:rFonts w:ascii="Times New Roman" w:cs="Times New Roman" w:eastAsia="Times New Roman" w:hAnsi="Times New Roman"/>
          <w:sz w:val="18"/>
          <w:szCs w:val="18"/>
          <w:u w:val="single" w:color="auto"/>
          <w:color w:val="0000FF"/>
        </w:rPr>
      </w:pPr>
    </w:p>
    <w:p>
      <w:pPr>
        <w:ind w:right="340"/>
        <w:spacing w:after="0" w:line="262"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940" w:space="400"/>
            <w:col w:w="9880"/>
          </w:cols>
          <w:pgMar w:left="320" w:top="121" w:right="359" w:bottom="1440" w:gutter="0" w:footer="0" w:header="0"/>
          <w:type w:val="continuous"/>
        </w:sectPr>
      </w:pPr>
    </w:p>
    <w:p>
      <w:pPr>
        <w:spacing w:after="0" w:line="151"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1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8"/>
              </w:rPr>
              <w:t>31.2*</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81"/>
        </w:trPr>
        <w:tc>
          <w:tcPr>
            <w:tcW w:w="1100" w:type="dxa"/>
            <w:vAlign w:val="bottom"/>
          </w:tcPr>
          <w:p>
            <w:pPr>
              <w:spacing w:after="0"/>
              <w:rPr>
                <w:sz w:val="15"/>
                <w:szCs w:val="15"/>
                <w:color w:val="auto"/>
              </w:rPr>
            </w:pPr>
          </w:p>
        </w:tc>
        <w:tc>
          <w:tcPr>
            <w:tcW w:w="9500" w:type="dxa"/>
            <w:vAlign w:val="bottom"/>
            <w:tcBorders>
              <w:top w:val="single" w:sz="8" w:color="0000FF"/>
            </w:tcBorders>
            <w:gridSpan w:val="4"/>
          </w:tcPr>
          <w:p>
            <w:pPr>
              <w:spacing w:after="0" w:line="181"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center"/>
              <w:ind w:right="251"/>
              <w:spacing w:after="0"/>
              <w:rPr>
                <w:sz w:val="20"/>
                <w:szCs w:val="20"/>
                <w:color w:val="auto"/>
              </w:rPr>
            </w:pPr>
            <w:r>
              <w:rPr>
                <w:rFonts w:ascii="Times New Roman" w:cs="Times New Roman" w:eastAsia="Times New Roman" w:hAnsi="Times New Roman"/>
                <w:sz w:val="18"/>
                <w:szCs w:val="18"/>
                <w:color w:val="auto"/>
                <w:w w:val="98"/>
              </w:rPr>
              <w:t>32.1‡</w:t>
            </w:r>
          </w:p>
        </w:tc>
        <w:tc>
          <w:tcPr>
            <w:tcW w:w="138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100" w:type="dxa"/>
            <w:vAlign w:val="bottom"/>
            <w:vMerge w:val="continue"/>
          </w:tcPr>
          <w:p>
            <w:pPr>
              <w:spacing w:after="0"/>
              <w:rPr>
                <w:sz w:val="22"/>
                <w:szCs w:val="22"/>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81"/>
        </w:trPr>
        <w:tc>
          <w:tcPr>
            <w:tcW w:w="1100" w:type="dxa"/>
            <w:vAlign w:val="bottom"/>
          </w:tcPr>
          <w:p>
            <w:pPr>
              <w:spacing w:after="0"/>
              <w:rPr>
                <w:sz w:val="15"/>
                <w:szCs w:val="15"/>
                <w:color w:val="auto"/>
              </w:rPr>
            </w:pPr>
          </w:p>
        </w:tc>
        <w:tc>
          <w:tcPr>
            <w:tcW w:w="9520" w:type="dxa"/>
            <w:vAlign w:val="bottom"/>
            <w:tcBorders>
              <w:top w:val="single" w:sz="8" w:color="0000FF"/>
            </w:tcBorders>
            <w:gridSpan w:val="5"/>
          </w:tcPr>
          <w:p>
            <w:pPr>
              <w:spacing w:after="0" w:line="181" w:lineRule="exact"/>
              <w:rPr>
                <w:sz w:val="20"/>
                <w:szCs w:val="20"/>
                <w:color w:val="auto"/>
              </w:rPr>
            </w:pPr>
            <w:r>
              <w:rPr>
                <w:rFonts w:ascii="Times New Roman" w:cs="Times New Roman" w:eastAsia="Times New Roman" w:hAnsi="Times New Roman"/>
                <w:sz w:val="18"/>
                <w:szCs w:val="18"/>
                <w:color w:val="0000FF"/>
              </w:rPr>
              <w:t>Oxley Act of 2002.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jc w:val="center"/>
              <w:ind w:right="251"/>
              <w:spacing w:after="0"/>
              <w:rPr>
                <w:sz w:val="20"/>
                <w:szCs w:val="20"/>
                <w:color w:val="auto"/>
              </w:rPr>
            </w:pPr>
            <w:r>
              <w:rPr>
                <w:rFonts w:ascii="Times New Roman" w:cs="Times New Roman" w:eastAsia="Times New Roman" w:hAnsi="Times New Roman"/>
                <w:sz w:val="18"/>
                <w:szCs w:val="18"/>
                <w:color w:val="auto"/>
                <w:w w:val="98"/>
              </w:rPr>
              <w:t>32.2‡</w:t>
            </w:r>
          </w:p>
        </w:tc>
        <w:tc>
          <w:tcPr>
            <w:tcW w:w="1380" w:type="dxa"/>
            <w:vAlign w:val="bottom"/>
            <w:shd w:val="clear" w:color="auto" w:fill="0000FF"/>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100" w:type="dxa"/>
            <w:vAlign w:val="bottom"/>
            <w:vMerge w:val="continue"/>
          </w:tcPr>
          <w:p>
            <w:pPr>
              <w:spacing w:after="0"/>
              <w:rPr>
                <w:sz w:val="22"/>
                <w:szCs w:val="22"/>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81"/>
        </w:trPr>
        <w:tc>
          <w:tcPr>
            <w:tcW w:w="1100" w:type="dxa"/>
            <w:vAlign w:val="bottom"/>
          </w:tcPr>
          <w:p>
            <w:pPr>
              <w:spacing w:after="0"/>
              <w:rPr>
                <w:sz w:val="15"/>
                <w:szCs w:val="15"/>
                <w:color w:val="auto"/>
              </w:rPr>
            </w:pPr>
          </w:p>
        </w:tc>
        <w:tc>
          <w:tcPr>
            <w:tcW w:w="9480" w:type="dxa"/>
            <w:vAlign w:val="bottom"/>
            <w:tcBorders>
              <w:top w:val="single" w:sz="8" w:color="0000FF"/>
            </w:tcBorders>
            <w:gridSpan w:val="3"/>
          </w:tcPr>
          <w:p>
            <w:pPr>
              <w:spacing w:after="0" w:line="181" w:lineRule="exact"/>
              <w:rPr>
                <w:sz w:val="20"/>
                <w:szCs w:val="20"/>
                <w:color w:val="auto"/>
              </w:rPr>
            </w:pPr>
            <w:r>
              <w:rPr>
                <w:rFonts w:ascii="Times New Roman" w:cs="Times New Roman" w:eastAsia="Times New Roman" w:hAnsi="Times New Roman"/>
                <w:sz w:val="18"/>
                <w:szCs w:val="18"/>
                <w:color w:val="0000FF"/>
              </w:rPr>
              <w:t>Oxley Act of 2002.</w:t>
            </w:r>
          </w:p>
        </w:tc>
        <w:tc>
          <w:tcPr>
            <w:tcW w:w="2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1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7"/>
              </w:rPr>
              <w:t>101.INS*</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3"/>
        </w:trPr>
        <w:tc>
          <w:tcPr>
            <w:tcW w:w="1100" w:type="dxa"/>
            <w:vAlign w:val="bottom"/>
          </w:tcPr>
          <w:p>
            <w:pPr>
              <w:spacing w:after="0"/>
              <w:rPr>
                <w:sz w:val="20"/>
                <w:szCs w:val="20"/>
                <w:color w:val="auto"/>
              </w:rPr>
            </w:pP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54"/>
        </w:trPr>
        <w:tc>
          <w:tcPr>
            <w:tcW w:w="11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54"/>
        </w:trPr>
        <w:tc>
          <w:tcPr>
            <w:tcW w:w="11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9"/>
              </w:rPr>
              <w:t>101.CAL*</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54"/>
        </w:trPr>
        <w:tc>
          <w:tcPr>
            <w:tcW w:w="110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101.DEF*</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54"/>
        </w:trPr>
        <w:tc>
          <w:tcPr>
            <w:tcW w:w="11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9"/>
              </w:rPr>
              <w:t>101.LAB*</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54"/>
        </w:trPr>
        <w:tc>
          <w:tcPr>
            <w:tcW w:w="11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7"/>
              </w:rPr>
              <w:t>101.PRE*</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54"/>
        </w:trPr>
        <w:tc>
          <w:tcPr>
            <w:tcW w:w="110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99"/>
              </w:rPr>
              <w:t>104*</w:t>
            </w:r>
          </w:p>
        </w:tc>
        <w:tc>
          <w:tcPr>
            <w:tcW w:w="9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4" w:lineRule="exact"/>
        <w:rPr>
          <w:sz w:val="20"/>
          <w:szCs w:val="20"/>
          <w:color w:val="auto"/>
        </w:rPr>
      </w:pPr>
    </w:p>
    <w:p>
      <w:pPr>
        <w:ind w:left="120" w:hanging="115"/>
        <w:spacing w:after="0" w:line="237" w:lineRule="auto"/>
        <w:rPr>
          <w:sz w:val="20"/>
          <w:szCs w:val="20"/>
          <w:color w:val="auto"/>
        </w:rPr>
      </w:pPr>
      <w:r>
        <w:rPr>
          <w:rFonts w:ascii="Times New Roman" w:cs="Times New Roman" w:eastAsia="Times New Roman" w:hAnsi="Times New Roman"/>
          <w:sz w:val="18"/>
          <w:szCs w:val="18"/>
          <w:color w:val="auto"/>
        </w:rPr>
        <w:t>#† Certain identified information has been omitted pursuant to Item 601(b)(10) of Regulation S-K because such information is both (i) not material and (ii) of the type that the Registrant customarily and actually treats as private or confidential. The Registrant hereby undertakes to furnish supplemental copies of the unredacted exhibit upon request by the SEC.</w:t>
      </w:r>
    </w:p>
    <w:p>
      <w:pPr>
        <w:spacing w:after="0" w:line="76" w:lineRule="exact"/>
        <w:rPr>
          <w:sz w:val="20"/>
          <w:szCs w:val="20"/>
          <w:color w:val="auto"/>
        </w:rPr>
      </w:pPr>
    </w:p>
    <w:p>
      <w:pPr>
        <w:jc w:val="center"/>
        <w:ind w:right="120"/>
        <w:spacing w:after="0" w:line="308" w:lineRule="auto"/>
        <w:rPr>
          <w:sz w:val="20"/>
          <w:szCs w:val="20"/>
          <w:color w:val="auto"/>
        </w:rPr>
      </w:pPr>
      <w:r>
        <w:rPr>
          <w:rFonts w:ascii="Times New Roman" w:cs="Times New Roman" w:eastAsia="Times New Roman" w:hAnsi="Times New Roman"/>
          <w:sz w:val="17"/>
          <w:szCs w:val="17"/>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260" w:firstLine="80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75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tc>
      </w:tr>
      <w:tr>
        <w:trPr>
          <w:trHeight w:val="5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26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 David Hart</w:t>
            </w:r>
          </w:p>
        </w:tc>
      </w:tr>
      <w:tr>
        <w:trPr>
          <w:trHeight w:val="241"/>
        </w:trPr>
        <w:tc>
          <w:tcPr>
            <w:tcW w:w="3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David Hart</w:t>
            </w:r>
          </w:p>
        </w:tc>
      </w:tr>
      <w:tr>
        <w:trPr>
          <w:trHeight w:val="254"/>
        </w:trPr>
        <w:tc>
          <w:tcPr>
            <w:tcW w:w="36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5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2025</w:t>
            </w:r>
          </w:p>
        </w:tc>
        <w:tc>
          <w:tcPr>
            <w:tcW w:w="26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 Derek Watson</w:t>
            </w:r>
          </w:p>
        </w:tc>
      </w:tr>
      <w:tr>
        <w:trPr>
          <w:trHeight w:val="241"/>
        </w:trPr>
        <w:tc>
          <w:tcPr>
            <w:tcW w:w="36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Derek Watson</w:t>
            </w:r>
          </w:p>
        </w:tc>
      </w:tr>
      <w:tr>
        <w:trPr>
          <w:trHeight w:val="254"/>
        </w:trPr>
        <w:tc>
          <w:tcPr>
            <w:tcW w:w="36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588"/>
        </w:trPr>
        <w:tc>
          <w:tcPr>
            <w:tcW w:w="3680" w:type="dxa"/>
            <w:vAlign w:val="bottom"/>
          </w:tcPr>
          <w:p>
            <w:pPr>
              <w:spacing w:after="0"/>
              <w:rPr>
                <w:sz w:val="24"/>
                <w:szCs w:val="24"/>
                <w:color w:val="auto"/>
              </w:rPr>
            </w:pPr>
          </w:p>
        </w:tc>
        <w:tc>
          <w:tcPr>
            <w:tcW w:w="26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39</w:t>
            </w:r>
          </w:p>
        </w:tc>
        <w:tc>
          <w:tcPr>
            <w:tcW w:w="49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David Hart</w:t>
      </w:r>
      <w:r>
        <w:rPr>
          <w:rFonts w:ascii="Times New Roman" w:cs="Times New Roman" w:eastAsia="Times New Roman" w:hAnsi="Times New Roman"/>
          <w:sz w:val="18"/>
          <w:szCs w:val="18"/>
          <w:color w:val="auto"/>
        </w:rPr>
        <w:t>, certify that:</w:t>
      </w:r>
    </w:p>
    <w:p>
      <w:pPr>
        <w:spacing w:after="0" w:line="114" w:lineRule="exact"/>
        <w:rPr>
          <w:sz w:val="20"/>
          <w:szCs w:val="20"/>
          <w:color w:val="auto"/>
        </w:rPr>
      </w:pPr>
    </w:p>
    <w:p>
      <w:pPr>
        <w:ind w:left="1220" w:hanging="1213"/>
        <w:spacing w:after="0"/>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3" w:lineRule="exact"/>
        <w:rPr>
          <w:rFonts w:ascii="Times New Roman" w:cs="Times New Roman" w:eastAsia="Times New Roman" w:hAnsi="Times New Roman"/>
          <w:sz w:val="18"/>
          <w:szCs w:val="18"/>
          <w:color w:val="auto"/>
        </w:rPr>
      </w:pPr>
    </w:p>
    <w:p>
      <w:pPr>
        <w:ind w:left="1220" w:right="120" w:hanging="1213"/>
        <w:spacing w:after="0" w:line="263" w:lineRule="auto"/>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220" w:right="400" w:hanging="1213"/>
        <w:spacing w:after="0" w:line="308" w:lineRule="auto"/>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Times New Roman" w:cs="Times New Roman" w:eastAsia="Times New Roman" w:hAnsi="Times New Roman"/>
          <w:sz w:val="17"/>
          <w:szCs w:val="17"/>
          <w:color w:val="auto"/>
        </w:rPr>
      </w:pPr>
    </w:p>
    <w:p>
      <w:pPr>
        <w:ind w:left="1220" w:right="280" w:hanging="1213"/>
        <w:spacing w:after="0" w:line="274" w:lineRule="auto"/>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5" w:lineRule="exact"/>
        <w:rPr>
          <w:rFonts w:ascii="Times New Roman" w:cs="Times New Roman" w:eastAsia="Times New Roman" w:hAnsi="Times New Roman"/>
          <w:sz w:val="17"/>
          <w:szCs w:val="17"/>
          <w:color w:val="auto"/>
        </w:rPr>
      </w:pPr>
    </w:p>
    <w:p>
      <w:pPr>
        <w:ind w:left="2340" w:right="40" w:hanging="1129"/>
        <w:spacing w:after="0" w:line="263" w:lineRule="auto"/>
        <w:tabs>
          <w:tab w:leader="none" w:pos="23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340" w:right="460" w:hanging="1129"/>
        <w:spacing w:after="0" w:line="285" w:lineRule="auto"/>
        <w:tabs>
          <w:tab w:leader="none" w:pos="233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Times New Roman" w:cs="Times New Roman" w:eastAsia="Times New Roman" w:hAnsi="Times New Roman"/>
          <w:sz w:val="17"/>
          <w:szCs w:val="17"/>
          <w:color w:val="auto"/>
        </w:rPr>
      </w:pPr>
    </w:p>
    <w:p>
      <w:pPr>
        <w:jc w:val="both"/>
        <w:ind w:left="2340" w:right="20" w:hanging="1129"/>
        <w:spacing w:after="0" w:line="263" w:lineRule="auto"/>
        <w:tabs>
          <w:tab w:leader="none" w:pos="23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340" w:right="60" w:hanging="1129"/>
        <w:spacing w:after="0" w:line="285" w:lineRule="auto"/>
        <w:tabs>
          <w:tab w:leader="none" w:pos="233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Times New Roman" w:cs="Times New Roman" w:eastAsia="Times New Roman" w:hAnsi="Times New Roman"/>
          <w:sz w:val="17"/>
          <w:szCs w:val="17"/>
          <w:color w:val="auto"/>
        </w:rPr>
      </w:pPr>
    </w:p>
    <w:p>
      <w:pPr>
        <w:ind w:left="1220" w:right="360" w:hanging="1213"/>
        <w:spacing w:after="0" w:line="263" w:lineRule="auto"/>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340" w:right="260" w:hanging="1129"/>
        <w:spacing w:after="0" w:line="263" w:lineRule="auto"/>
        <w:tabs>
          <w:tab w:leader="none" w:pos="23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340" w:right="640" w:hanging="1129"/>
        <w:spacing w:after="0" w:line="278" w:lineRule="auto"/>
        <w:tabs>
          <w:tab w:leader="none" w:pos="233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5380" w:val="left"/>
          <w:tab w:leader="none" w:pos="806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24765</wp:posOffset>
            </wp:positionV>
            <wp:extent cx="336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3362960" cy="8255"/>
                    </a:xfrm>
                    <a:prstGeom prst="rect">
                      <a:avLst/>
                    </a:prstGeom>
                    <a:noFill/>
                  </pic:spPr>
                </pic:pic>
              </a:graphicData>
            </a:graphic>
          </wp:anchor>
        </w:drawing>
      </w:r>
    </w:p>
    <w:p>
      <w:pPr>
        <w:spacing w:after="0" w:line="36"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Name: David Hart</w:t>
      </w:r>
    </w:p>
    <w:p>
      <w:pPr>
        <w:spacing w:after="0" w:line="47"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2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6"/>
          <w:szCs w:val="16"/>
          <w:color w:val="auto"/>
        </w:rPr>
        <w:t>Derek Watson</w:t>
      </w:r>
      <w:r>
        <w:rPr>
          <w:rFonts w:ascii="Times New Roman" w:cs="Times New Roman" w:eastAsia="Times New Roman" w:hAnsi="Times New Roman"/>
          <w:sz w:val="18"/>
          <w:szCs w:val="18"/>
          <w:color w:val="auto"/>
        </w:rPr>
        <w:t>, certify that:</w:t>
      </w:r>
    </w:p>
    <w:p>
      <w:pPr>
        <w:spacing w:after="0" w:line="114" w:lineRule="exact"/>
        <w:rPr>
          <w:sz w:val="20"/>
          <w:szCs w:val="20"/>
          <w:color w:val="auto"/>
        </w:rPr>
      </w:pPr>
    </w:p>
    <w:p>
      <w:pPr>
        <w:ind w:left="1220" w:hanging="1213"/>
        <w:spacing w:after="0"/>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Cannabist Company Holdings Inc.;</w:t>
      </w:r>
    </w:p>
    <w:p>
      <w:pPr>
        <w:spacing w:after="0" w:line="113" w:lineRule="exact"/>
        <w:rPr>
          <w:rFonts w:ascii="Times New Roman" w:cs="Times New Roman" w:eastAsia="Times New Roman" w:hAnsi="Times New Roman"/>
          <w:sz w:val="18"/>
          <w:szCs w:val="18"/>
          <w:color w:val="auto"/>
        </w:rPr>
      </w:pPr>
    </w:p>
    <w:p>
      <w:pPr>
        <w:ind w:left="1220" w:right="120" w:hanging="1213"/>
        <w:spacing w:after="0" w:line="263" w:lineRule="auto"/>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220" w:right="400" w:hanging="1213"/>
        <w:spacing w:after="0" w:line="308" w:lineRule="auto"/>
        <w:tabs>
          <w:tab w:leader="none" w:pos="12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Times New Roman" w:cs="Times New Roman" w:eastAsia="Times New Roman" w:hAnsi="Times New Roman"/>
          <w:sz w:val="17"/>
          <w:szCs w:val="17"/>
          <w:color w:val="auto"/>
        </w:rPr>
      </w:pPr>
    </w:p>
    <w:p>
      <w:pPr>
        <w:ind w:left="1220" w:right="280" w:hanging="1213"/>
        <w:spacing w:after="0" w:line="274" w:lineRule="auto"/>
        <w:tabs>
          <w:tab w:leader="none" w:pos="12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5" w:lineRule="exact"/>
        <w:rPr>
          <w:rFonts w:ascii="Times New Roman" w:cs="Times New Roman" w:eastAsia="Times New Roman" w:hAnsi="Times New Roman"/>
          <w:sz w:val="17"/>
          <w:szCs w:val="17"/>
          <w:color w:val="auto"/>
        </w:rPr>
      </w:pPr>
    </w:p>
    <w:p>
      <w:pPr>
        <w:ind w:left="2340" w:right="40" w:hanging="1129"/>
        <w:spacing w:after="0" w:line="263" w:lineRule="auto"/>
        <w:tabs>
          <w:tab w:leader="none" w:pos="23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340" w:right="460" w:hanging="1129"/>
        <w:spacing w:after="0" w:line="285" w:lineRule="auto"/>
        <w:tabs>
          <w:tab w:leader="none" w:pos="233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Times New Roman" w:cs="Times New Roman" w:eastAsia="Times New Roman" w:hAnsi="Times New Roman"/>
          <w:sz w:val="17"/>
          <w:szCs w:val="17"/>
          <w:color w:val="auto"/>
        </w:rPr>
      </w:pPr>
    </w:p>
    <w:p>
      <w:pPr>
        <w:jc w:val="both"/>
        <w:ind w:left="2340" w:right="20" w:hanging="1129"/>
        <w:spacing w:after="0" w:line="263" w:lineRule="auto"/>
        <w:tabs>
          <w:tab w:leader="none" w:pos="23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340" w:right="60" w:hanging="1129"/>
        <w:spacing w:after="0" w:line="285" w:lineRule="auto"/>
        <w:tabs>
          <w:tab w:leader="none" w:pos="233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Times New Roman" w:cs="Times New Roman" w:eastAsia="Times New Roman" w:hAnsi="Times New Roman"/>
          <w:sz w:val="17"/>
          <w:szCs w:val="17"/>
          <w:color w:val="auto"/>
        </w:rPr>
      </w:pPr>
    </w:p>
    <w:p>
      <w:pPr>
        <w:ind w:left="1220" w:right="360" w:hanging="1213"/>
        <w:spacing w:after="0" w:line="263" w:lineRule="auto"/>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340" w:right="260" w:hanging="1129"/>
        <w:spacing w:after="0" w:line="263" w:lineRule="auto"/>
        <w:tabs>
          <w:tab w:leader="none" w:pos="23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340" w:right="640" w:hanging="1129"/>
        <w:spacing w:after="0" w:line="278" w:lineRule="auto"/>
        <w:tabs>
          <w:tab w:leader="none" w:pos="233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5380" w:val="left"/>
          <w:tab w:leader="none" w:pos="796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24765</wp:posOffset>
            </wp:positionV>
            <wp:extent cx="3362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3362960" cy="8255"/>
                    </a:xfrm>
                    <a:prstGeom prst="rect">
                      <a:avLst/>
                    </a:prstGeom>
                    <a:noFill/>
                  </pic:spPr>
                </pic:pic>
              </a:graphicData>
            </a:graphic>
          </wp:anchor>
        </w:drawing>
      </w:r>
    </w:p>
    <w:p>
      <w:pPr>
        <w:spacing w:after="0" w:line="30"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64"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02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jc w:val="both"/>
        <w:ind w:right="340" w:firstLine="1123"/>
        <w:spacing w:after="0" w:line="263"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September 30, 2025 as filed with the Securities and Exchange Commission on the date hereof (the “Report”), I certify, pursuant to 18 U.S.C. § 1350, as adopted pursuant to § 906 of the Sarbanes-Oxley Act of 2002, that:</w:t>
      </w:r>
    </w:p>
    <w:p>
      <w:pPr>
        <w:spacing w:after="0" w:line="175" w:lineRule="exact"/>
        <w:rPr>
          <w:sz w:val="20"/>
          <w:szCs w:val="20"/>
          <w:color w:val="auto"/>
        </w:rPr>
      </w:pPr>
    </w:p>
    <w:p>
      <w:pPr>
        <w:ind w:left="2320" w:hanging="1190"/>
        <w:spacing w:after="0"/>
        <w:tabs>
          <w:tab w:leader="none" w:pos="2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8"/>
          <w:szCs w:val="18"/>
          <w:color w:val="auto"/>
        </w:rPr>
      </w:pPr>
    </w:p>
    <w:p>
      <w:pPr>
        <w:ind w:left="2340" w:right="660" w:hanging="1210"/>
        <w:spacing w:after="0" w:line="278" w:lineRule="auto"/>
        <w:tabs>
          <w:tab w:leader="none" w:pos="2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440" w:val="left"/>
          <w:tab w:leader="none" w:pos="804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24765</wp:posOffset>
            </wp:positionV>
            <wp:extent cx="33883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30"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6"/>
          <w:szCs w:val="16"/>
          <w:b w:val="1"/>
          <w:bCs w:val="1"/>
          <w:color w:val="auto"/>
        </w:rPr>
        <w:t>David Hart</w:t>
      </w:r>
    </w:p>
    <w:p>
      <w:pPr>
        <w:spacing w:after="0" w:line="64"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2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2" w:lineRule="exact"/>
        <w:rPr>
          <w:sz w:val="20"/>
          <w:szCs w:val="20"/>
          <w:color w:val="auto"/>
        </w:rPr>
      </w:pPr>
    </w:p>
    <w:p>
      <w:pPr>
        <w:jc w:val="both"/>
        <w:ind w:right="340" w:firstLine="1123"/>
        <w:spacing w:after="0" w:line="263" w:lineRule="auto"/>
        <w:rPr>
          <w:sz w:val="20"/>
          <w:szCs w:val="20"/>
          <w:color w:val="auto"/>
        </w:rPr>
      </w:pPr>
      <w:r>
        <w:rPr>
          <w:rFonts w:ascii="Times New Roman" w:cs="Times New Roman" w:eastAsia="Times New Roman" w:hAnsi="Times New Roman"/>
          <w:sz w:val="18"/>
          <w:szCs w:val="18"/>
          <w:color w:val="auto"/>
        </w:rPr>
        <w:t>In connection with the Quarterly Report of The Cannabist Company Holdings Inc. (the “Company”) on Form 10-Q for the period ending September 30, 2025 as filed with the Securities and Exchange Commission on the date hereof (the “Report”), I certify, pursuant to 18 U.S.C. § 1350, as adopted pursuant to § 906 of the Sarbanes-Oxley Act of 2002, that:</w:t>
      </w:r>
    </w:p>
    <w:p>
      <w:pPr>
        <w:spacing w:after="0" w:line="175" w:lineRule="exact"/>
        <w:rPr>
          <w:sz w:val="20"/>
          <w:szCs w:val="20"/>
          <w:color w:val="auto"/>
        </w:rPr>
      </w:pPr>
    </w:p>
    <w:p>
      <w:pPr>
        <w:ind w:left="2320" w:hanging="1190"/>
        <w:spacing w:after="0"/>
        <w:tabs>
          <w:tab w:leader="none" w:pos="2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8"/>
          <w:szCs w:val="18"/>
          <w:color w:val="auto"/>
        </w:rPr>
      </w:pPr>
    </w:p>
    <w:p>
      <w:pPr>
        <w:ind w:left="2340" w:right="660" w:hanging="1210"/>
        <w:spacing w:after="0" w:line="278" w:lineRule="auto"/>
        <w:tabs>
          <w:tab w:leader="none" w:pos="2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440" w:val="left"/>
          <w:tab w:leader="none" w:pos="794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24765</wp:posOffset>
            </wp:positionV>
            <wp:extent cx="3388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30"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6"/>
          <w:szCs w:val="16"/>
          <w:b w:val="1"/>
          <w:bCs w:val="1"/>
          <w:color w:val="auto"/>
        </w:rPr>
        <w:t>Derek Watson</w:t>
      </w:r>
    </w:p>
    <w:p>
      <w:pPr>
        <w:spacing w:after="0" w:line="6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0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0"/>
    </w:lvl>
  </w:abstractNum>
  <w:abstractNum w:abstractNumId="10">
    <w:nsid w:val="25E45D32"/>
    <w:multiLevelType w:val="hybridMultilevel"/>
    <w:lvl w:ilvl="0">
      <w:lvlJc w:val="left"/>
      <w:lvlText w:val="%1."/>
      <w:numFmt w:val="decimal"/>
      <w:start w:val="11"/>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1."/>
      <w:numFmt w:val="decimal"/>
      <w:start w:val="14"/>
    </w:lvl>
  </w:abstractNum>
  <w:abstractNum w:abstractNumId="13">
    <w:nsid w:val="3F2DBA31"/>
    <w:multiLevelType w:val="hybridMultilevel"/>
    <w:lvl w:ilvl="0">
      <w:lvlJc w:val="left"/>
      <w:lvlText w:val="%1."/>
      <w:numFmt w:val="decimal"/>
      <w:start w:val="15"/>
    </w:lvl>
  </w:abstractNum>
  <w:abstractNum w:abstractNumId="14">
    <w:nsid w:val="7C83E458"/>
    <w:multiLevelType w:val="hybridMultilevel"/>
    <w:lvl w:ilvl="0">
      <w:lvlJc w:val="left"/>
      <w:lvlText w:val="%1."/>
      <w:numFmt w:val="decimal"/>
      <w:start w:val="18"/>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73" Type="http://schemas.openxmlformats.org/officeDocument/2006/relationships/hyperlink" Target="https://www.sec.gov/Archives/edgar/data/1776738/000119312522088069/d292116dex21.htm" TargetMode="External"/><Relationship Id="rId74" Type="http://schemas.openxmlformats.org/officeDocument/2006/relationships/hyperlink" Target="https://www.sec.gov/Archives/edgar/data/1776738/000119312523054004/d469358dex21.htm" TargetMode="External"/><Relationship Id="rId75" Type="http://schemas.openxmlformats.org/officeDocument/2006/relationships/hyperlink" Target="https://www.sec.gov/Archives/edgar/data/1776738/000119312521356939/d252333dex31.htm" TargetMode="External"/><Relationship Id="rId76" Type="http://schemas.openxmlformats.org/officeDocument/2006/relationships/hyperlink" Target="https://www.sec.gov/Archives/edgar/data/1776738/000119312523239776/d471022dex32.htm" TargetMode="External"/><Relationship Id="rId77" Type="http://schemas.openxmlformats.org/officeDocument/2006/relationships/hyperlink" Target="https://www.sec.gov/Archives/edgar/data/1776738/000119312521356939/d252333dex41.htm" TargetMode="External"/><Relationship Id="rId78" Type="http://schemas.openxmlformats.org/officeDocument/2006/relationships/hyperlink" Target="https://www.sec.gov/Archives/edgar/data/1776738/000119312521356939/d252333dex42.htm" TargetMode="External"/><Relationship Id="rId79" Type="http://schemas.openxmlformats.org/officeDocument/2006/relationships/hyperlink" Target="https://www.sec.gov/Archives/edgar/data/1776738/000119312521356939/d252333dex43.htm" TargetMode="External"/><Relationship Id="rId80" Type="http://schemas.openxmlformats.org/officeDocument/2006/relationships/hyperlink" Target="https://www.sec.gov/Archives/edgar/data/1776738/000119312521356939/d252333dex44.htm" TargetMode="External"/><Relationship Id="rId81" Type="http://schemas.openxmlformats.org/officeDocument/2006/relationships/hyperlink" Target="https://www.sec.gov/Archives/edgar/data/1776738/000119312521356939/d252333dex46.htm" TargetMode="External"/><Relationship Id="rId82" Type="http://schemas.openxmlformats.org/officeDocument/2006/relationships/hyperlink" Target="https://www.sec.gov/Archives/edgar/data/1776738/000119312521356939/d252333dex48.htm" TargetMode="External"/><Relationship Id="rId83" Type="http://schemas.openxmlformats.org/officeDocument/2006/relationships/hyperlink" Target="https://www.sec.gov/Archives/edgar/data/1776738/000119312521356939/d252333dex49.htm" TargetMode="External"/><Relationship Id="rId84" Type="http://schemas.openxmlformats.org/officeDocument/2006/relationships/hyperlink" Target="https://www.sec.gov/Archives/edgar/data/1776738/000095017023010606/cchwf-ex4_14.htm" TargetMode="External"/><Relationship Id="rId85" Type="http://schemas.openxmlformats.org/officeDocument/2006/relationships/hyperlink" Target="https://www.sec.gov/ix?doc=/Archives/edgar/data/0001776738/000110465925056402/tm2517085d1_8k.htm" TargetMode="External"/><Relationship Id="rId86" Type="http://schemas.openxmlformats.org/officeDocument/2006/relationships/hyperlink" Target="https://www.sec.gov/ix?doc=/Archives/edgar/data/0001776738/000177673825000038/cbstf-2025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2025-11-10T13:36:49Z</dcterms:created>
  <dcterms:modified xsi:type="dcterms:W3CDTF">2025-11-10T13:36:49Z</dcterms:modified>
</cp:coreProperties>
</file>