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rPr>
      </w:pPr>
      <w:bookmarkStart w:id="0" w:name="ef20068650_posam.htm"/>
      <w:bookmarkStart w:id="1" w:name="ksef20068650_posam"/>
      <w:bookmarkEnd w:id="0"/>
      <w:bookmarkEnd w:id="1"/>
      <w:r>
        <w:rPr>
          <w:rFonts w:ascii="Times New Roman" w:hAnsi="Times New Roman"/>
          <w:b/>
          <w:color w:val="000000"/>
          <w:sz w:val="20"/>
        </w:rPr>
        <w:t>As filed with the Securities and Exchange Commission on March 25, 2026</w:t>
      </w:r>
    </w:p>
    <w:p>
      <w:pPr>
        <w:pStyle w:val="TextBody"/>
        <w:bidi w:val="0"/>
        <w:spacing w:before="0" w:after="0"/>
        <w:jc w:val="left"/>
        <w:rPr>
          <w:color w:val="000000"/>
        </w:rPr>
      </w:pPr>
      <w:r>
        <w:rPr>
          <w:color w:val="000000"/>
        </w:rPr>
        <w:t> </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333-265095</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333-275061</w:t>
      </w:r>
    </w:p>
    <w:p>
      <w:pPr>
        <w:pStyle w:val="HorizontalLine"/>
        <w:bidi w:val="0"/>
        <w:jc w:val="center"/>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Post-Effective Amendment No. 1 to</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Form S-1 Registration Statement File No.</w:t>
      </w:r>
      <w:r>
        <w:rPr>
          <w:rFonts w:ascii="Times New Roman" w:hAnsi="Times New Roman"/>
          <w:color w:val="000000"/>
          <w:sz w:val="20"/>
        </w:rPr>
        <w:t xml:space="preserve"> </w:t>
      </w:r>
      <w:r>
        <w:rPr>
          <w:rFonts w:ascii="Times New Roman" w:hAnsi="Times New Roman"/>
          <w:b/>
          <w:color w:val="000000"/>
          <w:sz w:val="20"/>
        </w:rPr>
        <w:t>333-265095</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S-1 Registration Statement File No. 333-275061</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Under</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Securities Act of 1933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THE CANNABIST COMPANY HOLDINGS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the registrant as specified in its charter)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 w:name="z83da84b7b8904a13aaec756c3cf036a4"/>
      <w:bookmarkStart w:id="3" w:name="z83da84b7b8904a13aaec756c3cf036a4"/>
      <w:bookmarkEnd w:id="3"/>
    </w:p>
    <w:tbl>
      <w:tblPr>
        <w:tblW w:w="9100" w:type="dxa"/>
        <w:jc w:val="left"/>
        <w:tblInd w:w="0" w:type="dxa"/>
        <w:tblLayout w:type="fixed"/>
        <w:tblCellMar>
          <w:top w:w="0" w:type="dxa"/>
          <w:left w:w="0" w:type="dxa"/>
          <w:bottom w:w="0" w:type="dxa"/>
          <w:right w:w="0" w:type="dxa"/>
        </w:tblCellMar>
      </w:tblPr>
      <w:tblGrid>
        <w:gridCol w:w="5600"/>
        <w:gridCol w:w="60"/>
        <w:gridCol w:w="3440"/>
      </w:tblGrid>
      <w:tr>
        <w:trPr/>
        <w:tc>
          <w:tcPr>
            <w:tcW w:w="5600" w:type="dxa"/>
            <w:tcBorders/>
            <w:vAlign w:val="center"/>
          </w:tcPr>
          <w:p>
            <w:pPr>
              <w:pStyle w:val="TableContents"/>
              <w:bidi w:val="0"/>
              <w:spacing w:before="0" w:after="0"/>
              <w:jc w:val="center"/>
              <w:rPr>
                <w:b/>
                <w:color w:val="000000"/>
              </w:rPr>
            </w:pPr>
            <w:r>
              <w:rPr>
                <w:b/>
                <w:color w:val="000000"/>
              </w:rPr>
              <w:t>British Columbia</w:t>
            </w:r>
          </w:p>
          <w:p>
            <w:pPr>
              <w:pStyle w:val="TableContents"/>
              <w:bidi w:val="0"/>
              <w:spacing w:before="0" w:after="0"/>
              <w:jc w:val="center"/>
              <w:rPr>
                <w:color w:val="000000"/>
              </w:rPr>
            </w:pPr>
            <w:r>
              <w:rPr>
                <w:color w:val="00000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center"/>
              <w:rPr>
                <w:b/>
                <w:color w:val="000000"/>
              </w:rPr>
            </w:pPr>
            <w:r>
              <w:rPr>
                <w:b/>
                <w:color w:val="000000"/>
              </w:rPr>
              <w:t>98-1488978</w:t>
            </w:r>
          </w:p>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321 Billerica Road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Chelmsford, MA 01824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(978) 910-1486</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David Sirolly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Chief Legal Officer &amp; General Counsel</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Cannabist Company Holdings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321 Billerica Road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Chelmsford, MA 01824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(978) 910-1486</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and address agent for service)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Copies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Weil, Gotshal &amp; Manges LLP</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767 5th Ave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New York, NY 10153</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(212) 310-8000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w:t>
      </w:r>
      <w:r>
        <w:rPr>
          <w:rFonts w:ascii="Times New Roman" w:hAnsi="Times New Roman"/>
          <w:color w:val="000000"/>
          <w:sz w:val="24"/>
        </w:rPr>
        <w:t> “</w:t>
      </w:r>
      <w:r>
        <w:rPr>
          <w:rFonts w:ascii="Times New Roman" w:hAnsi="Times New Roman"/>
          <w:color w:val="000000"/>
          <w:sz w:val="20"/>
        </w:rPr>
        <w:t>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4" w:name="za5b97c886ed14013b9151bcfeac1401c"/>
      <w:bookmarkStart w:id="5" w:name="za5b97c886ed14013b9151bcfeac1401c"/>
      <w:bookmarkEnd w:id="5"/>
    </w:p>
    <w:tbl>
      <w:tblPr>
        <w:tblW w:w="5195" w:type="dxa"/>
        <w:jc w:val="left"/>
        <w:tblInd w:w="0" w:type="dxa"/>
        <w:tblLayout w:type="fixed"/>
        <w:tblCellMar>
          <w:top w:w="0" w:type="dxa"/>
          <w:left w:w="0" w:type="dxa"/>
          <w:bottom w:w="0" w:type="dxa"/>
          <w:right w:w="0" w:type="dxa"/>
        </w:tblCellMar>
      </w:tblPr>
      <w:tblGrid>
        <w:gridCol w:w="2120"/>
        <w:gridCol w:w="230"/>
        <w:gridCol w:w="2615"/>
        <w:gridCol w:w="230"/>
      </w:tblGrid>
      <w:tr>
        <w:trPr/>
        <w:tc>
          <w:tcPr>
            <w:tcW w:w="2120" w:type="dxa"/>
            <w:tcBorders/>
            <w:vAlign w:val="center"/>
          </w:tcPr>
          <w:p>
            <w:pPr>
              <w:pStyle w:val="TableContents"/>
              <w:bidi w:val="0"/>
              <w:spacing w:before="0" w:after="0"/>
              <w:jc w:val="left"/>
              <w:rPr>
                <w:color w:val="000000"/>
              </w:rPr>
            </w:pPr>
            <w:r>
              <w:rPr>
                <w:color w:val="000000"/>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jc w:val="left"/>
              <w:rPr>
                <w:color w:val="000000"/>
              </w:rPr>
            </w:pPr>
            <w:r>
              <w:rPr>
                <w:color w:val="000000"/>
              </w:rPr>
              <w:t>Accelerated filer</w:t>
            </w:r>
          </w:p>
        </w:tc>
        <w:tc>
          <w:tcPr>
            <w:tcW w:w="230" w:type="dxa"/>
            <w:tcBorders/>
            <w:vAlign w:val="center"/>
          </w:tcPr>
          <w:p>
            <w:pPr>
              <w:pStyle w:val="TableContents"/>
              <w:bidi w:val="0"/>
              <w:spacing w:before="0" w:after="283"/>
              <w:jc w:val="left"/>
              <w:rPr/>
            </w:pPr>
            <w:r>
              <w:rPr/>
              <w:t>☐</w:t>
            </w:r>
          </w:p>
        </w:tc>
      </w:tr>
      <w:tr>
        <w:trPr/>
        <w:tc>
          <w:tcPr>
            <w:tcW w:w="2120" w:type="dxa"/>
            <w:tcBorders/>
            <w:vAlign w:val="center"/>
          </w:tcPr>
          <w:p>
            <w:pPr>
              <w:pStyle w:val="TableContents"/>
              <w:bidi w:val="0"/>
              <w:spacing w:before="0" w:after="0"/>
              <w:jc w:val="left"/>
              <w:rPr>
                <w:color w:val="000000"/>
              </w:rPr>
            </w:pPr>
            <w:r>
              <w:rPr>
                <w:color w:val="000000"/>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jc w:val="left"/>
              <w:rPr>
                <w:color w:val="000000"/>
              </w:rPr>
            </w:pPr>
            <w:r>
              <w:rPr>
                <w:color w:val="000000"/>
              </w:rPr>
              <w:t>Smaller reporting company</w:t>
            </w:r>
          </w:p>
        </w:tc>
        <w:tc>
          <w:tcPr>
            <w:tcW w:w="230" w:type="dxa"/>
            <w:tcBorders/>
            <w:vAlign w:val="center"/>
          </w:tcPr>
          <w:p>
            <w:pPr>
              <w:pStyle w:val="TableContents"/>
              <w:bidi w:val="0"/>
              <w:spacing w:before="0" w:after="283"/>
              <w:jc w:val="left"/>
              <w:rPr/>
            </w:pPr>
            <w:r>
              <w:rPr/>
              <w:t>☐</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color w:val="000000"/>
              </w:rPr>
            </w:pPr>
            <w:r>
              <w:rPr>
                <w:color w:val="000000"/>
              </w:rPr>
              <w:t>Emerging growth company</w:t>
            </w:r>
          </w:p>
        </w:tc>
        <w:tc>
          <w:tcPr>
            <w:tcW w:w="230" w:type="dxa"/>
            <w:tcBorders/>
            <w:vAlign w:val="center"/>
          </w:tcPr>
          <w:p>
            <w:pPr>
              <w:pStyle w:val="TableContents"/>
              <w:bidi w:val="0"/>
              <w:spacing w:before="0" w:after="283"/>
              <w:jc w:val="lef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DEREGISTRATION OF UNSOLD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6" w:name="z_Hlk222752675"/>
      <w:bookmarkEnd w:id="6"/>
      <w:r>
        <w:rPr>
          <w:rFonts w:ascii="Times New Roman" w:hAnsi="Times New Roman"/>
          <w:color w:val="000000"/>
          <w:sz w:val="20"/>
        </w:rPr>
        <w:t>These Post-Effective Amendments (the “Post-Effective Amendments”), filed by The Cannabist Company Holdings Inc., a British Columbia, Canada corporation (the “Registrant”), relate to the following Registration Statements on Form S-1 and any amendments previously filed by the Registrant (the “Registration Statements”) with the Securities and Exchange Commission (the “SEC”):</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 w:name="z95b818e37f2442638639c866f2356660"/>
      <w:bookmarkStart w:id="8" w:name="z95b818e37f2442638639c866f2356660"/>
      <w:bookmarkEnd w:id="8"/>
    </w:p>
    <w:tbl>
      <w:tblPr>
        <w:tblW w:w="10205" w:type="dxa"/>
        <w:jc w:val="left"/>
        <w:tblInd w:w="0" w:type="dxa"/>
        <w:tblLayout w:type="fixed"/>
        <w:tblCellMar>
          <w:top w:w="0" w:type="dxa"/>
          <w:left w:w="0" w:type="dxa"/>
          <w:bottom w:w="28" w:type="dxa"/>
          <w:right w:w="0" w:type="dxa"/>
        </w:tblCellMar>
      </w:tblPr>
      <w:tblGrid>
        <w:gridCol w:w="1265"/>
        <w:gridCol w:w="1343"/>
        <w:gridCol w:w="7597"/>
      </w:tblGrid>
      <w:tr>
        <w:trPr/>
        <w:tc>
          <w:tcPr>
            <w:tcW w:w="1265" w:type="dxa"/>
            <w:tcBorders>
              <w:bottom w:val="single" w:sz="12" w:space="0" w:color="000000"/>
            </w:tcBorders>
            <w:vAlign w:val="center"/>
          </w:tcPr>
          <w:p>
            <w:pPr>
              <w:pStyle w:val="TableContents"/>
              <w:bidi w:val="0"/>
              <w:spacing w:before="0" w:after="0"/>
              <w:jc w:val="left"/>
              <w:rPr>
                <w:b/>
                <w:color w:val="000000"/>
                <w:u w:val="single"/>
              </w:rPr>
            </w:pPr>
            <w:r>
              <w:rPr>
                <w:b/>
                <w:color w:val="000000"/>
                <w:u w:val="single"/>
              </w:rPr>
              <w:t>Registration</w:t>
            </w:r>
          </w:p>
          <w:p>
            <w:pPr>
              <w:pStyle w:val="TableContents"/>
              <w:bidi w:val="0"/>
              <w:spacing w:before="0" w:after="0"/>
              <w:jc w:val="left"/>
              <w:rPr>
                <w:b/>
                <w:color w:val="000000"/>
                <w:u w:val="single"/>
              </w:rPr>
            </w:pPr>
            <w:r>
              <w:rPr>
                <w:b/>
                <w:color w:val="000000"/>
                <w:u w:val="single"/>
              </w:rPr>
              <w:t>No.</w:t>
            </w:r>
          </w:p>
        </w:tc>
        <w:tc>
          <w:tcPr>
            <w:tcW w:w="1343" w:type="dxa"/>
            <w:tcBorders>
              <w:bottom w:val="single" w:sz="12" w:space="0" w:color="000000"/>
            </w:tcBorders>
            <w:vAlign w:val="center"/>
          </w:tcPr>
          <w:p>
            <w:pPr>
              <w:pStyle w:val="TableContents"/>
              <w:bidi w:val="0"/>
              <w:spacing w:before="0" w:after="0"/>
              <w:jc w:val="left"/>
              <w:rPr>
                <w:b/>
                <w:color w:val="000000"/>
                <w:u w:val="single"/>
              </w:rPr>
            </w:pPr>
            <w:r>
              <w:rPr>
                <w:b/>
                <w:color w:val="000000"/>
                <w:u w:val="single"/>
              </w:rPr>
              <w:t>Date Originally Filed</w:t>
            </w:r>
          </w:p>
          <w:p>
            <w:pPr>
              <w:pStyle w:val="TableContents"/>
              <w:bidi w:val="0"/>
              <w:spacing w:before="0" w:after="0"/>
              <w:jc w:val="left"/>
              <w:rPr>
                <w:b/>
                <w:color w:val="000000"/>
                <w:u w:val="single"/>
              </w:rPr>
            </w:pPr>
            <w:r>
              <w:rPr>
                <w:b/>
                <w:color w:val="000000"/>
                <w:u w:val="single"/>
              </w:rPr>
              <w:t>With the SEC</w:t>
            </w:r>
          </w:p>
        </w:tc>
        <w:tc>
          <w:tcPr>
            <w:tcW w:w="7597" w:type="dxa"/>
            <w:tcBorders>
              <w:bottom w:val="single" w:sz="12" w:space="0" w:color="000000"/>
            </w:tcBorders>
            <w:vAlign w:val="center"/>
          </w:tcPr>
          <w:p>
            <w:pPr>
              <w:pStyle w:val="TableContents"/>
              <w:bidi w:val="0"/>
              <w:spacing w:before="0" w:after="0"/>
              <w:jc w:val="left"/>
              <w:rPr>
                <w:b/>
                <w:color w:val="000000"/>
                <w:u w:val="single"/>
              </w:rPr>
            </w:pPr>
            <w:r>
              <w:rPr>
                <w:b/>
                <w:color w:val="000000"/>
                <w:u w:val="single"/>
              </w:rPr>
              <w:t>Number of Common Shares Registered</w:t>
            </w:r>
          </w:p>
        </w:tc>
      </w:tr>
      <w:tr>
        <w:trPr/>
        <w:tc>
          <w:tcPr>
            <w:tcW w:w="1265" w:type="dxa"/>
            <w:tcBorders>
              <w:bottom w:val="single" w:sz="12" w:space="0" w:color="000000"/>
            </w:tcBorders>
            <w:vAlign w:val="center"/>
          </w:tcPr>
          <w:p>
            <w:pPr>
              <w:pStyle w:val="TableContents"/>
              <w:bidi w:val="0"/>
              <w:spacing w:before="0" w:after="0"/>
              <w:jc w:val="left"/>
              <w:rPr>
                <w:color w:val="000000"/>
              </w:rPr>
            </w:pPr>
            <w:r>
              <w:rPr>
                <w:color w:val="000000"/>
              </w:rPr>
              <w:t>333-265095</w:t>
            </w:r>
          </w:p>
        </w:tc>
        <w:tc>
          <w:tcPr>
            <w:tcW w:w="1343" w:type="dxa"/>
            <w:tcBorders>
              <w:bottom w:val="single" w:sz="12" w:space="0" w:color="000000"/>
            </w:tcBorders>
            <w:vAlign w:val="center"/>
          </w:tcPr>
          <w:p>
            <w:pPr>
              <w:pStyle w:val="TableContents"/>
              <w:bidi w:val="0"/>
              <w:spacing w:before="0" w:after="0"/>
              <w:jc w:val="left"/>
              <w:rPr>
                <w:color w:val="000000"/>
              </w:rPr>
            </w:pPr>
            <w:r>
              <w:rPr>
                <w:color w:val="000000"/>
              </w:rPr>
              <w:t>May 20, 2022</w:t>
            </w:r>
          </w:p>
        </w:tc>
        <w:tc>
          <w:tcPr>
            <w:tcW w:w="7597" w:type="dxa"/>
            <w:tcBorders>
              <w:bottom w:val="single" w:sz="12" w:space="0" w:color="000000"/>
            </w:tcBorders>
            <w:vAlign w:val="center"/>
          </w:tcPr>
          <w:p>
            <w:pPr>
              <w:pStyle w:val="TableContents"/>
              <w:bidi w:val="0"/>
              <w:spacing w:before="0" w:after="0"/>
              <w:jc w:val="left"/>
              <w:rPr>
                <w:color w:val="000000"/>
              </w:rPr>
            </w:pPr>
            <w:r>
              <w:rPr>
                <w:color w:val="000000"/>
              </w:rPr>
              <w:t>18,755,082 common shares offered and sold from time to time by selling securityholders</w:t>
            </w:r>
          </w:p>
        </w:tc>
      </w:tr>
      <w:tr>
        <w:trPr/>
        <w:tc>
          <w:tcPr>
            <w:tcW w:w="1265" w:type="dxa"/>
            <w:tcBorders>
              <w:bottom w:val="single" w:sz="12" w:space="0" w:color="000000"/>
            </w:tcBorders>
            <w:vAlign w:val="center"/>
          </w:tcPr>
          <w:p>
            <w:pPr>
              <w:pStyle w:val="TableContents"/>
              <w:bidi w:val="0"/>
              <w:spacing w:before="0" w:after="0"/>
              <w:jc w:val="left"/>
              <w:rPr>
                <w:color w:val="000000"/>
              </w:rPr>
            </w:pPr>
            <w:r>
              <w:rPr>
                <w:color w:val="000000"/>
              </w:rPr>
              <w:t>333-275061</w:t>
            </w:r>
          </w:p>
        </w:tc>
        <w:tc>
          <w:tcPr>
            <w:tcW w:w="1343" w:type="dxa"/>
            <w:tcBorders>
              <w:bottom w:val="single" w:sz="12" w:space="0" w:color="000000"/>
            </w:tcBorders>
            <w:vAlign w:val="center"/>
          </w:tcPr>
          <w:p>
            <w:pPr>
              <w:pStyle w:val="TableContents"/>
              <w:bidi w:val="0"/>
              <w:spacing w:before="0" w:after="0"/>
              <w:jc w:val="left"/>
              <w:rPr>
                <w:color w:val="000000"/>
              </w:rPr>
            </w:pPr>
            <w:r>
              <w:rPr>
                <w:color w:val="000000"/>
              </w:rPr>
              <w:t>October 17, 2023</w:t>
            </w:r>
          </w:p>
        </w:tc>
        <w:tc>
          <w:tcPr>
            <w:tcW w:w="7597" w:type="dxa"/>
            <w:tcBorders>
              <w:bottom w:val="single" w:sz="12" w:space="0" w:color="000000"/>
            </w:tcBorders>
            <w:vAlign w:val="center"/>
          </w:tcPr>
          <w:p>
            <w:pPr>
              <w:pStyle w:val="TableContents"/>
              <w:bidi w:val="0"/>
              <w:spacing w:before="0" w:after="0"/>
              <w:jc w:val="left"/>
              <w:rPr>
                <w:color w:val="000000"/>
              </w:rPr>
            </w:pPr>
            <w:r>
              <w:rPr>
                <w:color w:val="000000"/>
              </w:rPr>
              <w:t>33,366,315 common shares consisting of 21,887,240 common shares, 11,122,105 common shares issuable upon exercise of common share purchase warrants, and 356,970 pre-funded warrants offered and sold from time to time by selling securityholders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March 24, 2026, the Registrant and its debtor affiliate, the Cannabist Company Holdings (Canada) Inc. (together, the “Debtors”), commenced a proceeding under the jurisdiction of the Ontario Superior Court of Justice (Commercial List) pursuant to the Companies’ Creditors Arrangement Act (the “CCAA”) (the “Canadian Proceeding”). On March 25, 2026, the Debtors filed voluntary petitions for relief under chapter 15 of title 11 of the United States Code (such cases, the “Chapter 15 Cases”) in the United States Bankruptcy Court for the District of Delaware. In connection with the Canadian Proceeding and the filing of the Chapter 15 Cases, the Registrant is terminating all offerings of its securities pursuant to the existing registration statements under the Securities Act of 1933, including the Registration Statements.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undertaking made by the Registrant in the Registration Statements to remove from registration by means of a post-effective amendment any of the securities that had been registered for issuance that remain unsold at the termination of the offering, the Registrant is filing these Post-Effective Amendments to terminate the effectiveness of the Registration Statements and to deregister, as of the effectiveness of these Post-Effective Amendments, any and all common shares of the Registrant registered thereunder that remain unsold as of the effectiveness date. As a result of this deregistration and upon the effectiveness of these Post-Effective Amendments, no securities will remain registered pursuant to the Registration Statements.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color w:val="000000"/>
        </w:rPr>
      </w:pPr>
      <w:r>
        <w:rPr>
          <w:color w:val="000000"/>
        </w:rPr>
        <w:t> </w:t>
      </w:r>
    </w:p>
    <w:p>
      <w:pPr>
        <w:pStyle w:val="TextBody"/>
        <w:bidi w:val="0"/>
        <w:spacing w:before="0" w:after="0"/>
        <w:ind w:left="0" w:right="0" w:firstLine="490"/>
        <w:jc w:val="both"/>
        <w:rPr>
          <w:rFonts w:ascii="Times New Roman" w:hAnsi="Times New Roman"/>
          <w:color w:val="000000"/>
          <w:sz w:val="20"/>
        </w:rPr>
      </w:pPr>
      <w:r>
        <w:rPr>
          <w:rFonts w:ascii="Times New Roman" w:hAnsi="Times New Roman"/>
          <w:color w:val="000000"/>
          <w:sz w:val="20"/>
        </w:rPr>
        <w:t xml:space="preserve">Pursuant to the requirements of the Securities Act of 1933, the Registrant certifies that it has reasonable grounds to believe that it meets all of the requirements for filing on Form S-1 and has duly caused these Post-Effective Amendments to the Registration Statements to be signed on its behalf by the undersigned, thereunto duly authorized in the City of Chelmsford, State of Massachusetts, on </w:t>
      </w:r>
      <w:bookmarkStart w:id="9" w:name="z_Hlk222752565"/>
      <w:bookmarkEnd w:id="9"/>
      <w:r>
        <w:rPr>
          <w:rFonts w:ascii="Times New Roman" w:hAnsi="Times New Roman"/>
          <w:color w:val="000000"/>
          <w:sz w:val="20"/>
        </w:rPr>
        <w:t>March 25, 2026.</w:t>
      </w:r>
    </w:p>
    <w:p>
      <w:pPr>
        <w:pStyle w:val="TextBody"/>
        <w:bidi w:val="0"/>
        <w:spacing w:before="0" w:after="0"/>
        <w:jc w:val="left"/>
        <w:rPr>
          <w:color w:val="000000"/>
        </w:rPr>
      </w:pPr>
      <w:r>
        <w:rPr>
          <w:color w:val="000000"/>
        </w:rPr>
        <w:t> </w:t>
      </w:r>
    </w:p>
    <w:tbl>
      <w:tblPr>
        <w:tblW w:w="5360" w:type="dxa"/>
        <w:jc w:val="left"/>
        <w:tblInd w:w="0" w:type="dxa"/>
        <w:tblLayout w:type="fixed"/>
        <w:tblCellMar>
          <w:top w:w="0" w:type="dxa"/>
          <w:left w:w="0" w:type="dxa"/>
          <w:bottom w:w="0" w:type="dxa"/>
          <w:right w:w="0" w:type="dxa"/>
        </w:tblCellMar>
      </w:tblPr>
      <w:tblGrid>
        <w:gridCol w:w="60"/>
        <w:gridCol w:w="5300"/>
      </w:tblGrid>
      <w:tr>
        <w:trPr/>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b/>
                <w:color w:val="000000"/>
              </w:rPr>
            </w:pPr>
            <w:r>
              <w:rPr>
                <w:b/>
                <w:color w:val="000000"/>
              </w:rPr>
              <w:t>THE CANNABIST COMPANY HOLDINGS INC.</w:t>
            </w:r>
          </w:p>
        </w:tc>
      </w:tr>
      <w:tr>
        <w:trPr/>
        <w:tc>
          <w:tcPr>
            <w:tcW w:w="60" w:type="dxa"/>
            <w:tcBorders/>
            <w:vAlign w:val="center"/>
          </w:tcPr>
          <w:p>
            <w:pPr>
              <w:pStyle w:val="TableContents"/>
              <w:bidi w:val="0"/>
              <w:spacing w:before="0" w:after="283"/>
              <w:jc w:val="left"/>
              <w:rPr/>
            </w:pPr>
            <w:r>
              <w:rPr/>
              <w:t> </w:t>
            </w:r>
          </w:p>
        </w:tc>
        <w:tc>
          <w:tcPr>
            <w:tcW w:w="530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By: /s/ David Sirolly</w:t>
            </w:r>
          </w:p>
        </w:tc>
      </w:tr>
      <w:tr>
        <w:trPr/>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color w:val="000000"/>
              </w:rPr>
            </w:pPr>
            <w:r>
              <w:rPr>
                <w:color w:val="000000"/>
              </w:rPr>
              <w:t>Name: David Sirolly</w:t>
            </w:r>
          </w:p>
          <w:p>
            <w:pPr>
              <w:pStyle w:val="TableContents"/>
              <w:bidi w:val="0"/>
              <w:spacing w:before="0" w:after="0"/>
              <w:jc w:val="left"/>
              <w:rPr>
                <w:color w:val="000000"/>
              </w:rPr>
            </w:pPr>
            <w:r>
              <w:rPr>
                <w:color w:val="000000"/>
              </w:rPr>
              <w:t>Title: Chief Legal Officer &amp; General Counsel</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Note: No other person is required to sign these Post-Effective Amendments in reliance upon Rule 478 under the Securities Act of 1933.</w:t>
      </w:r>
    </w:p>
    <w:p>
      <w:pPr>
        <w:pStyle w:val="TextBody"/>
        <w:bidi w:val="0"/>
        <w:spacing w:before="0" w:after="0"/>
        <w:jc w:val="both"/>
        <w:rPr>
          <w:color w:val="000000"/>
        </w:rPr>
      </w:pPr>
      <w:r>
        <w:rPr>
          <w:color w:val="000000"/>
        </w:rPr>
      </w:r>
    </w:p>
    <w:p>
      <w:pPr>
        <w:pStyle w:val="TextBody"/>
        <w:bidi w:val="0"/>
        <w:spacing w:before="0" w:after="0"/>
        <w:jc w:val="both"/>
        <w:rPr>
          <w:color w:val="000000"/>
        </w:rPr>
      </w:pPr>
      <w:r>
        <w:rPr>
          <w:color w:val="000000"/>
        </w:rPr>
      </w:r>
    </w:p>
    <w:p>
      <w:pPr>
        <w:pStyle w:val="HorizontalLine"/>
        <w:pBdr>
          <w:bottom w:val="single" w:sz="12" w:space="0" w:color="808080"/>
        </w:pBdr>
        <w:bidi w:val="0"/>
        <w:spacing w:before="0" w:after="283"/>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718</Words>
  <Characters>4184</Characters>
  <CharactersWithSpaces>4851</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