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0377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0377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3880" w:right="1640" w:hanging="3854"/>
        <w:spacing w:after="0" w:line="375" w:lineRule="auto"/>
        <w:tabs>
          <w:tab w:leader="none" w:pos="453"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For the transition period from __to __</w:t>
      </w:r>
    </w:p>
    <w:p>
      <w:pPr>
        <w:spacing w:after="0" w:line="11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000-56294</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2628265</wp:posOffset>
            </wp:positionH>
            <wp:positionV relativeFrom="paragraph">
              <wp:posOffset>211455</wp:posOffset>
            </wp:positionV>
            <wp:extent cx="188595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595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49" w:lineRule="exact"/>
        <w:rPr>
          <w:sz w:val="24"/>
          <w:szCs w:val="24"/>
          <w:color w:val="auto"/>
        </w:rPr>
      </w:pPr>
    </w:p>
    <w:p>
      <w:pPr>
        <w:ind w:left="1500"/>
        <w:spacing w:after="0"/>
        <w:tabs>
          <w:tab w:leader="none" w:pos="8440" w:val="left"/>
        </w:tabs>
        <w:rPr>
          <w:sz w:val="20"/>
          <w:szCs w:val="20"/>
          <w:color w:val="auto"/>
        </w:rPr>
      </w:pPr>
      <w:r>
        <w:rPr>
          <w:rFonts w:ascii="Times New Roman" w:cs="Times New Roman" w:eastAsia="Times New Roman" w:hAnsi="Times New Roman"/>
          <w:sz w:val="18"/>
          <w:szCs w:val="18"/>
          <w:b w:val="1"/>
          <w:bCs w:val="1"/>
          <w:color w:val="auto"/>
        </w:rPr>
        <w:t>British Columbia</w:t>
      </w:r>
      <w:r>
        <w:rPr>
          <w:sz w:val="20"/>
          <w:szCs w:val="20"/>
          <w:color w:val="auto"/>
        </w:rPr>
        <w:tab/>
      </w:r>
      <w:r>
        <w:rPr>
          <w:rFonts w:ascii="Times New Roman" w:cs="Times New Roman" w:eastAsia="Times New Roman" w:hAnsi="Times New Roman"/>
          <w:sz w:val="18"/>
          <w:szCs w:val="18"/>
          <w:b w:val="1"/>
          <w:bCs w:val="1"/>
          <w:color w:val="auto"/>
        </w:rPr>
        <w:t>98-1488978</w:t>
      </w:r>
    </w:p>
    <w:p>
      <w:pPr>
        <w:sectPr>
          <w:pgSz w:w="11900" w:h="16838" w:orient="portrait"/>
          <w:cols w:equalWidth="0" w:num="1">
            <w:col w:w="11240"/>
          </w:cols>
          <w:pgMar w:left="320" w:top="229" w:right="339" w:bottom="906" w:gutter="0" w:footer="0" w:header="0"/>
        </w:sectPr>
      </w:pPr>
    </w:p>
    <w:p>
      <w:pPr>
        <w:spacing w:after="0" w:line="50"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334"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321 Billerica Rd., Suite 204</w:t>
      </w:r>
    </w:p>
    <w:p>
      <w:pPr>
        <w:spacing w:after="0" w:line="3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Chelmsford, Massachusetts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32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01824</w:t>
      </w:r>
    </w:p>
    <w:p>
      <w:pPr>
        <w:spacing w:after="0" w:line="265" w:lineRule="exact"/>
        <w:rPr>
          <w:sz w:val="24"/>
          <w:szCs w:val="24"/>
          <w:color w:val="auto"/>
        </w:rPr>
      </w:pPr>
    </w:p>
    <w:p>
      <w:pPr>
        <w:sectPr>
          <w:pgSz w:w="11900" w:h="16838" w:orient="portrait"/>
          <w:cols w:equalWidth="0" w:num="2">
            <w:col w:w="7480" w:space="720"/>
            <w:col w:w="3040"/>
          </w:cols>
          <w:pgMar w:left="320" w:top="229" w:right="339" w:bottom="906"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6740" w:type="dxa"/>
            <w:vAlign w:val="bottom"/>
            <w:gridSpan w:val="5"/>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50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73"/>
        </w:trPr>
        <w:tc>
          <w:tcPr>
            <w:tcW w:w="2940" w:type="dxa"/>
            <w:vAlign w:val="bottom"/>
          </w:tcPr>
          <w:p>
            <w:pPr>
              <w:spacing w:after="0"/>
              <w:rPr>
                <w:sz w:val="24"/>
                <w:szCs w:val="24"/>
                <w:color w:val="auto"/>
              </w:rPr>
            </w:pPr>
          </w:p>
        </w:tc>
        <w:tc>
          <w:tcPr>
            <w:tcW w:w="83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910-1486</w:t>
            </w:r>
          </w:p>
        </w:tc>
      </w:tr>
      <w:tr>
        <w:trPr>
          <w:trHeight w:val="234"/>
        </w:trPr>
        <w:tc>
          <w:tcPr>
            <w:tcW w:w="2940" w:type="dxa"/>
            <w:vAlign w:val="bottom"/>
          </w:tcPr>
          <w:p>
            <w:pPr>
              <w:spacing w:after="0"/>
              <w:rPr>
                <w:sz w:val="20"/>
                <w:szCs w:val="20"/>
                <w:color w:val="auto"/>
              </w:rPr>
            </w:pPr>
          </w:p>
        </w:tc>
        <w:tc>
          <w:tcPr>
            <w:tcW w:w="83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tc>
      </w:tr>
      <w:tr>
        <w:trPr>
          <w:trHeight w:val="324"/>
        </w:trPr>
        <w:tc>
          <w:tcPr>
            <w:tcW w:w="6740" w:type="dxa"/>
            <w:vAlign w:val="bottom"/>
            <w:gridSpan w:val="5"/>
          </w:tcPr>
          <w:p>
            <w:pPr>
              <w:ind w:left="13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tc>
        <w:tc>
          <w:tcPr>
            <w:tcW w:w="4500" w:type="dxa"/>
            <w:vAlign w:val="bottom"/>
          </w:tcPr>
          <w:p>
            <w:pPr>
              <w:spacing w:after="0"/>
              <w:rPr>
                <w:sz w:val="24"/>
                <w:szCs w:val="24"/>
                <w:color w:val="auto"/>
              </w:rPr>
            </w:pPr>
          </w:p>
        </w:tc>
      </w:tr>
      <w:tr>
        <w:trPr>
          <w:trHeight w:val="342"/>
        </w:trPr>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00" w:type="dxa"/>
            <w:vAlign w:val="bottom"/>
          </w:tcPr>
          <w:p>
            <w:pPr>
              <w:spacing w:after="0"/>
              <w:rPr>
                <w:sz w:val="24"/>
                <w:szCs w:val="24"/>
                <w:color w:val="auto"/>
              </w:rPr>
            </w:pPr>
          </w:p>
        </w:tc>
      </w:tr>
      <w:tr>
        <w:trPr>
          <w:trHeight w:val="259"/>
        </w:trPr>
        <w:tc>
          <w:tcPr>
            <w:tcW w:w="2940" w:type="dxa"/>
            <w:vAlign w:val="bottom"/>
            <w:tcBorders>
              <w:bottom w:val="single" w:sz="8" w:color="auto"/>
            </w:tcBorders>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3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2"/>
                <w:szCs w:val="22"/>
                <w:color w:val="auto"/>
              </w:rPr>
            </w:pPr>
          </w:p>
        </w:tc>
        <w:tc>
          <w:tcPr>
            <w:tcW w:w="4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bl>
    <w:p>
      <w:pPr>
        <w:spacing w:after="0" w:line="171" w:lineRule="exact"/>
        <w:rPr>
          <w:sz w:val="24"/>
          <w:szCs w:val="24"/>
          <w:color w:val="auto"/>
        </w:rPr>
      </w:pPr>
    </w:p>
    <w:p>
      <w:pPr>
        <w:ind w:right="3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jc w:val="right"/>
              <w:ind w:right="1890"/>
              <w:spacing w:after="0"/>
              <w:rPr>
                <w:sz w:val="20"/>
                <w:szCs w:val="20"/>
                <w:color w:val="auto"/>
              </w:rPr>
            </w:pPr>
            <w:r>
              <w:rPr>
                <w:rFonts w:ascii="Wingdings" w:cs="Wingdings" w:eastAsia="Wingdings" w:hAnsi="Wingdings"/>
                <w:sz w:val="18"/>
                <w:szCs w:val="18"/>
                <w:b w:val="1"/>
                <w:bCs w:val="1"/>
                <w:color w:val="auto"/>
              </w:rPr>
              <w:t>o</w:t>
            </w:r>
          </w:p>
        </w:tc>
        <w:tc>
          <w:tcPr>
            <w:tcW w:w="4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jc w:val="right"/>
              <w:spacing w:after="0"/>
              <w:rPr>
                <w:sz w:val="20"/>
                <w:szCs w:val="20"/>
                <w:color w:val="auto"/>
              </w:rPr>
            </w:pPr>
            <w:r>
              <w:rPr>
                <w:rFonts w:ascii="Wingdings" w:cs="Wingdings" w:eastAsia="Wingdings" w:hAnsi="Wingdings"/>
                <w:sz w:val="18"/>
                <w:szCs w:val="18"/>
                <w:b w:val="1"/>
                <w:bCs w:val="1"/>
                <w:color w:val="auto"/>
              </w:rPr>
              <w:t>x</w:t>
            </w:r>
          </w:p>
        </w:tc>
      </w:tr>
      <w:tr>
        <w:trPr>
          <w:trHeight w:val="36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jc w:val="right"/>
              <w:ind w:right="1890"/>
              <w:spacing w:after="0"/>
              <w:rPr>
                <w:sz w:val="20"/>
                <w:szCs w:val="20"/>
                <w:color w:val="auto"/>
              </w:rPr>
            </w:pPr>
            <w:r>
              <w:rPr>
                <w:rFonts w:ascii="Wingdings" w:cs="Wingdings" w:eastAsia="Wingdings" w:hAnsi="Wingdings"/>
                <w:sz w:val="18"/>
                <w:szCs w:val="18"/>
                <w:b w:val="1"/>
                <w:bCs w:val="1"/>
                <w:color w:val="auto"/>
              </w:rPr>
              <w:t>o</w:t>
            </w:r>
          </w:p>
        </w:tc>
        <w:tc>
          <w:tcPr>
            <w:tcW w:w="4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jc w:val="right"/>
              <w:spacing w:after="0"/>
              <w:rPr>
                <w:sz w:val="20"/>
                <w:szCs w:val="20"/>
                <w:color w:val="auto"/>
              </w:rPr>
            </w:pPr>
            <w:r>
              <w:rPr>
                <w:rFonts w:ascii="Wingdings" w:cs="Wingdings" w:eastAsia="Wingdings" w:hAnsi="Wingdings"/>
                <w:sz w:val="18"/>
                <w:szCs w:val="18"/>
                <w:b w:val="1"/>
                <w:bCs w:val="1"/>
                <w:color w:val="auto"/>
              </w:rPr>
              <w:t>o</w:t>
            </w:r>
          </w:p>
        </w:tc>
      </w:tr>
      <w:tr>
        <w:trPr>
          <w:trHeight w:val="36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40" w:type="dxa"/>
            <w:vAlign w:val="bottom"/>
          </w:tcPr>
          <w:p>
            <w:pPr>
              <w:jc w:val="right"/>
              <w:ind w:right="1890"/>
              <w:spacing w:after="0"/>
              <w:rPr>
                <w:sz w:val="20"/>
                <w:szCs w:val="20"/>
                <w:color w:val="auto"/>
              </w:rPr>
            </w:pPr>
            <w:r>
              <w:rPr>
                <w:rFonts w:ascii="Wingdings" w:cs="Wingdings" w:eastAsia="Wingdings" w:hAnsi="Wingdings"/>
                <w:sz w:val="18"/>
                <w:szCs w:val="18"/>
                <w:b w:val="1"/>
                <w:bCs w:val="1"/>
                <w:color w:val="auto"/>
              </w:rPr>
              <w:t>x</w:t>
            </w:r>
          </w:p>
        </w:tc>
        <w:tc>
          <w:tcPr>
            <w:tcW w:w="46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44" w:lineRule="exact"/>
        <w:rPr>
          <w:sz w:val="24"/>
          <w:szCs w:val="24"/>
          <w:color w:val="auto"/>
        </w:rPr>
      </w:pPr>
    </w:p>
    <w:p>
      <w:pPr>
        <w:ind w:right="700" w:firstLine="1296"/>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63" w:lineRule="exact"/>
        <w:rPr>
          <w:sz w:val="24"/>
          <w:szCs w:val="24"/>
          <w:color w:val="auto"/>
        </w:rPr>
      </w:pPr>
    </w:p>
    <w:p>
      <w:pPr>
        <w:ind w:right="200" w:firstLine="1296"/>
        <w:spacing w:after="0" w:line="281"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As of August 4, 2025, there were 491,745,341 shares of common stock, no par value per share (the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18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037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037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ectPr>
          <w:pgSz w:w="11900" w:h="16838" w:orient="portrait"/>
          <w:cols w:equalWidth="0" w:num="1">
            <w:col w:w="11240"/>
          </w:cols>
          <w:pgMar w:left="320" w:top="229" w:right="339" w:bottom="906"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60" w:type="dxa"/>
            <w:vAlign w:val="bottom"/>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7"/>
              </w:rPr>
              <w:t>FORWARD-LOOKING STATEMENTS</w:t>
            </w:r>
          </w:p>
        </w:tc>
        <w:tc>
          <w:tcPr>
            <w:tcW w:w="7260" w:type="dxa"/>
            <w:vAlign w:val="bottom"/>
            <w:gridSpan w:val="11"/>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Interim Balance Sheets</w:t>
            </w: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Interim Statements of Operations and Comprehensive Loss</w:t>
            </w:r>
          </w:p>
        </w:tc>
        <w:tc>
          <w:tcPr>
            <w:tcW w:w="2960" w:type="dxa"/>
            <w:vAlign w:val="bottom"/>
            <w:gridSpan w:val="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Interim Statements of Changes in Equity</w:t>
            </w:r>
          </w:p>
        </w:tc>
        <w:tc>
          <w:tcPr>
            <w:tcW w:w="4280" w:type="dxa"/>
            <w:vAlign w:val="bottom"/>
            <w:gridSpan w:val="4"/>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Interim Statements of Cash Flows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Interim Financial Statements</w:t>
            </w:r>
          </w:p>
        </w:tc>
        <w:tc>
          <w:tcPr>
            <w:tcW w:w="4220" w:type="dxa"/>
            <w:vAlign w:val="bottom"/>
            <w:gridSpan w:val="3"/>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00" w:type="dxa"/>
            <w:vAlign w:val="bottom"/>
            <w:gridSpan w:val="5"/>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vMerge w:val="continue"/>
          </w:tcPr>
          <w:p>
            <w:pPr>
              <w:spacing w:after="0"/>
              <w:rPr>
                <w:sz w:val="18"/>
                <w:szCs w:val="18"/>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18"/>
                <w:szCs w:val="18"/>
                <w:color w:val="auto"/>
              </w:rPr>
            </w:pPr>
          </w:p>
        </w:tc>
        <w:tc>
          <w:tcPr>
            <w:tcW w:w="7180" w:type="dxa"/>
            <w:vAlign w:val="bottom"/>
            <w:gridSpan w:val="1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720" w:type="dxa"/>
            <w:vAlign w:val="bottom"/>
            <w:gridSpan w:val="6"/>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740" w:type="dxa"/>
            <w:vAlign w:val="bottom"/>
            <w:gridSpan w:val="9"/>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18"/>
                <w:szCs w:val="18"/>
                <w:color w:val="auto"/>
              </w:rPr>
            </w:pPr>
          </w:p>
        </w:tc>
        <w:tc>
          <w:tcPr>
            <w:tcW w:w="7300" w:type="dxa"/>
            <w:vAlign w:val="bottom"/>
            <w:gridSpan w:val="1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regarding The Cannabist Company Holdings Inc. and its subsidiaries (collectively referred to as “The Cannabist Company,” “we,” “us,” “our,” or the “Company”). We make forward-looking statements related to future expectations, estimates, and projections that are uncertain and often contain words such as, but not limited to, “may”, “would”, “could”, “should”, “will”, “intend”, “plan”, “anticipate”, “believe”, “estimate”, “expect”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303" w:lineRule="exact"/>
        <w:rPr>
          <w:sz w:val="20"/>
          <w:szCs w:val="20"/>
          <w:color w:val="auto"/>
        </w:rPr>
      </w:pPr>
    </w:p>
    <w:p>
      <w:pPr>
        <w:ind w:left="900" w:right="80" w:hanging="325"/>
        <w:spacing w:after="0" w:line="258" w:lineRule="auto"/>
        <w:tabs>
          <w:tab w:leader="none" w:pos="88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Company's corporate restructuring activities, including, without limitation, the Company’s debt restructuring as contemplated by the Support Agreement (as defined below);</w:t>
      </w: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fact that marijuana remains illegal under federal law;</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of anti-money laundering laws and regulations to the Company;</w:t>
      </w:r>
    </w:p>
    <w:p>
      <w:pPr>
        <w:spacing w:after="0" w:line="1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regulatory, or political change to the cannabis industry;</w:t>
      </w:r>
    </w:p>
    <w:p>
      <w:pPr>
        <w:spacing w:after="0" w:line="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public and private capital;</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publicity or consumer perception of the cannabis industry;</w:t>
      </w:r>
    </w:p>
    <w:p>
      <w:pPr>
        <w:spacing w:after="0" w:line="1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to the adult-use markets;</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laws, regulations, and guidelines;</w:t>
      </w:r>
    </w:p>
    <w:p>
      <w:pPr>
        <w:spacing w:after="0" w:line="1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impact of Section 280E of the U.S. Internal Revenue Code of 1986, as amended (the </w:t>
      </w:r>
      <w:r>
        <w:rPr>
          <w:rFonts w:ascii="Arial" w:cs="Arial" w:eastAsia="Arial" w:hAnsi="Arial"/>
          <w:sz w:val="16"/>
          <w:szCs w:val="16"/>
          <w:color w:val="auto"/>
        </w:rPr>
        <w:t>“</w:t>
      </w:r>
      <w:r>
        <w:rPr>
          <w:rFonts w:ascii="Times New Roman" w:cs="Times New Roman" w:eastAsia="Times New Roman" w:hAnsi="Times New Roman"/>
          <w:sz w:val="16"/>
          <w:szCs w:val="16"/>
          <w:b w:val="1"/>
          <w:bCs w:val="1"/>
          <w:color w:val="auto"/>
        </w:rPr>
        <w:t>Internal Revenue Code</w:t>
      </w:r>
      <w:r>
        <w:rPr>
          <w:rFonts w:ascii="Times New Roman" w:cs="Times New Roman" w:eastAsia="Times New Roman" w:hAnsi="Times New Roman"/>
          <w:sz w:val="16"/>
          <w:szCs w:val="16"/>
          <w:color w:val="auto"/>
        </w:rPr>
        <w:t>”);</w:t>
      </w:r>
    </w:p>
    <w:p>
      <w:pPr>
        <w:spacing w:after="0" w:line="4"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state laws pertaining to the cannabis industry;</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reliance on key inputs, suppliers and skilled labor;</w:t>
      </w:r>
    </w:p>
    <w:p>
      <w:pPr>
        <w:spacing w:after="0" w:line="1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difficulty of forecasting the Company’s sales;</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constraints on marketing products;</w:t>
      </w:r>
    </w:p>
    <w:p>
      <w:pPr>
        <w:spacing w:after="0" w:line="1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cyber-attacks and security breaches;</w:t>
      </w:r>
    </w:p>
    <w:p>
      <w:pPr>
        <w:spacing w:after="0" w:line="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operating loss and other tax attribute limitations;</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changes in tax laws;</w:t>
      </w:r>
    </w:p>
    <w:p>
      <w:pPr>
        <w:spacing w:after="0" w:line="1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volatility of the market price of the Company’s common shares;</w:t>
      </w:r>
    </w:p>
    <w:p>
      <w:pPr>
        <w:spacing w:after="0" w:line="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management;</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w:t>
      </w:r>
    </w:p>
    <w:p>
      <w:pPr>
        <w:spacing w:after="0" w:line="1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results and financial projections; and</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global financial conditions.</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list of factors above is illustrative and by no means exhaustive. Additional information regarding these risks and other risks and uncertainties we face is contained in this Quarterly Report on Form 10-Q and our Annual Report on Form 10-K for the year ended December 31, 2024, as well as subsequent filings.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31"/>
        </w:trPr>
        <w:tc>
          <w:tcPr>
            <w:tcW w:w="76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7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15,456</w:t>
            </w:r>
          </w:p>
        </w:tc>
        <w:tc>
          <w:tcPr>
            <w:tcW w:w="80" w:type="dxa"/>
            <w:vAlign w:val="bottom"/>
            <w:shd w:val="clear" w:color="auto" w:fill="CCEEFF"/>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33,607</w:t>
            </w:r>
          </w:p>
        </w:tc>
        <w:tc>
          <w:tcPr>
            <w:tcW w:w="0" w:type="dxa"/>
            <w:vAlign w:val="bottom"/>
          </w:tcPr>
          <w:p>
            <w:pPr>
              <w:spacing w:after="0"/>
              <w:rPr>
                <w:sz w:val="1"/>
                <w:szCs w:val="1"/>
                <w:color w:val="auto"/>
              </w:rPr>
            </w:pPr>
          </w:p>
        </w:tc>
      </w:tr>
      <w:tr>
        <w:trPr>
          <w:trHeight w:val="240"/>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credit loss allowance of $7,113 and $6,754, respectively</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21,688</w:t>
            </w:r>
          </w:p>
        </w:tc>
        <w:tc>
          <w:tcPr>
            <w:tcW w:w="0" w:type="dxa"/>
            <w:vAlign w:val="bottom"/>
          </w:tcPr>
          <w:p>
            <w:pPr>
              <w:spacing w:after="0"/>
              <w:rPr>
                <w:sz w:val="1"/>
                <w:szCs w:val="1"/>
                <w:color w:val="auto"/>
              </w:rPr>
            </w:pPr>
          </w:p>
        </w:tc>
      </w:tr>
      <w:tr>
        <w:trPr>
          <w:trHeight w:val="24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70,905</w:t>
            </w:r>
          </w:p>
        </w:tc>
        <w:tc>
          <w:tcPr>
            <w:tcW w:w="8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94,516</w:t>
            </w:r>
          </w:p>
        </w:tc>
        <w:tc>
          <w:tcPr>
            <w:tcW w:w="0" w:type="dxa"/>
            <w:vAlign w:val="bottom"/>
          </w:tcPr>
          <w:p>
            <w:pPr>
              <w:spacing w:after="0"/>
              <w:rPr>
                <w:sz w:val="1"/>
                <w:szCs w:val="1"/>
                <w:color w:val="auto"/>
              </w:rPr>
            </w:pPr>
          </w:p>
        </w:tc>
      </w:tr>
      <w:tr>
        <w:trPr>
          <w:trHeight w:val="240"/>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11,794</w:t>
            </w:r>
          </w:p>
        </w:tc>
        <w:tc>
          <w:tcPr>
            <w:tcW w:w="0" w:type="dxa"/>
            <w:vAlign w:val="bottom"/>
          </w:tcPr>
          <w:p>
            <w:pPr>
              <w:spacing w:after="0"/>
              <w:rPr>
                <w:sz w:val="1"/>
                <w:szCs w:val="1"/>
                <w:color w:val="auto"/>
              </w:rPr>
            </w:pPr>
          </w:p>
        </w:tc>
      </w:tr>
      <w:tr>
        <w:trPr>
          <w:trHeight w:val="24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Notes receivable</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15,614</w:t>
            </w:r>
          </w:p>
        </w:tc>
        <w:tc>
          <w:tcPr>
            <w:tcW w:w="0" w:type="dxa"/>
            <w:vAlign w:val="bottom"/>
          </w:tcPr>
          <w:p>
            <w:pPr>
              <w:spacing w:after="0"/>
              <w:rPr>
                <w:sz w:val="1"/>
                <w:szCs w:val="1"/>
                <w:color w:val="auto"/>
              </w:rPr>
            </w:pPr>
          </w:p>
        </w:tc>
      </w:tr>
      <w:tr>
        <w:trPr>
          <w:trHeight w:val="240"/>
        </w:trPr>
        <w:tc>
          <w:tcPr>
            <w:tcW w:w="76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Assets held for sale</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48,709</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17,778</w:t>
            </w:r>
          </w:p>
        </w:tc>
        <w:tc>
          <w:tcPr>
            <w:tcW w:w="0" w:type="dxa"/>
            <w:vAlign w:val="bottom"/>
          </w:tcPr>
          <w:p>
            <w:pPr>
              <w:spacing w:after="0"/>
              <w:rPr>
                <w:sz w:val="1"/>
                <w:szCs w:val="1"/>
                <w:color w:val="auto"/>
              </w:rPr>
            </w:pPr>
          </w:p>
        </w:tc>
      </w:tr>
      <w:tr>
        <w:trPr>
          <w:trHeight w:val="239"/>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168,158</w:t>
            </w:r>
          </w:p>
        </w:tc>
        <w:tc>
          <w:tcPr>
            <w:tcW w:w="80" w:type="dxa"/>
            <w:vAlign w:val="bottom"/>
            <w:shd w:val="clear" w:color="auto" w:fill="CCEEFF"/>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194,997</w:t>
            </w:r>
          </w:p>
        </w:tc>
        <w:tc>
          <w:tcPr>
            <w:tcW w:w="0" w:type="dxa"/>
            <w:vAlign w:val="bottom"/>
          </w:tcPr>
          <w:p>
            <w:pPr>
              <w:spacing w:after="0"/>
              <w:rPr>
                <w:sz w:val="1"/>
                <w:szCs w:val="1"/>
                <w:color w:val="auto"/>
              </w:rPr>
            </w:pPr>
          </w:p>
        </w:tc>
      </w:tr>
      <w:tr>
        <w:trPr>
          <w:trHeight w:val="203"/>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212,442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228,396</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assets - operating leases,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124,739</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assets - finance leases, net</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22,481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25,515</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51,249</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3,860</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32,025</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11,958</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15,414</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6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top w:val="single" w:sz="8" w:color="auto"/>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563,838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696,173</w:t>
            </w:r>
          </w:p>
        </w:tc>
        <w:tc>
          <w:tcPr>
            <w:tcW w:w="0" w:type="dxa"/>
            <w:vAlign w:val="bottom"/>
          </w:tcPr>
          <w:p>
            <w:pPr>
              <w:spacing w:after="0"/>
              <w:rPr>
                <w:sz w:val="1"/>
                <w:szCs w:val="1"/>
                <w:color w:val="auto"/>
              </w:rPr>
            </w:pPr>
          </w:p>
        </w:tc>
      </w:tr>
      <w:tr>
        <w:trPr>
          <w:trHeight w:val="20"/>
        </w:trPr>
        <w:tc>
          <w:tcPr>
            <w:tcW w:w="76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28,835</w:t>
            </w:r>
          </w:p>
        </w:tc>
        <w:tc>
          <w:tcPr>
            <w:tcW w:w="280" w:type="dxa"/>
            <w:vAlign w:val="bottom"/>
            <w:tcBorders>
              <w:bottom w:val="single" w:sz="8" w:color="CFF0FC"/>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41,125</w:t>
            </w:r>
          </w:p>
        </w:tc>
        <w:tc>
          <w:tcPr>
            <w:tcW w:w="0" w:type="dxa"/>
            <w:vAlign w:val="bottom"/>
          </w:tcPr>
          <w:p>
            <w:pPr>
              <w:spacing w:after="0"/>
              <w:rPr>
                <w:sz w:val="1"/>
                <w:szCs w:val="1"/>
                <w:color w:val="auto"/>
              </w:rPr>
            </w:pPr>
          </w:p>
        </w:tc>
      </w:tr>
      <w:tr>
        <w:trPr>
          <w:trHeight w:val="210"/>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32,839</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 payable</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87,606</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87,333</w:t>
            </w:r>
          </w:p>
        </w:tc>
        <w:tc>
          <w:tcPr>
            <w:tcW w:w="0" w:type="dxa"/>
            <w:vAlign w:val="bottom"/>
          </w:tcPr>
          <w:p>
            <w:pPr>
              <w:spacing w:after="0"/>
              <w:rPr>
                <w:sz w:val="1"/>
                <w:szCs w:val="1"/>
                <w:color w:val="auto"/>
              </w:rPr>
            </w:pPr>
          </w:p>
        </w:tc>
      </w:tr>
      <w:tr>
        <w:trPr>
          <w:trHeight w:val="210"/>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lease liabilities - operating leases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7,386</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Current portion of lease liabilities - finance leases</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0" w:type="dxa"/>
            <w:vAlign w:val="bottom"/>
          </w:tcPr>
          <w:p>
            <w:pPr>
              <w:spacing w:after="0"/>
              <w:rPr>
                <w:sz w:val="1"/>
                <w:szCs w:val="1"/>
                <w:color w:val="auto"/>
              </w:rPr>
            </w:pPr>
          </w:p>
        </w:tc>
      </w:tr>
      <w:tr>
        <w:trPr>
          <w:trHeight w:val="210"/>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52,461</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2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32,486</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0" w:type="dxa"/>
            <w:vAlign w:val="bottom"/>
          </w:tcPr>
          <w:p>
            <w:pPr>
              <w:spacing w:after="0"/>
              <w:rPr>
                <w:sz w:val="1"/>
                <w:szCs w:val="1"/>
                <w:color w:val="auto"/>
              </w:rPr>
            </w:pPr>
          </w:p>
        </w:tc>
      </w:tr>
      <w:tr>
        <w:trPr>
          <w:trHeight w:val="204"/>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179,007</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228,710</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7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249,512</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lease liabilities - operating leases</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99,287</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126,215</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lease liabilities - finance leases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37,937</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83,237</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702,684</w:t>
            </w: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726,232</w:t>
            </w:r>
          </w:p>
        </w:tc>
        <w:tc>
          <w:tcPr>
            <w:tcW w:w="0" w:type="dxa"/>
            <w:vAlign w:val="bottom"/>
          </w:tcPr>
          <w:p>
            <w:pPr>
              <w:spacing w:after="0"/>
              <w:rPr>
                <w:sz w:val="1"/>
                <w:szCs w:val="1"/>
                <w:color w:val="auto"/>
              </w:rPr>
            </w:pPr>
          </w:p>
        </w:tc>
      </w:tr>
      <w:tr>
        <w:trPr>
          <w:trHeight w:val="204"/>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Common Stock, no par value, unlimited shares authorized as of June 30, 2025 and December 31, 2024,</w:t>
            </w: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respectively, 491,745,341 and 465,638,304 shares issued and outstanding as of June 30, 2025 and December 31,</w:t>
            </w:r>
          </w:p>
        </w:tc>
        <w:tc>
          <w:tcPr>
            <w:tcW w:w="24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2024, respectively</w:t>
            </w:r>
          </w:p>
        </w:tc>
        <w:tc>
          <w:tcPr>
            <w:tcW w:w="2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Preferred Stock, no par value, unlimited shares authorized as of June 30, 2025 and December 31, 2024,</w:t>
            </w:r>
          </w:p>
        </w:tc>
        <w:tc>
          <w:tcPr>
            <w:tcW w:w="240" w:type="dxa"/>
            <w:vAlign w:val="bottom"/>
            <w:shd w:val="clear" w:color="auto" w:fill="CFF0FC"/>
          </w:tcPr>
          <w:p>
            <w:pPr>
              <w:spacing w:after="0"/>
              <w:rPr>
                <w:sz w:val="16"/>
                <w:szCs w:val="16"/>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respectively, none issued and outstanding as of June 30, 2025 and December 31, 2024</w:t>
            </w:r>
          </w:p>
        </w:tc>
        <w:tc>
          <w:tcPr>
            <w:tcW w:w="240" w:type="dxa"/>
            <w:vAlign w:val="bottom"/>
            <w:shd w:val="clear" w:color="auto" w:fill="CFF0FC"/>
          </w:tcPr>
          <w:p>
            <w:pPr>
              <w:spacing w:after="0"/>
              <w:rPr>
                <w:sz w:val="19"/>
                <w:szCs w:val="19"/>
                <w:color w:val="auto"/>
              </w:rPr>
            </w:pPr>
          </w:p>
        </w:tc>
        <w:tc>
          <w:tcPr>
            <w:tcW w:w="14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Proportionate voting shares, no par value, unlimited shares authorized as of June 30, 2025 and December 31,</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240"/>
              <w:spacing w:after="0" w:line="175" w:lineRule="exact"/>
              <w:rPr>
                <w:sz w:val="20"/>
                <w:szCs w:val="20"/>
                <w:color w:val="auto"/>
              </w:rPr>
            </w:pPr>
            <w:r>
              <w:rPr>
                <w:rFonts w:ascii="Times New Roman" w:cs="Times New Roman" w:eastAsia="Times New Roman" w:hAnsi="Times New Roman"/>
                <w:sz w:val="16"/>
                <w:szCs w:val="16"/>
                <w:color w:val="auto"/>
              </w:rPr>
              <w:t>2024, respectively, 7,387,328 and 7,387,328 shares issued and outstanding as of June 30, 2025 and December</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31, 2024, respectively</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1,157,612</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1,156,807</w:t>
            </w:r>
          </w:p>
        </w:tc>
        <w:tc>
          <w:tcPr>
            <w:tcW w:w="0" w:type="dxa"/>
            <w:vAlign w:val="bottom"/>
          </w:tcPr>
          <w:p>
            <w:pPr>
              <w:spacing w:after="0"/>
              <w:rPr>
                <w:sz w:val="1"/>
                <w:szCs w:val="1"/>
                <w:color w:val="auto"/>
              </w:rPr>
            </w:pPr>
          </w:p>
        </w:tc>
      </w:tr>
      <w:tr>
        <w:trPr>
          <w:trHeight w:val="210"/>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(1,295,586)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(1,185,501)</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Equity attributable to The Cannabist Company Holdings Inc.</w:t>
            </w: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(137,974)</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(28,694)</w:t>
            </w:r>
          </w:p>
        </w:tc>
        <w:tc>
          <w:tcPr>
            <w:tcW w:w="0" w:type="dxa"/>
            <w:vAlign w:val="bottom"/>
          </w:tcPr>
          <w:p>
            <w:pPr>
              <w:spacing w:after="0"/>
              <w:rPr>
                <w:sz w:val="1"/>
                <w:szCs w:val="1"/>
                <w:color w:val="auto"/>
              </w:rPr>
            </w:pPr>
          </w:p>
        </w:tc>
      </w:tr>
      <w:tr>
        <w:trPr>
          <w:trHeight w:val="210"/>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(138,846)</w:t>
            </w: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(30,059)</w:t>
            </w:r>
          </w:p>
        </w:tc>
        <w:tc>
          <w:tcPr>
            <w:tcW w:w="0" w:type="dxa"/>
            <w:vAlign w:val="bottom"/>
          </w:tcPr>
          <w:p>
            <w:pPr>
              <w:spacing w:after="0"/>
              <w:rPr>
                <w:sz w:val="1"/>
                <w:szCs w:val="1"/>
                <w:color w:val="auto"/>
              </w:rPr>
            </w:pPr>
          </w:p>
        </w:tc>
      </w:tr>
      <w:tr>
        <w:trPr>
          <w:trHeight w:val="207"/>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563,838</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696,173</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CONDENSED CONSOLIDATED INTERIM STATEMENTS OF OPERATIONS AND COMPREHENSIVE LOSS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(Expressed in thousands of U.S. dollars, except for number of shares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900" w:type="dxa"/>
            <w:vAlign w:val="bottom"/>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31"/>
        </w:trPr>
        <w:tc>
          <w:tcPr>
            <w:tcW w:w="494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 net of discounts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86,350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125,190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173,790</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247,801</w:t>
            </w:r>
          </w:p>
        </w:tc>
        <w:tc>
          <w:tcPr>
            <w:tcW w:w="0" w:type="dxa"/>
            <w:vAlign w:val="bottom"/>
          </w:tcPr>
          <w:p>
            <w:pPr>
              <w:spacing w:after="0"/>
              <w:rPr>
                <w:sz w:val="1"/>
                <w:szCs w:val="1"/>
                <w:color w:val="auto"/>
              </w:rPr>
            </w:pP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(157,212)</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17,153</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48,052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46,438</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90,589</w:t>
            </w:r>
          </w:p>
        </w:tc>
        <w:tc>
          <w:tcPr>
            <w:tcW w:w="0" w:type="dxa"/>
            <w:vAlign w:val="bottom"/>
          </w:tcPr>
          <w:p>
            <w:pPr>
              <w:spacing w:after="0"/>
              <w:rPr>
                <w:sz w:val="1"/>
                <w:szCs w:val="1"/>
                <w:color w:val="auto"/>
              </w:rPr>
            </w:pPr>
          </w:p>
        </w:tc>
      </w:tr>
      <w:tr>
        <w:trPr>
          <w:trHeight w:val="210"/>
        </w:trPr>
        <w:tc>
          <w:tcPr>
            <w:tcW w:w="4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asset impairment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(32,990)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(40,046)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(70,241)</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(93,319)</w:t>
            </w:r>
          </w:p>
        </w:tc>
        <w:tc>
          <w:tcPr>
            <w:tcW w:w="0" w:type="dxa"/>
            <w:vAlign w:val="bottom"/>
          </w:tcPr>
          <w:p>
            <w:pPr>
              <w:spacing w:after="0"/>
              <w:rPr>
                <w:sz w:val="1"/>
                <w:szCs w:val="1"/>
                <w:color w:val="auto"/>
              </w:rPr>
            </w:pPr>
          </w:p>
        </w:tc>
      </w:tr>
      <w:tr>
        <w:trPr>
          <w:trHeight w:val="204"/>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Profit (loss) from operations</w:t>
            </w: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(23,996)</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expense:</w:t>
            </w:r>
          </w:p>
        </w:tc>
        <w:tc>
          <w:tcPr>
            <w:tcW w:w="1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on leases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(14,685)</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(23,839)</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(18,750)</w:t>
            </w:r>
          </w:p>
        </w:tc>
        <w:tc>
          <w:tcPr>
            <w:tcW w:w="0" w:type="dxa"/>
            <w:vAlign w:val="bottom"/>
          </w:tcPr>
          <w:p>
            <w:pPr>
              <w:spacing w:after="0"/>
              <w:rPr>
                <w:sz w:val="1"/>
                <w:szCs w:val="1"/>
                <w:color w:val="auto"/>
              </w:rPr>
            </w:pPr>
          </w:p>
        </w:tc>
      </w:tr>
      <w:tr>
        <w:trPr>
          <w:trHeight w:val="210"/>
        </w:trPr>
        <w:tc>
          <w:tcPr>
            <w:tcW w:w="4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 other expense</w:t>
            </w:r>
          </w:p>
        </w:tc>
        <w:tc>
          <w:tcPr>
            <w:tcW w:w="18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(18,328)</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(41,581)</w:t>
            </w: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(26,971)</w:t>
            </w:r>
          </w:p>
        </w:tc>
        <w:tc>
          <w:tcPr>
            <w:tcW w:w="0" w:type="dxa"/>
            <w:vAlign w:val="bottom"/>
          </w:tcPr>
          <w:p>
            <w:pPr>
              <w:spacing w:after="0"/>
              <w:rPr>
                <w:sz w:val="1"/>
                <w:szCs w:val="1"/>
                <w:color w:val="auto"/>
              </w:rPr>
            </w:pPr>
          </w:p>
        </w:tc>
      </w:tr>
      <w:tr>
        <w:trPr>
          <w:trHeight w:val="204"/>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(34,165)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(65,577)</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(29,701)</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(43,221)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(44,015)</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(18,510)</w:t>
            </w:r>
          </w:p>
        </w:tc>
        <w:tc>
          <w:tcPr>
            <w:tcW w:w="0" w:type="dxa"/>
            <w:vAlign w:val="bottom"/>
          </w:tcPr>
          <w:p>
            <w:pPr>
              <w:spacing w:after="0"/>
              <w:rPr>
                <w:sz w:val="1"/>
                <w:szCs w:val="1"/>
                <w:color w:val="auto"/>
              </w:rPr>
            </w:pPr>
          </w:p>
        </w:tc>
      </w:tr>
      <w:tr>
        <w:trPr>
          <w:trHeight w:val="204"/>
        </w:trPr>
        <w:tc>
          <w:tcPr>
            <w:tcW w:w="4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(77,386)</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(109,592)</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(48,211)</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profit attributable to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280" w:type="dxa"/>
            <w:vAlign w:val="bottom"/>
            <w:tcBorders>
              <w:bottom w:val="single" w:sz="8" w:color="CFF0FC"/>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0" w:type="dxa"/>
            <w:vAlign w:val="bottom"/>
          </w:tcPr>
          <w:p>
            <w:pPr>
              <w:spacing w:after="0"/>
              <w:rPr>
                <w:sz w:val="1"/>
                <w:szCs w:val="1"/>
                <w:color w:val="auto"/>
              </w:rPr>
            </w:pPr>
          </w:p>
        </w:tc>
      </w:tr>
      <w:tr>
        <w:trPr>
          <w:trHeight w:val="204"/>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shareholders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(77,881)</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(110,085)</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(49,414)</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used in earnings per share - basic and</w:t>
            </w:r>
          </w:p>
        </w:tc>
        <w:tc>
          <w:tcPr>
            <w:tcW w:w="1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484,713,110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460,653,957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478,894,930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453,143,911</w:t>
            </w:r>
          </w:p>
        </w:tc>
        <w:tc>
          <w:tcPr>
            <w:tcW w:w="0" w:type="dxa"/>
            <w:vAlign w:val="bottom"/>
          </w:tcPr>
          <w:p>
            <w:pPr>
              <w:spacing w:after="0"/>
              <w:rPr>
                <w:sz w:val="1"/>
                <w:szCs w:val="1"/>
                <w:color w:val="auto"/>
              </w:rPr>
            </w:pPr>
          </w:p>
        </w:tc>
      </w:tr>
      <w:tr>
        <w:trPr>
          <w:trHeight w:val="22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attributable to shares (basic and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33"/>
        </w:trPr>
        <w:tc>
          <w:tcPr>
            <w:tcW w:w="49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-2811145</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-2811145</wp:posOffset>
            </wp:positionV>
            <wp:extent cx="59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-3128010</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-3128010</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-3128010</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7"/>
          <w:szCs w:val="17"/>
          <w:color w:val="auto"/>
        </w:rPr>
        <w:t>CONDENSED CONSOLIDATED INTERIM STATEMENTS OF CHANGES IN EQUITY</w:t>
      </w:r>
    </w:p>
    <w:p>
      <w:pPr>
        <w:spacing w:after="0" w:line="21"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(Expressed in thousands of U.S. dollars, except for number of shares)</w:t>
      </w:r>
    </w:p>
    <w:p>
      <w:pPr>
        <w:spacing w:after="0" w:line="250"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Total The Cannabist</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Company Holdings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6"/>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6"/>
                <w:szCs w:val="16"/>
                <w:b w:val="1"/>
                <w:bCs w:val="1"/>
                <w:color w:val="auto"/>
                <w:w w:val="98"/>
              </w:rPr>
              <w:t>Inc.</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Non-</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9"/>
        </w:trPr>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Proportionate</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2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200" w:type="dxa"/>
            <w:vAlign w:val="bottom"/>
          </w:tcPr>
          <w:p>
            <w:pPr>
              <w:spacing w:after="0"/>
              <w:rPr>
                <w:sz w:val="16"/>
                <w:szCs w:val="16"/>
                <w:color w:val="auto"/>
              </w:rPr>
            </w:pPr>
          </w:p>
        </w:tc>
        <w:tc>
          <w:tcPr>
            <w:tcW w:w="8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3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Voting Shares</w:t>
            </w: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20"/>
                <w:szCs w:val="20"/>
                <w:color w:val="auto"/>
              </w:rPr>
            </w:pPr>
          </w:p>
        </w:tc>
        <w:tc>
          <w:tcPr>
            <w:tcW w:w="8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12"/>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420,265,306</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9,807,881</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1,146,154</w:t>
            </w:r>
          </w:p>
        </w:tc>
        <w:tc>
          <w:tcPr>
            <w:tcW w:w="8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(1,079,282)</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66,872</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(1,520)</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65,352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-142875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2280" w:space="40"/>
            <w:col w:w="8920"/>
          </w:cols>
          <w:pgMar w:left="320" w:top="121" w:right="339" w:bottom="0" w:gutter="0" w:footer="0" w:header="0"/>
        </w:sectPr>
      </w:pPr>
    </w:p>
    <w:tbl>
      <w:tblPr>
        <w:tblLayout w:type="fixed"/>
        <w:tblInd w:w="0" w:type="dxa"/>
        <w:tblCellMar>
          <w:top w:w="0" w:type="dxa"/>
          <w:left w:w="0" w:type="dxa"/>
          <w:bottom w:w="0" w:type="dxa"/>
          <w:right w:w="0" w:type="dxa"/>
        </w:tblCellMar>
      </w:tblP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 (1)</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r>
      <w:tr>
        <w:trPr>
          <w:trHeight w:val="33"/>
        </w:trPr>
        <w:tc>
          <w:tcPr>
            <w:tcW w:w="2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3"/>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25,845,259</w:t>
            </w:r>
          </w:p>
        </w:tc>
        <w:tc>
          <w:tcPr>
            <w:tcW w:w="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between classes of shares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2,106,055</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(2,106,055)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3"/>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11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w:t>
            </w: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(34,568)</w:t>
            </w:r>
          </w:p>
        </w:tc>
      </w:tr>
      <w:tr>
        <w:trPr>
          <w:trHeight w:val="33"/>
        </w:trPr>
        <w:tc>
          <w:tcPr>
            <w:tcW w:w="2760" w:type="dxa"/>
            <w:vAlign w:val="bottom"/>
            <w:tcBorders>
              <w:bottom w:val="single" w:sz="8" w:color="CFF0F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448,216,620</w:t>
            </w:r>
          </w:p>
        </w:tc>
        <w:tc>
          <w:tcPr>
            <w:tcW w:w="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7,701,826</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1,159,336</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(1,115,413)</w:t>
            </w:r>
          </w:p>
        </w:tc>
        <w:tc>
          <w:tcPr>
            <w:tcW w:w="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43,923</w:t>
            </w: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(1,015)</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42,908</w:t>
            </w: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 (1)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8,225,383</w:t>
            </w: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(9,399)</w:t>
            </w:r>
          </w:p>
        </w:tc>
      </w:tr>
      <w:tr>
        <w:trPr>
          <w:trHeight w:val="33"/>
        </w:trPr>
        <w:tc>
          <w:tcPr>
            <w:tcW w:w="2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3"/>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655,736</w:t>
            </w:r>
          </w:p>
        </w:tc>
        <w:tc>
          <w:tcPr>
            <w:tcW w:w="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Legal settlement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4,845,359</w:t>
            </w: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r>
      <w:tr>
        <w:trPr>
          <w:trHeight w:val="33"/>
        </w:trPr>
        <w:tc>
          <w:tcPr>
            <w:tcW w:w="2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3"/>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11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w:t>
            </w: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33"/>
        </w:trPr>
        <w:tc>
          <w:tcPr>
            <w:tcW w:w="2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(13,643)</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461,943,098</w:t>
            </w:r>
          </w:p>
        </w:tc>
        <w:tc>
          <w:tcPr>
            <w:tcW w:w="8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7,701,826</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1,152,757</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(1,129,056)</w:t>
            </w:r>
          </w:p>
        </w:tc>
        <w:tc>
          <w:tcPr>
            <w:tcW w:w="80" w:type="dxa"/>
            <w:vAlign w:val="bottom"/>
          </w:tcPr>
          <w:p>
            <w:pPr>
              <w:spacing w:after="0"/>
              <w:rPr>
                <w:sz w:val="21"/>
                <w:szCs w:val="21"/>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23,701</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23,384</w:t>
            </w:r>
          </w:p>
        </w:tc>
      </w:tr>
      <w:tr>
        <w:trPr>
          <w:trHeight w:val="27"/>
        </w:trPr>
        <w:tc>
          <w:tcPr>
            <w:tcW w:w="27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 The amount shown are net of any shares withheld by the Company to satisfy certain tax withholdings in connection with vesting of equity-based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CHANGES IN EQUITY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for number of shares)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 The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Cannabist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Company</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Holdings Inc.</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Non-</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18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w w:val="98"/>
              </w:rPr>
              <w:t>Common</w:t>
            </w:r>
          </w:p>
        </w:tc>
        <w:tc>
          <w:tcPr>
            <w:tcW w:w="118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Proportionate</w:t>
            </w:r>
          </w:p>
        </w:tc>
        <w:tc>
          <w:tcPr>
            <w:tcW w:w="120" w:type="dxa"/>
            <w:vAlign w:val="bottom"/>
          </w:tcPr>
          <w:p>
            <w:pPr>
              <w:spacing w:after="0"/>
              <w:rPr>
                <w:sz w:val="15"/>
                <w:szCs w:val="15"/>
                <w:color w:val="auto"/>
              </w:rPr>
            </w:pPr>
          </w:p>
        </w:tc>
        <w:tc>
          <w:tcPr>
            <w:tcW w:w="900" w:type="dxa"/>
            <w:vAlign w:val="bottom"/>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Paid-in</w:t>
            </w:r>
          </w:p>
        </w:tc>
        <w:tc>
          <w:tcPr>
            <w:tcW w:w="340" w:type="dxa"/>
            <w:vAlign w:val="bottom"/>
          </w:tcPr>
          <w:p>
            <w:pPr>
              <w:spacing w:after="0"/>
              <w:rPr>
                <w:sz w:val="15"/>
                <w:szCs w:val="15"/>
                <w:color w:val="auto"/>
              </w:rPr>
            </w:pPr>
          </w:p>
        </w:tc>
        <w:tc>
          <w:tcPr>
            <w:tcW w:w="10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79"/>
              <w:spacing w:after="0" w:line="175"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19"/>
                <w:szCs w:val="19"/>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Voting Shares</w:t>
            </w:r>
          </w:p>
        </w:tc>
        <w:tc>
          <w:tcPr>
            <w:tcW w:w="120" w:type="dxa"/>
            <w:vAlign w:val="bottom"/>
          </w:tcPr>
          <w:p>
            <w:pPr>
              <w:spacing w:after="0"/>
              <w:rPr>
                <w:sz w:val="19"/>
                <w:szCs w:val="19"/>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320" w:type="dxa"/>
            <w:vAlign w:val="bottom"/>
            <w:vMerge w:val="continue"/>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465,638,304</w:t>
            </w: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7,387,328</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1,156,807</w:t>
            </w:r>
          </w:p>
        </w:tc>
        <w:tc>
          <w:tcPr>
            <w:tcW w:w="3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(1,185,501)</w:t>
            </w:r>
          </w:p>
        </w:tc>
        <w:tc>
          <w:tcPr>
            <w:tcW w:w="34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(28,694)</w:t>
            </w:r>
          </w:p>
        </w:tc>
        <w:tc>
          <w:tcPr>
            <w:tcW w:w="3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(1,365)</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(30,059)</w:t>
            </w:r>
          </w:p>
        </w:tc>
        <w:tc>
          <w:tcPr>
            <w:tcW w:w="0" w:type="dxa"/>
            <w:vAlign w:val="bottom"/>
          </w:tcPr>
          <w:p>
            <w:pPr>
              <w:spacing w:after="0"/>
              <w:rPr>
                <w:sz w:val="1"/>
                <w:szCs w:val="1"/>
                <w:color w:val="auto"/>
              </w:rPr>
            </w:pPr>
          </w:p>
        </w:tc>
      </w:tr>
      <w:tr>
        <w:trPr>
          <w:trHeight w:val="31"/>
        </w:trPr>
        <w:tc>
          <w:tcPr>
            <w:tcW w:w="2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Equity-based compensation (1)</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(93,662)</w:t>
            </w:r>
          </w:p>
        </w:tc>
        <w:tc>
          <w:tcPr>
            <w:tcW w:w="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0"/>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(32,206)</w:t>
            </w:r>
          </w:p>
        </w:tc>
        <w:tc>
          <w:tcPr>
            <w:tcW w:w="0" w:type="dxa"/>
            <w:vAlign w:val="bottom"/>
          </w:tcPr>
          <w:p>
            <w:pPr>
              <w:spacing w:after="0"/>
              <w:rPr>
                <w:sz w:val="1"/>
                <w:szCs w:val="1"/>
                <w:color w:val="auto"/>
              </w:rPr>
            </w:pPr>
          </w:p>
        </w:tc>
      </w:tr>
      <w:tr>
        <w:trPr>
          <w:trHeight w:val="33"/>
        </w:trPr>
        <w:tc>
          <w:tcPr>
            <w:tcW w:w="2320" w:type="dxa"/>
            <w:vAlign w:val="bottom"/>
            <w:tcBorders>
              <w:bottom w:val="single" w:sz="8" w:color="CFF0F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AEEF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CAEEF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465,544,642</w:t>
            </w:r>
          </w:p>
        </w:tc>
        <w:tc>
          <w:tcPr>
            <w:tcW w:w="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7,387,328</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rPr>
              <w:t>1,157,099</w:t>
            </w:r>
          </w:p>
        </w:tc>
        <w:tc>
          <w:tcPr>
            <w:tcW w:w="340" w:type="dxa"/>
            <w:vAlign w:val="bottom"/>
            <w:tcBorders>
              <w:bottom w:val="single" w:sz="8" w:color="CAEEFB"/>
            </w:tcBorders>
            <w:shd w:val="clear" w:color="auto" w:fill="CAEEFB"/>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rPr>
              <w:t>(1,217,705)</w:t>
            </w:r>
          </w:p>
        </w:tc>
        <w:tc>
          <w:tcPr>
            <w:tcW w:w="340" w:type="dxa"/>
            <w:vAlign w:val="bottom"/>
            <w:tcBorders>
              <w:bottom w:val="single" w:sz="8" w:color="CAEEFB"/>
            </w:tcBorders>
            <w:shd w:val="clear" w:color="auto" w:fill="CAEEFB"/>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rPr>
              <w:t>(60,606)</w:t>
            </w:r>
          </w:p>
        </w:tc>
        <w:tc>
          <w:tcPr>
            <w:tcW w:w="340" w:type="dxa"/>
            <w:vAlign w:val="bottom"/>
            <w:tcBorders>
              <w:bottom w:val="single" w:sz="8" w:color="CAEEFB"/>
            </w:tcBorders>
            <w:shd w:val="clear" w:color="auto" w:fill="CAEEFB"/>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rPr>
              <w:t>(1,367)</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(61,973)</w:t>
            </w:r>
          </w:p>
        </w:tc>
        <w:tc>
          <w:tcPr>
            <w:tcW w:w="0" w:type="dxa"/>
            <w:vAlign w:val="bottom"/>
          </w:tcPr>
          <w:p>
            <w:pPr>
              <w:spacing w:after="0"/>
              <w:rPr>
                <w:sz w:val="1"/>
                <w:szCs w:val="1"/>
                <w:color w:val="auto"/>
              </w:rPr>
            </w:pPr>
          </w:p>
        </w:tc>
      </w:tr>
      <w:tr>
        <w:trPr>
          <w:trHeight w:val="210"/>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 (1)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6,872,394</w:t>
            </w: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convertible note</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19,328,305</w:t>
            </w:r>
          </w:p>
        </w:tc>
        <w:tc>
          <w:tcPr>
            <w:tcW w:w="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(77,881)</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(77,881)</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(77,386)</w:t>
            </w: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491,745,341</w:t>
            </w:r>
          </w:p>
        </w:tc>
        <w:tc>
          <w:tcPr>
            <w:tcW w:w="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7,387,328</w:t>
            </w: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1,157,612</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(1,295,586)</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(137,974)</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(872)</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(138,846)</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260" w:hanging="221"/>
        <w:spacing w:after="0"/>
        <w:tabs>
          <w:tab w:leader="none" w:pos="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are net of any shares withheld by the Company to satisfy certain tax withholdings in connection with vesting of equity-based awards.</w:t>
      </w:r>
    </w:p>
    <w:p>
      <w:pPr>
        <w:spacing w:after="0" w:line="338" w:lineRule="exact"/>
        <w:rPr>
          <w:rFonts w:ascii="Times New Roman" w:cs="Times New Roman" w:eastAsia="Times New Roman" w:hAnsi="Times New Roman"/>
          <w:sz w:val="16"/>
          <w:szCs w:val="16"/>
          <w:color w:val="auto"/>
        </w:rPr>
      </w:pPr>
    </w:p>
    <w:p>
      <w:pPr>
        <w:ind w:left="1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ectPr>
          <w:pgSz w:w="11900" w:h="16838" w:orient="portrait"/>
          <w:cols w:equalWidth="0" w:num="1">
            <w:col w:w="11240"/>
          </w:cols>
          <w:pgMar w:left="320" w:top="121" w:right="339" w:bottom="0" w:gutter="0" w:footer="0" w:header="0"/>
          <w:type w:val="continuous"/>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21" w:right="339" w:bottom="0" w:gutter="0" w:footer="0" w:header="0"/>
          <w:type w:val="continuous"/>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CONDENSED CONSOLIDATED INTERIM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120" w:type="dxa"/>
            <w:vAlign w:val="bottom"/>
            <w:tcBorders>
              <w:top w:val="single" w:sz="8" w:color="auto"/>
              <w:bottom w:val="single" w:sz="8" w:color="auto"/>
            </w:tcBorders>
            <w:gridSpan w:val="4"/>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2"/>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76"/>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r>
      <w:tr>
        <w:trPr>
          <w:trHeight w:val="193"/>
        </w:trPr>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(109,592)</w:t>
            </w:r>
          </w:p>
        </w:tc>
        <w:tc>
          <w:tcPr>
            <w:tcW w:w="2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(48,211)</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193"/>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16,851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27,547</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935</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(4,962)</w:t>
            </w:r>
          </w:p>
        </w:tc>
      </w:tr>
      <w:tr>
        <w:trPr>
          <w:trHeight w:val="193"/>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amortization expense</w:t>
            </w: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10,678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4,307</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2,238</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964</w:t>
            </w:r>
          </w:p>
        </w:tc>
      </w:tr>
      <w:tr>
        <w:trPr>
          <w:trHeight w:val="193"/>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deconsolidation of subsidiaries</w:t>
            </w: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10,494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624</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early extinguishment of note</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3,227</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obsolete inventory and other assets</w:t>
            </w: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10,572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5,642</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fair value of derivative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359</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2,329</w:t>
            </w:r>
          </w:p>
        </w:tc>
      </w:tr>
      <w:tr>
        <w:trPr>
          <w:trHeight w:val="193"/>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investment fair value</w:t>
            </w: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6,520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31,694</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r>
      <w:tr>
        <w:trPr>
          <w:trHeight w:val="193"/>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Legal settlement</w:t>
            </w:r>
          </w:p>
        </w:tc>
        <w:tc>
          <w:tcPr>
            <w:tcW w:w="220" w:type="dxa"/>
            <w:vAlign w:val="bottom"/>
          </w:tcPr>
          <w:p>
            <w:pPr>
              <w:spacing w:after="0"/>
              <w:rPr>
                <w:sz w:val="16"/>
                <w:szCs w:val="16"/>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on fixed assets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193"/>
        </w:trPr>
        <w:tc>
          <w:tcPr>
            <w:tcW w:w="7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(4,868)</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Inventory</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4,656</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(10,140)</w:t>
            </w:r>
          </w:p>
        </w:tc>
      </w:tr>
      <w:tr>
        <w:trPr>
          <w:trHeight w:val="193"/>
        </w:trPr>
        <w:tc>
          <w:tcPr>
            <w:tcW w:w="7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Notes receivable</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19,350</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4,082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728</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(9,108)</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4,138</w:t>
            </w:r>
          </w:p>
        </w:tc>
      </w:tr>
      <w:tr>
        <w:trPr>
          <w:trHeight w:val="193"/>
        </w:trPr>
        <w:tc>
          <w:tcPr>
            <w:tcW w:w="7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Income taxes payable</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17,367</w:t>
            </w:r>
          </w:p>
        </w:tc>
      </w:tr>
      <w:tr>
        <w:trPr>
          <w:trHeight w:val="193"/>
        </w:trPr>
        <w:tc>
          <w:tcPr>
            <w:tcW w:w="7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609</w:t>
            </w:r>
          </w:p>
        </w:tc>
      </w:tr>
      <w:tr>
        <w:trPr>
          <w:trHeight w:val="23"/>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0"/>
        </w:trPr>
        <w:tc>
          <w:tcPr>
            <w:tcW w:w="7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(11,072)</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(9,659)</w:t>
            </w:r>
          </w:p>
        </w:tc>
      </w:tr>
      <w:tr>
        <w:trPr>
          <w:trHeight w:val="17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w:t>
            </w:r>
          </w:p>
        </w:tc>
      </w:tr>
      <w:tr>
        <w:trPr>
          <w:trHeight w:val="193"/>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 of license</w:t>
            </w: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329</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proceeds from sale of businesses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5,687</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2,999</w:t>
            </w:r>
          </w:p>
        </w:tc>
      </w:tr>
      <w:tr>
        <w:trPr>
          <w:trHeight w:val="193"/>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received on deposits, net</w:t>
            </w: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r>
      <w:tr>
        <w:trPr>
          <w:trHeight w:val="23"/>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5,939</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856</w:t>
            </w:r>
          </w:p>
        </w:tc>
      </w:tr>
      <w:tr>
        <w:trPr>
          <w:trHeight w:val="17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2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15,600</w:t>
            </w:r>
          </w:p>
        </w:tc>
      </w:tr>
      <w:tr>
        <w:trPr>
          <w:trHeight w:val="193"/>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 of lease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w:t>
            </w:r>
          </w:p>
        </w:tc>
      </w:tr>
      <w:tr>
        <w:trPr>
          <w:trHeight w:val="193"/>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 of sellers note</w:t>
            </w:r>
          </w:p>
        </w:tc>
        <w:tc>
          <w:tcPr>
            <w:tcW w:w="220" w:type="dxa"/>
            <w:vAlign w:val="bottom"/>
          </w:tcPr>
          <w:p>
            <w:pPr>
              <w:spacing w:after="0"/>
              <w:rPr>
                <w:sz w:val="16"/>
                <w:szCs w:val="16"/>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 of debt</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(13,228)</w:t>
            </w:r>
          </w:p>
        </w:tc>
      </w:tr>
      <w:tr>
        <w:trPr>
          <w:trHeight w:val="193"/>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 of mortgage notes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6"/>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Distributions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193"/>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Taxes paid on equity based compensation</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r>
      <w:tr>
        <w:trPr>
          <w:trHeight w:val="23"/>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(14,206)</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(4,629)</w:t>
            </w:r>
          </w:p>
        </w:tc>
      </w:tr>
      <w:tr>
        <w:trPr>
          <w:trHeight w:val="186"/>
        </w:trPr>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Net decrease in cash</w:t>
            </w: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(19,339)</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(13,432)</w:t>
            </w: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restricted cash at beginning of the period</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37,930</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39,337</w:t>
            </w:r>
          </w:p>
        </w:tc>
      </w:tr>
      <w:tr>
        <w:trPr>
          <w:trHeight w:val="210"/>
        </w:trPr>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18,591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25,905</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3"/>
        </w:trPr>
        <w:tc>
          <w:tcPr>
            <w:tcW w:w="77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Reconciliation of cash and restricted cash:</w:t>
            </w:r>
          </w:p>
        </w:tc>
        <w:tc>
          <w:tcPr>
            <w:tcW w:w="2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r>
      <w:tr>
        <w:trPr>
          <w:trHeight w:val="192"/>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15,456</w:t>
            </w:r>
          </w:p>
        </w:tc>
        <w:tc>
          <w:tcPr>
            <w:tcW w:w="2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22,332</w:t>
            </w:r>
          </w:p>
        </w:tc>
      </w:tr>
      <w:tr>
        <w:trPr>
          <w:trHeight w:val="24"/>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3,135</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3,573</w:t>
            </w: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end of period</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18,591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25,905</w:t>
            </w: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-582295</wp:posOffset>
            </wp:positionV>
            <wp:extent cx="1460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-6960235</wp:posOffset>
            </wp:positionV>
            <wp:extent cx="1460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ectPr>
          <w:pgSz w:w="11900" w:h="16838" w:orient="portrait"/>
          <w:cols w:equalWidth="0" w:num="1">
            <w:col w:w="11180"/>
          </w:cols>
          <w:pgMar w:left="320" w:top="121" w:right="399" w:bottom="1440" w:gutter="0" w:footer="0" w:header="0"/>
        </w:sect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CONDENSED CONSOLIDATED INTERIM STATEMENTS OF CASH FLOWS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7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8"/>
        </w:trPr>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31"/>
        </w:trPr>
        <w:tc>
          <w:tcPr>
            <w:tcW w:w="7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0"/>
        </w:trPr>
        <w:tc>
          <w:tcPr>
            <w:tcW w:w="7840" w:type="dxa"/>
            <w:vAlign w:val="bottom"/>
            <w:tcBorders>
              <w:bottom w:val="single" w:sz="8" w:color="CCEEFF"/>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7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13,565</w:t>
            </w:r>
          </w:p>
        </w:tc>
      </w:tr>
      <w:tr>
        <w:trPr>
          <w:trHeight w:val="210"/>
        </w:trPr>
        <w:tc>
          <w:tcPr>
            <w:tcW w:w="7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7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 on other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20,575</w:t>
            </w: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 arising from the recognition of finance right-of-use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w:t>
            </w: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 arising from the recognition of operating right-of-use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7,436</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1"/>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fixed asset additions within accounts payable and 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on issuance of convertible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w:t>
            </w: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 in debt from debt to equity conversion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(10,200)</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equity from debt to equity conversion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10,200</w:t>
            </w: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issued for legal settlement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 of notes and convertible notes for new notes and convertible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269,950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-2747645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ind w:left="20" w:right="4420"/>
        <w:spacing w:after="0" w:line="250" w:lineRule="auto"/>
        <w:rPr>
          <w:sz w:val="20"/>
          <w:szCs w:val="20"/>
          <w:color w:val="auto"/>
        </w:rPr>
      </w:pPr>
      <w:r>
        <w:rPr>
          <w:rFonts w:ascii="Times New Roman" w:cs="Times New Roman" w:eastAsia="Times New Roman" w:hAnsi="Times New Roman"/>
          <w:sz w:val="18"/>
          <w:szCs w:val="18"/>
          <w:color w:val="auto"/>
        </w:rPr>
        <w:t>NOTES TO THE CONDENSED CONSOLIDATED INTERIM FINANCIAL STATEMENTS FOR THE THREE AND SIX MONTHS ENDED JUNE 30, 2025, and 2024 (Expressed in thousands of U.S. dollars, except for share and per share amounts)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20" w:hanging="812"/>
        <w:spacing w:after="0"/>
        <w:tabs>
          <w:tab w:leader="none" w:pos="8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 OF THE COMPANY</w:t>
      </w:r>
    </w:p>
    <w:p>
      <w:pPr>
        <w:spacing w:after="0" w:line="148" w:lineRule="exact"/>
        <w:rPr>
          <w:rFonts w:ascii="Times New Roman" w:cs="Times New Roman" w:eastAsia="Times New Roman" w:hAnsi="Times New Roman"/>
          <w:sz w:val="18"/>
          <w:szCs w:val="18"/>
          <w:b w:val="1"/>
          <w:bCs w:val="1"/>
          <w:color w:val="auto"/>
        </w:rPr>
      </w:pPr>
    </w:p>
    <w:p>
      <w:pPr>
        <w:jc w:val="both"/>
        <w:ind w:left="8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Cannabist Company Holdings Inc. (“the Company”, “the Parent”, or "The Cannabist Company"), formerly known as Columbia Care Inc., was incorporated under the laws of the Province of Ontario on August 13, 2018. The Company's principal mission is to improve lives by providing cannabis-based products to qualified patients and consumers. The Company’s head office and principal address is 321 Billerica Rd., Suite 204, Chelmsford, Massachusetts 01824. The Company’s registered and records office address is 666 Burrard St #1700, Vancouver, British Columbia V6C 2X8.</w:t>
      </w:r>
    </w:p>
    <w:p>
      <w:pPr>
        <w:spacing w:after="0" w:line="115" w:lineRule="exact"/>
        <w:rPr>
          <w:rFonts w:ascii="Times New Roman" w:cs="Times New Roman" w:eastAsia="Times New Roman" w:hAnsi="Times New Roman"/>
          <w:sz w:val="18"/>
          <w:szCs w:val="18"/>
          <w:b w:val="1"/>
          <w:bCs w:val="1"/>
          <w:color w:val="auto"/>
        </w:rPr>
      </w:pPr>
    </w:p>
    <w:p>
      <w:pPr>
        <w:jc w:val="both"/>
        <w:ind w:left="8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26, 2019, the Company completed a reverse takeover (“RTO”) transaction and private placement. Following the RTO, the Company’s common shares were listed on Cboe Canada (formerly known as the NEO Exchange), trading under the symbol “CCHW”. Effective September 19, 2023, the Company changed its name from “Columbia Care Inc.” to “The Cannabist Company Holdings Inc.” (the “Name Change”). In connection with the Name Change, on September 21, 2023, the Company’s common shares and warrants began trading under the ticker symbols “CBST” and “CBST.WT”, respectively, on Cboe Canada. On September 26, 2023, the Company’s common shares began trading on the OTCQX Best Market under the ticker symbol “CBSTF,” and transitioned to the OTCQB in April 2025.</w:t>
      </w:r>
    </w:p>
    <w:p>
      <w:pPr>
        <w:spacing w:after="0" w:line="399" w:lineRule="exact"/>
        <w:rPr>
          <w:rFonts w:ascii="Times New Roman" w:cs="Times New Roman" w:eastAsia="Times New Roman" w:hAnsi="Times New Roman"/>
          <w:sz w:val="18"/>
          <w:szCs w:val="18"/>
          <w:b w:val="1"/>
          <w:bCs w:val="1"/>
          <w:color w:val="auto"/>
        </w:rPr>
      </w:pPr>
    </w:p>
    <w:p>
      <w:pPr>
        <w:ind w:left="820" w:right="5720" w:hanging="812"/>
        <w:spacing w:after="0" w:line="417" w:lineRule="auto"/>
        <w:tabs>
          <w:tab w:leader="none" w:pos="8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preparation</w:t>
      </w: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interim financial statements of the Company have been prepared in accordance with accounting principles generally accepted in the United States of America (“U.S. GAAP” or “GAAP”) for interim financial information and the rules and regulations of the Securities and Exchange Commission (the “SEC”).</w:t>
      </w:r>
    </w:p>
    <w:p>
      <w:pPr>
        <w:spacing w:after="0" w:line="108" w:lineRule="exact"/>
        <w:rPr>
          <w:rFonts w:ascii="Times New Roman" w:cs="Times New Roman" w:eastAsia="Times New Roman" w:hAnsi="Times New Roman"/>
          <w:sz w:val="18"/>
          <w:szCs w:val="18"/>
          <w:b w:val="1"/>
          <w:bCs w:val="1"/>
          <w:color w:val="auto"/>
        </w:rPr>
      </w:pPr>
    </w:p>
    <w:p>
      <w:pPr>
        <w:jc w:val="both"/>
        <w:ind w:left="8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interim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three and six months ended June 30, 2025 are not necessarily indicative of the results that may be expected for the current year ending December 31, 2025. The financial data presented herein should be read in conjunction with the audited consolidated financial statements and accompanying notes as of and for the years ended December 31, 2024, and 2023 included in the Annual Report on Form 10-K for the year ended December 31, 2024 (the “2024 Form 10-K”).</w:t>
      </w:r>
    </w:p>
    <w:p>
      <w:pPr>
        <w:spacing w:after="0" w:line="121" w:lineRule="exact"/>
        <w:rPr>
          <w:rFonts w:ascii="Times New Roman" w:cs="Times New Roman" w:eastAsia="Times New Roman" w:hAnsi="Times New Roman"/>
          <w:sz w:val="18"/>
          <w:szCs w:val="18"/>
          <w:b w:val="1"/>
          <w:bCs w:val="1"/>
          <w:color w:val="auto"/>
        </w:rPr>
      </w:pP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these unaudited condensed consolidated interim financial statements in conformity with U.S. GAAP requires management to make estimates and assumptions that affect the reported amounts of assets and liabilities as of the date of the financial statements, and the reported amounts of revenues and expenses during the reporting periods. Actual results could differ materially from those estimates.</w:t>
      </w:r>
    </w:p>
    <w:p>
      <w:pPr>
        <w:spacing w:after="0" w:line="94"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pursuant to the rules and regulations of the SEC and the instructions to Form 10-Q.</w:t>
      </w:r>
    </w:p>
    <w:p>
      <w:pPr>
        <w:spacing w:after="0" w:line="94" w:lineRule="exact"/>
        <w:rPr>
          <w:rFonts w:ascii="Times New Roman" w:cs="Times New Roman" w:eastAsia="Times New Roman" w:hAnsi="Times New Roman"/>
          <w:sz w:val="18"/>
          <w:szCs w:val="18"/>
          <w:b w:val="1"/>
          <w:bCs w:val="1"/>
          <w:color w:val="auto"/>
        </w:rPr>
      </w:pPr>
    </w:p>
    <w:p>
      <w:pPr>
        <w:ind w:left="820"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condensed consolidated interim financial statements are presented in United States dollars except as otherwise indicated. All references to C$, CAD$ and CDN$ are to Canadian dollars.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148"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the Company’s 2024 Form 10-K, filed with the SEC, on March 17, 2025. There have been no material changes to the Company’s significant accounting policies.</w:t>
      </w:r>
    </w:p>
    <w:p>
      <w:pPr>
        <w:spacing w:after="0" w:line="9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62"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to the prior period's condensed consolidated interim financial statements and notes to conform to the current year presentation. These reclassifications do not impact the gross margin, profit (loss) from operations, loss before provision for income taxes, and net loss and comprehensive loss presented on the condensed consolidated interim statements of operations and comprehensive loss.</w:t>
      </w:r>
    </w:p>
    <w:p>
      <w:pPr>
        <w:spacing w:after="0" w:line="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Company’s revenues are disaggregated as follows:</w:t>
      </w:r>
    </w:p>
    <w:p>
      <w:pPr>
        <w:spacing w:after="0" w:line="201"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3400" w:type="dxa"/>
            <w:vAlign w:val="bottom"/>
            <w:gridSpan w:val="4"/>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33"/>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6"/>
        </w:trPr>
        <w:tc>
          <w:tcPr>
            <w:tcW w:w="2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31"/>
        </w:trPr>
        <w:tc>
          <w:tcPr>
            <w:tcW w:w="26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6"/>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Dispensary</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67,960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106,093</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139,583</w:t>
            </w:r>
          </w:p>
        </w:tc>
        <w:tc>
          <w:tcPr>
            <w:tcW w:w="4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213,331</w:t>
            </w: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Cultivation and wholesale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34,470</w:t>
            </w:r>
          </w:p>
        </w:tc>
      </w:tr>
      <w:tr>
        <w:trPr>
          <w:trHeight w:val="33"/>
        </w:trPr>
        <w:tc>
          <w:tcPr>
            <w:tcW w:w="2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2"/>
        </w:trPr>
        <w:tc>
          <w:tcPr>
            <w:tcW w:w="26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125,190</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173,790</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247,801</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netted discounts of $22,935 and $45,252, respectively, against the revenues. During the three and six months ended June 30, 2024, the Company netted discounts of $37,505 and $73,884, respectively, against the revenues. Discounts are provided by the Company during promotional days or weekends. Discounts are also provided to employees, seniors, and other categories of customers and may include price reductions and coupons.</w:t>
      </w:r>
    </w:p>
    <w:p>
      <w:pPr>
        <w:spacing w:after="0" w:line="392" w:lineRule="exact"/>
        <w:rPr>
          <w:sz w:val="20"/>
          <w:szCs w:val="20"/>
          <w:color w:val="auto"/>
        </w:rPr>
      </w:pPr>
    </w:p>
    <w:p>
      <w:pPr>
        <w:ind w:left="820" w:hanging="812"/>
        <w:spacing w:after="0"/>
        <w:tabs>
          <w:tab w:leader="none" w:pos="8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6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of the Company’s inventory are shown in the table below:</w:t>
      </w:r>
    </w:p>
    <w:p>
      <w:pPr>
        <w:spacing w:after="0" w:line="187" w:lineRule="exact"/>
        <w:rPr>
          <w:sz w:val="20"/>
          <w:szCs w:val="20"/>
          <w:color w:val="auto"/>
        </w:rPr>
      </w:pPr>
    </w:p>
    <w:tbl>
      <w:tblPr>
        <w:tblLayout w:type="fixed"/>
        <w:tblInd w:w="960" w:type="dxa"/>
        <w:tblCellMar>
          <w:top w:w="0" w:type="dxa"/>
          <w:left w:w="0" w:type="dxa"/>
          <w:bottom w:w="0" w:type="dxa"/>
          <w:right w:w="0" w:type="dxa"/>
        </w:tblCellMar>
      </w:tblPr>
      <w:tr>
        <w:trPr>
          <w:trHeight w:val="212"/>
        </w:trPr>
        <w:tc>
          <w:tcPr>
            <w:tcW w:w="5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5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Accessories and supplies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Work-in-process - cannabis in cures and final vault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66,933</w:t>
            </w:r>
          </w:p>
        </w:tc>
      </w:tr>
      <w:tr>
        <w:trPr>
          <w:trHeight w:val="33"/>
        </w:trPr>
        <w:tc>
          <w:tcPr>
            <w:tcW w:w="5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 - dried cannabis, concentrate and edible products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26,519</w:t>
            </w:r>
          </w:p>
        </w:tc>
      </w:tr>
      <w:tr>
        <w:trPr>
          <w:trHeight w:val="233"/>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inventory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70,905</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94,516</w:t>
            </w:r>
          </w:p>
        </w:tc>
      </w:tr>
      <w:tr>
        <w:trPr>
          <w:trHeight w:val="24"/>
        </w:trPr>
        <w:tc>
          <w:tcPr>
            <w:tcW w:w="5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inventory values are net of inventory write-downs as a result of obsolescence or unmarketability charged to cost of sales. As a result of certain restructuring efforts, there were write-downs of $9,319 and $10,571 during the three and six months ended June 30, 2025, respectively. As a result of certain restructuring efforts, there were write-downs of $211 and $5,617 during the three and six months ended June 30, 2024.</w:t>
      </w:r>
    </w:p>
    <w:p>
      <w:pPr>
        <w:spacing w:after="0" w:line="9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Inventory is stated net of provision of $2,364 and $5,478 as of June 30, 2025 and December 31, 2024, respectively.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20" w:hanging="812"/>
        <w:spacing w:after="0"/>
        <w:tabs>
          <w:tab w:leader="none" w:pos="8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AND LONG-TERM DEBT</w:t>
      </w:r>
    </w:p>
    <w:p>
      <w:pPr>
        <w:spacing w:after="0" w:line="16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and long-term obligations, net, are shown in the table below:</w:t>
      </w:r>
    </w:p>
    <w:p>
      <w:pPr>
        <w:spacing w:after="0" w:line="187"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59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 Notes</w:t>
            </w: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2027 Convertible Notes</w:t>
            </w:r>
          </w:p>
        </w:tc>
        <w:tc>
          <w:tcPr>
            <w:tcW w:w="2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25,450</w:t>
            </w:r>
          </w:p>
        </w:tc>
      </w:tr>
      <w:tr>
        <w:trPr>
          <w:trHeight w:val="33"/>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3"/>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 Convertible Notes</w:t>
            </w:r>
          </w:p>
        </w:tc>
        <w:tc>
          <w:tcPr>
            <w:tcW w:w="24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59,500</w:t>
            </w: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2028 Notes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3"/>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 Convertible Notes</w:t>
            </w:r>
          </w:p>
        </w:tc>
        <w:tc>
          <w:tcPr>
            <w:tcW w:w="2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19,200</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Mortgage Note</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42,923</w:t>
            </w:r>
          </w:p>
        </w:tc>
      </w:tr>
      <w:tr>
        <w:trPr>
          <w:trHeight w:val="33"/>
        </w:trPr>
        <w:tc>
          <w:tcPr>
            <w:tcW w:w="59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9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310,739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312,873</w:t>
            </w: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Unamortized debt discount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(6,156)</w:t>
            </w:r>
          </w:p>
        </w:tc>
      </w:tr>
      <w:tr>
        <w:trPr>
          <w:trHeight w:val="33"/>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940" w:type="dxa"/>
            <w:vAlign w:val="bottom"/>
            <w:tcBorders>
              <w:bottom w:val="single" w:sz="8" w:color="CAEEFB"/>
            </w:tcBorders>
            <w:shd w:val="clear" w:color="auto" w:fill="CAEEFB"/>
          </w:tcPr>
          <w:p>
            <w:pPr>
              <w:spacing w:after="0"/>
              <w:rPr>
                <w:sz w:val="20"/>
                <w:szCs w:val="20"/>
                <w:color w:val="auto"/>
              </w:rPr>
            </w:pPr>
            <w:r>
              <w:rPr>
                <w:rFonts w:ascii="Times New Roman" w:cs="Times New Roman" w:eastAsia="Times New Roman" w:hAnsi="Times New Roman"/>
                <w:sz w:val="16"/>
                <w:szCs w:val="16"/>
                <w:color w:val="auto"/>
              </w:rPr>
              <w:t>Unamortized deferred financing costs</w:t>
            </w:r>
          </w:p>
        </w:tc>
        <w:tc>
          <w:tcPr>
            <w:tcW w:w="24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(4,744)</w:t>
            </w:r>
          </w:p>
        </w:tc>
      </w:tr>
      <w:tr>
        <w:trPr>
          <w:trHeight w:val="204"/>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298,458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301,973</w:t>
            </w:r>
          </w:p>
        </w:tc>
      </w:tr>
      <w:tr>
        <w:trPr>
          <w:trHeight w:val="33"/>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current portion, net*</w:t>
            </w:r>
          </w:p>
        </w:tc>
        <w:tc>
          <w:tcPr>
            <w:tcW w:w="24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(52,461)</w:t>
            </w:r>
          </w:p>
        </w:tc>
      </w:tr>
      <w:tr>
        <w:trPr>
          <w:trHeight w:val="204"/>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Long-term portion</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297,704</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249,512</w:t>
            </w:r>
          </w:p>
        </w:tc>
      </w:tr>
      <w:tr>
        <w:trPr>
          <w:trHeight w:val="33"/>
        </w:trPr>
        <w:tc>
          <w:tcPr>
            <w:tcW w:w="5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900" w:hanging="103"/>
        <w:spacing w:after="0" w:line="282" w:lineRule="auto"/>
        <w:rPr>
          <w:sz w:val="20"/>
          <w:szCs w:val="20"/>
          <w:color w:val="auto"/>
        </w:rPr>
      </w:pPr>
      <w:r>
        <w:rPr>
          <w:rFonts w:ascii="Times New Roman" w:cs="Times New Roman" w:eastAsia="Times New Roman" w:hAnsi="Times New Roman"/>
          <w:sz w:val="18"/>
          <w:szCs w:val="18"/>
          <w:color w:val="auto"/>
        </w:rPr>
        <w:t>*The current portion of the debt includes scheduled payments on the mortgage notes, convertible notes, and notes, net of corresponding portions of the unamortized debt discount and unamortized deferred financing costs.</w:t>
      </w:r>
    </w:p>
    <w:p>
      <w:pPr>
        <w:spacing w:after="0" w:line="81"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financial covenants and was not in default of any provisions under any of its debt arrangements as of June 30, 2025.</w:t>
      </w:r>
    </w:p>
    <w:p>
      <w:pPr>
        <w:spacing w:after="0" w:line="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160"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On February 3, 2022, the Company closed a private placement (the “February 2022 Private Placement”) of $185,000 aggregate principal amount of 9.50% senior-secured first-lien notes due 2026 (the “2026 Notes”) and received aggregate gross proceeds of $153,250. The 2026 Notes were senior secured obligations of the Company and were issued at 100.0% of face value. The 2026 Notes accrued interest in arrears which was payable semi-annually and were scheduled to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senior secured first-lien notes (the “13.0% Term Debt”), pursuant to private agreements in accordance with the trust indenture, for an equivalent amount of 2026 Notes plus accrued but unpaid interest and any negotiated premium thereon.</w:t>
      </w:r>
    </w:p>
    <w:p>
      <w:pPr>
        <w:spacing w:after="0" w:line="111"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The premium and paid interest were paid out of funds raised from the February 2022 Private Placement. The total unamortized debt premium and debt issuance costs of $2,153, related to the modified portion of the 13.0% Term Debt, was being amortized over the term of the 2026 Notes using the effective interest method. The Company incurred $7,189 in creditor fees in connection with the modified 13.0% Term Debt and 2026 Notes and $301 in third-party legal fees related to 2026 Notes, which were capitalized and were being amortized over the term of the 2026 Notes using the effective interest rate method.</w:t>
      </w:r>
    </w:p>
    <w:p>
      <w:pPr>
        <w:spacing w:after="0" w:line="116"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On May 29, 2025, the 2026 Notes were exchanged for the 2028 Notes, see 2025 Debt Transactions (the 2028 Notes and the 2028 Convertible Notes). At the time of the exchange, the remaining unamortized debt premium, debt issuance costs, collector fees, and third party legal fees of $2,216 were written off.</w:t>
      </w:r>
    </w:p>
    <w:p>
      <w:pPr>
        <w:spacing w:after="0" w:line="1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146"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On March 19, 2024, the Company closed a private placement (the “March 2024 Private Placement”) of $25,750 aggregate principal amount of 9.0% senior-secured first-lien notes due 2027 (the “2027 Convertible Notes”) and received aggregate gross proceeds of $15,600. The 2027 Convertible Notes were senior secured obligations of the Company and were issued at 80.0% of face value. The 2027 Convertible Notes accrued interest in arrears which was payable semi-annually and were scheduled to mature on March 19, 2027. In connection with the offering of the 2027 Convertible Notes, the Company exchanged $5,000 of the Company’s existing 6.0% 2025 Convertible Notes. Through June 30, 2025, 983,604 shares were issued to convert $300 principal.</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The principal amount of the 2027 Convertible Notes and the conversion price were denominated in U.S. dollars. As the debt was issued out of the Company's Canadian Holding company, but the functional currency of the Company is US Dollars, the amount of the liability to be settled depends on the applicable foreign exchange rate on the date of settlement. The 2027 Convertible Notes therefore represented an obligation to issue a fixed number of shares for a variable amount of liability. Due to this conversion feature within the 2027 Convertible Notes, the Company was unable to obtain an exception from derivative accounting. Accordingly, this conversion feature was accounted for as an embedded derivative liability and measured at fair value of $2,632 on the date of issuance of debt with a corresponding debt discount and debt issuance costs of $5,952, reflected as a reduction to the carrying value of the 2027 Convertible Notes. The Company fair valued the derivative liability at each balance sheet date. Changes in fair value of the embedded derivative were recognized in the condensed consolidated interim statements of operations and comprehensive loss. The debt discount and debt issuance costs were being amortized over the term of the 2027 Convertible Notes.</w:t>
      </w:r>
    </w:p>
    <w:p>
      <w:pPr>
        <w:spacing w:after="0" w:line="113"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On May 29, 2025, the 2027 Convertible Notes were exchanged for the 2028 Notes, see 2025 Debt Transactions (the 2028 Notes and the 2028 Convertible Notes). At the time of the exchange, the remaining unamortized debt discount and debt issuance costs of $3,759 were written off.</w:t>
      </w:r>
    </w:p>
    <w:p>
      <w:pPr>
        <w:spacing w:after="0" w:line="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2025 Convertible Notes</w:t>
      </w:r>
    </w:p>
    <w:p>
      <w:pPr>
        <w:spacing w:after="0" w:line="160"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On June 29, 2021, the Company completed an offering of 6.0% Secured Convertible Notes Due 2025 (“2025 Convertible Notes”) for an aggregate principal amount of $74.5 million. The 2025 Convertible Notes were senior secured obligations of the Company and accrued interest payable semiannually in arrears and were scheduled to mature on June 29, 2025, unless earlier converted, redeemed, or repurchased. The 2025 Convertible Notes shall be convertible, at the option of the holder, from the date of issuance until the date that is 10 days prior to their maturity date into Common Shares of the Company at a conversion price equal to $6.49 payable on the business day prior to the date of conversion, adjusted downwards for any cash dividends paid to holders of Common Shares and other customary adjustments. The Company may redeem the 2025 Convertible Notes at par, in whole or in part, on or after June 29, 2023, if the volume weighted average price of the Common Shares trading on the Canadian Stock Exchange or Cboe Canada for 15 of the 30 trading days immediately preceding the day on which the Company exercises its redemption right, exceeds 120.0% of the conversion price of the 2025 Convertible Notes at a Redemption Price equal to 100.0% of the principal amount of the 2025 Convertible Notes redeemed, plus accrued but unpaid interest, if any, up to but excluding the Redemption Date.</w:t>
      </w:r>
    </w:p>
    <w:p>
      <w:pPr>
        <w:spacing w:after="0" w:line="111"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The 2025 Convertible Notes required interest-only payments until June 29, 2025, at a rate of 6.0% per annum, payable semi-annually in June and December and commencing in December 2021. The 2025 Convertible Notes were schedule to mature on June 29, 2025. The Company incurred financing costs of $3,190 in connection with the 2025 Convertible Notes. The principal amount of the 2025 Convertible Notes and the conversion price were denominated in U.S. dollars. As the debt was issued out of the Company's Canadian Holding company, but the functional currency of the Company is US Dollars, the amount of the liability to be settled depends on the applicable foreign exchange rate on the date of settlement. The 2025 Convertible Notes therefore represent an obligation to issue a fixed number of shares for a variable amount of liability. Due to this conversion feature within the 2025 Convertible Notes, the Company was unable to obtain an exception from derivative accounting. Accordingly, this conversion feature was accounted for as an embedded derivative liability and measured at fair value of $15,099 on the date of issuance of debt with a corresponding debt discount, reflected as a reduction to the carrying value of the 2025 Convertible Notes. The Company fair valued the derivative liability at each balance sheet date. Changes in fair value of the embedded derivative were recognized in the condensed consolidated interim statements of operations and comprehensive loss. The debt discount was amortized over the term of the 2025 Convertible Notes.</w:t>
      </w:r>
    </w:p>
    <w:p>
      <w:pPr>
        <w:spacing w:after="0" w:line="122"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On May 29, 2025, the 2025 Convertible Notes were exchanged for the 2028 Notes, see 2025 Debt Transactions (the 2028 Notes and the 2028 Convertible Notes). At the time of the exchange, the remaining unamortized finance costs of $973, were written off.</w:t>
      </w:r>
    </w:p>
    <w:p>
      <w:pPr>
        <w:spacing w:after="0" w:line="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January 2024 Debt Exchange</w:t>
      </w:r>
    </w:p>
    <w:p>
      <w:pPr>
        <w:spacing w:after="0" w:line="241" w:lineRule="exact"/>
        <w:rPr>
          <w:sz w:val="20"/>
          <w:szCs w:val="20"/>
          <w:color w:val="auto"/>
        </w:rPr>
      </w:pPr>
    </w:p>
    <w:p>
      <w:pPr>
        <w:jc w:val="both"/>
        <w:ind w:left="820"/>
        <w:spacing w:after="0" w:line="242" w:lineRule="auto"/>
        <w:rPr>
          <w:sz w:val="20"/>
          <w:szCs w:val="20"/>
          <w:color w:val="auto"/>
        </w:rPr>
      </w:pPr>
      <w:r>
        <w:rPr>
          <w:rFonts w:ascii="Times New Roman" w:cs="Times New Roman" w:eastAsia="Times New Roman" w:hAnsi="Times New Roman"/>
          <w:sz w:val="18"/>
          <w:szCs w:val="18"/>
          <w:color w:val="auto"/>
        </w:rPr>
        <w:t>On January 22, 2024, the Company entered into an exchange agreement, as amended on June 30, 2024 and September 30, 2024 (the “Exchange Agreement”), with certain holders of the Company’s 6.0% senior secured 2025 Convertible Notes (the “Holders”), pursuant to which the Company agreed to the repurchase of up to $25</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million principal amount of the 2025 Convertible Notes in exchange for Common Shares (the “January 2024 Debt Exchange”).</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Pursuant to the terms of the Exchange Agreement, the Holders shall:</w:t>
      </w:r>
    </w:p>
    <w:p>
      <w:pPr>
        <w:spacing w:after="0" w:line="144" w:lineRule="exact"/>
        <w:rPr>
          <w:sz w:val="20"/>
          <w:szCs w:val="20"/>
          <w:color w:val="auto"/>
        </w:rPr>
      </w:pPr>
    </w:p>
    <w:p>
      <w:pPr>
        <w:jc w:val="both"/>
        <w:ind w:left="2280" w:hanging="1157"/>
        <w:spacing w:after="0" w:line="266" w:lineRule="auto"/>
        <w:tabs>
          <w:tab w:leader="none" w:pos="2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January 31, 2024, transfer $5 million principal amount of 2025 Convertible Notes in consideration of Common Shares issued at a price per Common Share equal to the greater of C$0.41 per Common Share and the 12.5% discount to the 5 days volume weighted average price of the Common Shares on Cboe prior to receipt of a Transfer notice;</w:t>
      </w:r>
    </w:p>
    <w:p>
      <w:pPr>
        <w:spacing w:after="0" w:line="108" w:lineRule="exact"/>
        <w:rPr>
          <w:rFonts w:ascii="Times New Roman" w:cs="Times New Roman" w:eastAsia="Times New Roman" w:hAnsi="Times New Roman"/>
          <w:sz w:val="18"/>
          <w:szCs w:val="18"/>
          <w:color w:val="auto"/>
        </w:rPr>
      </w:pPr>
    </w:p>
    <w:p>
      <w:pPr>
        <w:jc w:val="both"/>
        <w:ind w:left="2280" w:hanging="1157"/>
        <w:spacing w:after="0" w:line="266" w:lineRule="auto"/>
        <w:tabs>
          <w:tab w:leader="none" w:pos="2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five-day volume weighted average price of the Common Shares on the Exchange is greater than C$0.47 as of the close of trading at 4:01pm on January 31, 2024, transfer $5 million principal amount of 2025 Convertible Notes in consideration of Common Shares issued at the Initial Exchange Price on or prior to February 29, 2024; and</w:t>
      </w:r>
    </w:p>
    <w:p>
      <w:pPr>
        <w:spacing w:after="0" w:line="108" w:lineRule="exact"/>
        <w:rPr>
          <w:rFonts w:ascii="Times New Roman" w:cs="Times New Roman" w:eastAsia="Times New Roman" w:hAnsi="Times New Roman"/>
          <w:sz w:val="18"/>
          <w:szCs w:val="18"/>
          <w:color w:val="auto"/>
        </w:rPr>
      </w:pPr>
    </w:p>
    <w:p>
      <w:pPr>
        <w:jc w:val="both"/>
        <w:ind w:left="2280" w:hanging="1157"/>
        <w:spacing w:after="0" w:line="254" w:lineRule="auto"/>
        <w:tabs>
          <w:tab w:leader="none" w:pos="2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June 30, 2025, (which date the parties extended to December 31, 2024), transfer in three separate equal tranches, an aggregate of $15 million principal amount of 2025 Convertible Notes in consideration of Common Shares issued at a price per Common Share equal to the greater of C$0.57 per Common Share and the 12.5% discount to the 5 days volume weighted average price of the Common Shares on Cboe prior to receipt of a Transfer notice, in each case, subject to adjustment in certain instances, on or prior to December 31, 2024.</w:t>
      </w:r>
    </w:p>
    <w:p>
      <w:pPr>
        <w:spacing w:after="0" w:line="192"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Through December 31, 2024, $10 million of the potential $25 million exchange had been completed. The term of the Exchange Agreement expired as of January 31, 2025.</w:t>
      </w:r>
    </w:p>
    <w:p>
      <w:pPr>
        <w:spacing w:after="0" w:line="1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2025 Debt Transaction (the 2028 Notes and the 2028 Convertible Notes)</w:t>
      </w:r>
    </w:p>
    <w:p>
      <w:pPr>
        <w:spacing w:after="0" w:line="18" w:lineRule="exact"/>
        <w:rPr>
          <w:sz w:val="20"/>
          <w:szCs w:val="20"/>
          <w:color w:val="auto"/>
        </w:rPr>
      </w:pPr>
    </w:p>
    <w:p>
      <w:pPr>
        <w:jc w:val="both"/>
        <w:ind w:left="820"/>
        <w:spacing w:after="0" w:line="234" w:lineRule="auto"/>
        <w:rPr>
          <w:sz w:val="20"/>
          <w:szCs w:val="20"/>
          <w:color w:val="auto"/>
        </w:rPr>
      </w:pPr>
      <w:r>
        <w:rPr>
          <w:rFonts w:ascii="Times New Roman" w:cs="Times New Roman" w:eastAsia="Times New Roman" w:hAnsi="Times New Roman"/>
          <w:sz w:val="18"/>
          <w:szCs w:val="18"/>
          <w:color w:val="auto"/>
        </w:rPr>
        <w:t>On February 27, 2025, the Company entered into a support agreement (the “Support Agreement”) with certain holders (the “Supporting Noteholders”) of the aggregate principal amount of issued Senior Notes (as defined below) regarding the exchange of their Senior Notes for new notes having a later maturity date and additional covenants (the “2025 Debt Transaction”). The Senior Notes consist of: (i) the 2025 Convertible Notes; (ii) the 2026 Notes; and (iii) the 2027 Notes (together with the 2025 Convertible Notes and the 2026 Notes, the “Senior Notes”). Under the terms of the 2025 Debt Transaction, among other provisions, the holders of the 2025 Convertible Notes and the 2026 Notes exchanged their Senior Notes for an equal principal amount of 9.25% Senior Secured Notes due December 31, 2028 (subject to two six-month extension options available to the Company upon payment of a 0.5% fee, payable in cash) (the “2028 Notes”) and the holders of the 2027 Notes received either (i) an equal principal amount of the 2028 Notes or (ii) if elected, an equal principal amount of newly issued 9.0% convertible notes, which have the same conversion price as the existing 2027 Notes but will the same extended maturity date as the 2028 Notes (the “2028 Convertible Notes”, and together with the 2028 Notes, the “New Notes”).</w:t>
      </w:r>
    </w:p>
    <w:p>
      <w:pPr>
        <w:spacing w:after="0" w:line="216" w:lineRule="exact"/>
        <w:rPr>
          <w:sz w:val="20"/>
          <w:szCs w:val="20"/>
          <w:color w:val="auto"/>
        </w:rPr>
      </w:pPr>
    </w:p>
    <w:p>
      <w:pPr>
        <w:jc w:val="both"/>
        <w:ind w:left="820"/>
        <w:spacing w:after="0" w:line="236" w:lineRule="auto"/>
        <w:rPr>
          <w:sz w:val="20"/>
          <w:szCs w:val="20"/>
          <w:color w:val="auto"/>
        </w:rPr>
      </w:pPr>
      <w:r>
        <w:rPr>
          <w:rFonts w:ascii="Times New Roman" w:cs="Times New Roman" w:eastAsia="Times New Roman" w:hAnsi="Times New Roman"/>
          <w:sz w:val="18"/>
          <w:szCs w:val="18"/>
          <w:color w:val="auto"/>
        </w:rPr>
        <w:t>The 2028 Notes and 2028 Convertible Notes require interest-only payments until December 31, 2028, payable semi-annually in June and December and commencing in December 2025 until maturity. The Company incurred financing costs of $12,155 in connection with the 2025 Debt Transaction. The principal amount of the 2028 Convertible Notes and the conversion price are denominated in U.S. dollars. As the debt was issued out of the Company's Canadian Holding company, but the functional currency of the Company is US Dollars, the amount of the liability to be settled depends on the applicable foreign exchange rate on the date of settlement. The 2028 Convertible Notes therefore represent an obligation to issue a fixed number of shares for a variable amount of liability. Due to this conversion feature within the 2028 Convertible Notes, the Company is unable to obtain an exception from derivative accounting. Accordingly, this conversion feature was accounted for as an embedded derivative liability and measured at fair value of $230 on the date of issuance of debt with a corresponding debt discount, reflected as a reduction to the carrying value of the 2028 Convertible Notes. The Company fair values the derivative liability at each balance sheet date. Changes in fair value of the embedded derivative are recognized in the condensed consolidated interim statements of operations and comprehensive loss. The debt financing costs are amortized over the term of the 2028 Notes and 2028 Convertible Notes.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part of the 2025 Debt Transaction, the Company issued 118,209,105 warrants to the Company shareholders on a pro rata basis, see Note 10 Warrants.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2028 Notes and 2028 Convertible Notes are secured by a first-priority security interest in all present and after-acquired personal property of the Company, including a pledge of the Equity Interests owned by the Issuer and each Guarantor; and a collateral assignment of leases in respect of certain leasehold property and all of the Company's interests therein as defined in the Amended and Restated Trust Indenture.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completed its 2025 Debt Transaction effective May 29, 2025 following receipt of court approval.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Company entered into a term loan and security agreement with a bank. The agreement provides for a $20,000 mortgage on real property in New York and carries interest at a variable rate per annum equal to the Wall Street Prime Rate (“Index”) plus 2.25%. The debt is repayable in 59 monthly installments and a final balloon payment due on January 1, 2027, which is estimated at $17,920 as of June 30, 2025. In connection with this mortgage, the Company incurred financing costs of $655.</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entered into a term loan and security agreement with a bank. The agreement provides for a $16,500 mortgage on real property in New Jersey and carries interest at a variable rate per annum equal to the Index plus 2.25%. The debt is repayable in 59 monthly installments and a final balloon payment due on July 15, 2027, which is estimated at $15,549 as of June 30, 2025. In connection with this mortgage, the Company incurred financing costs of $209.</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10, 2023, the Company entered into two term loans and security agreements with a bank as follows:</w:t>
      </w:r>
    </w:p>
    <w:p>
      <w:pPr>
        <w:spacing w:after="0" w:line="144" w:lineRule="exact"/>
        <w:rPr>
          <w:sz w:val="20"/>
          <w:szCs w:val="20"/>
          <w:color w:val="auto"/>
        </w:rPr>
      </w:pPr>
    </w:p>
    <w:p>
      <w:pPr>
        <w:jc w:val="both"/>
        <w:ind w:left="1620" w:hanging="1145"/>
        <w:spacing w:after="0" w:line="261" w:lineRule="auto"/>
        <w:tabs>
          <w:tab w:leader="none" w:pos="16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first agreement provides for a $6,250 mortgage on real property in Maryland and carries interest at a variable rate per annum equal to the Index plus 2.25%. The debt is repayable in 59 monthly installments and matures in August 2028. In connection with this mortgage, the Company incurred financing costs of $195 and netted $2,903 after the repayment of a prior outstanding mortgage on the property.</w:t>
      </w:r>
    </w:p>
    <w:p>
      <w:pPr>
        <w:spacing w:after="0" w:line="112" w:lineRule="exact"/>
        <w:rPr>
          <w:rFonts w:ascii="Times New Roman" w:cs="Times New Roman" w:eastAsia="Times New Roman" w:hAnsi="Times New Roman"/>
          <w:sz w:val="18"/>
          <w:szCs w:val="18"/>
          <w:color w:val="auto"/>
        </w:rPr>
      </w:pPr>
    </w:p>
    <w:p>
      <w:pPr>
        <w:jc w:val="both"/>
        <w:ind w:left="1620" w:hanging="1145"/>
        <w:spacing w:after="0" w:line="261" w:lineRule="auto"/>
        <w:tabs>
          <w:tab w:leader="none" w:pos="16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second agreement provides for a $1,800 mortgage on real property in Delaware and carries interest at a variable rate per annum equal to the Index plus 2.25%. The debt is repayable in 59 monthly installments and matures in August 2028. In connection with this mortgage</w:t>
      </w:r>
      <w:r>
        <w:rPr>
          <w:rFonts w:ascii="Times New Roman" w:cs="Times New Roman" w:eastAsia="Times New Roman" w:hAnsi="Times New Roman"/>
          <w:sz w:val="18"/>
          <w:szCs w:val="18"/>
          <w:color w:val="000000"/>
        </w:rPr>
        <w:t>, the Company incurred financing costs of $77 and netted $1,723. The mortgage was paid in full on January 15, 2025 with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sale of the property.</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interest and amortization expense on the Company’s debt obligations during the three and six months ended June 30, 2025 and 2024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3000" w:type="dxa"/>
            <w:vAlign w:val="bottom"/>
            <w:gridSpan w:val="4"/>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9"/>
        </w:trPr>
        <w:tc>
          <w:tcPr>
            <w:tcW w:w="3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31"/>
        </w:trPr>
        <w:tc>
          <w:tcPr>
            <w:tcW w:w="31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6,929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14,713</w:t>
            </w:r>
          </w:p>
        </w:tc>
      </w:tr>
      <w:tr>
        <w:trPr>
          <w:trHeight w:val="21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w:t>
            </w:r>
          </w:p>
        </w:tc>
      </w:tr>
      <w:tr>
        <w:trPr>
          <w:trHeight w:val="33"/>
        </w:trPr>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1,802</w:t>
            </w:r>
          </w:p>
        </w:tc>
      </w:tr>
      <w:tr>
        <w:trPr>
          <w:trHeight w:val="210"/>
        </w:trPr>
        <w:tc>
          <w:tcPr>
            <w:tcW w:w="3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interest expense (income),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33"/>
        </w:trPr>
        <w:tc>
          <w:tcPr>
            <w:tcW w:w="3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2"/>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interest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18,750</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-822325</wp:posOffset>
            </wp:positionV>
            <wp:extent cx="13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-822325</wp:posOffset>
            </wp:positionV>
            <wp:extent cx="596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 average interest rate on the Company’s indebtedness was 9.23%.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Details of the Company’s property and equipment and related depreciation expense are summarized in the tables below:</w:t>
      </w:r>
    </w:p>
    <w:p>
      <w:pPr>
        <w:spacing w:after="0" w:line="187"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59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Land and buildings</w:t>
            </w:r>
          </w:p>
        </w:tc>
        <w:tc>
          <w:tcPr>
            <w:tcW w:w="26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109,052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115,277</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6,804</w:t>
            </w:r>
          </w:p>
        </w:tc>
      </w:tr>
      <w:tr>
        <w:trPr>
          <w:trHeight w:val="33"/>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3"/>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26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30,349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34,367</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r>
      <w:tr>
        <w:trPr>
          <w:trHeight w:val="33"/>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3"/>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6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148,627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155,529</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6,565</w:t>
            </w:r>
          </w:p>
        </w:tc>
      </w:tr>
      <w:tr>
        <w:trPr>
          <w:trHeight w:val="33"/>
        </w:trPr>
        <w:tc>
          <w:tcPr>
            <w:tcW w:w="59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property and equipment, gross</w:t>
            </w:r>
          </w:p>
        </w:tc>
        <w:tc>
          <w:tcPr>
            <w:tcW w:w="26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300,533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320,905</w:t>
            </w:r>
          </w:p>
        </w:tc>
      </w:tr>
      <w:tr>
        <w:trPr>
          <w:trHeight w:val="210"/>
        </w:trPr>
        <w:tc>
          <w:tcPr>
            <w:tcW w:w="5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(92,509)</w:t>
            </w:r>
          </w:p>
        </w:tc>
      </w:tr>
      <w:tr>
        <w:trPr>
          <w:trHeight w:val="33"/>
        </w:trPr>
        <w:tc>
          <w:tcPr>
            <w:tcW w:w="59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8"/>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property and equipment, net</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212,442</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228,396</w:t>
            </w:r>
          </w:p>
        </w:tc>
      </w:tr>
      <w:tr>
        <w:trPr>
          <w:trHeight w:val="20"/>
        </w:trPr>
        <w:tc>
          <w:tcPr>
            <w:tcW w:w="59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620" w:type="dxa"/>
            <w:vAlign w:val="bottom"/>
            <w:tcBorders>
              <w:top w:val="single" w:sz="8" w:color="CFF0FC"/>
              <w:bottom w:val="single" w:sz="8" w:color="auto"/>
            </w:tcBorders>
          </w:tcPr>
          <w:p>
            <w:pPr>
              <w:spacing w:after="0" w:line="20" w:lineRule="exact"/>
              <w:rPr>
                <w:sz w:val="1"/>
                <w:szCs w:val="1"/>
                <w:color w:val="auto"/>
              </w:rPr>
            </w:pPr>
          </w:p>
        </w:tc>
      </w:tr>
    </w:tbl>
    <w:p>
      <w:pPr>
        <w:spacing w:after="0" w:line="268"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3500" w:type="dxa"/>
            <w:vAlign w:val="bottom"/>
            <w:gridSpan w:val="4"/>
          </w:tcPr>
          <w:p>
            <w:pPr>
              <w:ind w:left="102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33"/>
        </w:trPr>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6"/>
        </w:trPr>
        <w:tc>
          <w:tcPr>
            <w:tcW w:w="28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31"/>
        </w:trPr>
        <w:tc>
          <w:tcPr>
            <w:tcW w:w="286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55"/>
        </w:trPr>
        <w:tc>
          <w:tcPr>
            <w:tcW w:w="286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Total depreciation expense for three and</w:t>
            </w:r>
          </w:p>
        </w:tc>
        <w:tc>
          <w:tcPr>
            <w:tcW w:w="1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r>
      <w:tr>
        <w:trPr>
          <w:trHeight w:val="223"/>
        </w:trPr>
        <w:tc>
          <w:tcPr>
            <w:tcW w:w="2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six months ended</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8,314</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FF0FC"/>
            </w:tcBorders>
            <w:shd w:val="clear" w:color="auto" w:fill="CFF0FC"/>
          </w:tcPr>
          <w:p>
            <w:pPr>
              <w:ind w:left="1040"/>
              <w:spacing w:after="0"/>
              <w:rPr>
                <w:sz w:val="20"/>
                <w:szCs w:val="20"/>
                <w:color w:val="auto"/>
              </w:rPr>
            </w:pPr>
            <w:r>
              <w:rPr>
                <w:rFonts w:ascii="Times New Roman" w:cs="Times New Roman" w:eastAsia="Times New Roman" w:hAnsi="Times New Roman"/>
                <w:sz w:val="16"/>
                <w:szCs w:val="16"/>
                <w:color w:val="auto"/>
              </w:rPr>
              <w:t>9,211</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16,652</w:t>
            </w: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Included in:</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5"/>
        </w:trPr>
        <w:tc>
          <w:tcPr>
            <w:tcW w:w="286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Costs of sales related to inventory</w:t>
            </w: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23"/>
        </w:trPr>
        <w:tc>
          <w:tcPr>
            <w:tcW w:w="2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production</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FF0FC"/>
            </w:tcBorders>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6,007</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10,417</w:t>
            </w:r>
          </w:p>
        </w:tc>
      </w:tr>
      <w:tr>
        <w:trPr>
          <w:trHeight w:val="175"/>
        </w:trPr>
        <w:tc>
          <w:tcPr>
            <w:tcW w:w="28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3,204</w:t>
            </w:r>
          </w:p>
        </w:tc>
        <w:tc>
          <w:tcPr>
            <w:tcW w:w="3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6,235</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prepaid expenses and other current assets are summarized in the table below:</w:t>
      </w:r>
    </w:p>
    <w:p>
      <w:pPr>
        <w:spacing w:after="0" w:line="20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5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8,719</w:t>
            </w: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 term deposits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r>
      <w:tr>
        <w:trPr>
          <w:trHeight w:val="33"/>
        </w:trPr>
        <w:tc>
          <w:tcPr>
            <w:tcW w:w="5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Excise and sales tax receivable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33"/>
        </w:trPr>
        <w:tc>
          <w:tcPr>
            <w:tcW w:w="5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2"/>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11,794</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NON-CURRENT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other non-current assets are summarized in the table below:</w:t>
      </w:r>
    </w:p>
    <w:p>
      <w:pPr>
        <w:spacing w:after="0" w:line="187"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59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6"/>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 term deposits</w:t>
            </w:r>
          </w:p>
        </w:tc>
        <w:tc>
          <w:tcPr>
            <w:tcW w:w="26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8,604</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tax receivable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r>
      <w:tr>
        <w:trPr>
          <w:trHeight w:val="33"/>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3"/>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in affiliates</w:t>
            </w:r>
          </w:p>
        </w:tc>
        <w:tc>
          <w:tcPr>
            <w:tcW w:w="26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4,323</w:t>
            </w:r>
          </w:p>
        </w:tc>
      </w:tr>
      <w:tr>
        <w:trPr>
          <w:trHeight w:val="33"/>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1"/>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21" w:right="10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accrued expenses and other current liabilities are summarized in the table below:</w:t>
      </w:r>
    </w:p>
    <w:p>
      <w:pPr>
        <w:spacing w:after="0" w:line="187"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70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Taxes - property and other</w:t>
            </w:r>
          </w:p>
        </w:tc>
        <w:tc>
          <w:tcPr>
            <w:tcW w:w="26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4,912</w:t>
            </w: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13,477</w:t>
            </w:r>
          </w:p>
        </w:tc>
      </w:tr>
      <w:tr>
        <w:trPr>
          <w:trHeight w:val="33"/>
        </w:trPr>
        <w:tc>
          <w:tcPr>
            <w:tcW w:w="7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Payroll liabilities</w:t>
            </w:r>
          </w:p>
        </w:tc>
        <w:tc>
          <w:tcPr>
            <w:tcW w:w="26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7,917</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10,709</w:t>
            </w: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w:t>
            </w:r>
          </w:p>
        </w:tc>
      </w:tr>
      <w:tr>
        <w:trPr>
          <w:trHeight w:val="33"/>
        </w:trPr>
        <w:tc>
          <w:tcPr>
            <w:tcW w:w="70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2"/>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Accrued expenses and other current liabilities</w:t>
            </w:r>
          </w:p>
        </w:tc>
        <w:tc>
          <w:tcPr>
            <w:tcW w:w="26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18,551</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32,839</w:t>
            </w:r>
          </w:p>
        </w:tc>
      </w:tr>
      <w:tr>
        <w:trPr>
          <w:trHeight w:val="20"/>
        </w:trPr>
        <w:tc>
          <w:tcPr>
            <w:tcW w:w="70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activity during the three and six months ended June 30, 2025:</w:t>
      </w:r>
    </w:p>
    <w:p>
      <w:pPr>
        <w:spacing w:after="0" w:line="50" w:lineRule="exact"/>
        <w:rPr>
          <w:sz w:val="20"/>
          <w:szCs w:val="20"/>
          <w:color w:val="auto"/>
        </w:rPr>
      </w:pPr>
    </w:p>
    <w:p>
      <w:pPr>
        <w:ind w:left="1540" w:hanging="803"/>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Cancelled 93,662 of Restricted Stock Units (RSUs) during the six months ended June 30, 2025.</w:t>
      </w:r>
    </w:p>
    <w:p>
      <w:pPr>
        <w:spacing w:after="0" w:line="184" w:lineRule="exact"/>
        <w:rPr>
          <w:rFonts w:ascii="Times New Roman" w:cs="Times New Roman" w:eastAsia="Times New Roman" w:hAnsi="Times New Roman"/>
          <w:sz w:val="18"/>
          <w:szCs w:val="18"/>
          <w:color w:val="auto"/>
        </w:rPr>
      </w:pPr>
    </w:p>
    <w:p>
      <w:pPr>
        <w:ind w:left="1540" w:hanging="803"/>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6,872,394 common shares upon vesting of Restricted Stock Units (RSUs).</w:t>
      </w:r>
    </w:p>
    <w:p>
      <w:pPr>
        <w:spacing w:after="0" w:line="157" w:lineRule="exact"/>
        <w:rPr>
          <w:rFonts w:ascii="Times New Roman" w:cs="Times New Roman" w:eastAsia="Times New Roman" w:hAnsi="Times New Roman"/>
          <w:sz w:val="18"/>
          <w:szCs w:val="18"/>
          <w:color w:val="auto"/>
        </w:rPr>
      </w:pPr>
    </w:p>
    <w:p>
      <w:pPr>
        <w:ind w:left="1540" w:hanging="803"/>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19,328,305 common shares in connection with the 2028 Convertible Notes.</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2025 and December 31, 2024, outstanding warrants to purchase Common Shares consisted of the following:</w:t>
      </w:r>
    </w:p>
    <w:p>
      <w:pPr>
        <w:spacing w:after="0" w:line="201" w:lineRule="exact"/>
        <w:rPr>
          <w:sz w:val="20"/>
          <w:szCs w:val="20"/>
          <w:color w:val="auto"/>
        </w:rPr>
      </w:pPr>
    </w:p>
    <w:tbl>
      <w:tblPr>
        <w:tblLayout w:type="fixed"/>
        <w:tblInd w:w="780" w:type="dxa"/>
        <w:tblCellMar>
          <w:top w:w="0" w:type="dxa"/>
          <w:left w:w="0" w:type="dxa"/>
          <w:bottom w:w="0" w:type="dxa"/>
          <w:right w:w="0" w:type="dxa"/>
        </w:tblCellMar>
      </w:tblPr>
      <w:tr>
        <w:trPr>
          <w:trHeight w:val="212"/>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180" w:type="dxa"/>
            <w:vAlign w:val="bottom"/>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67"/>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Issued and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1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Issued and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26"/>
        </w:trPr>
        <w:tc>
          <w:tcPr>
            <w:tcW w:w="3240" w:type="dxa"/>
            <w:vAlign w:val="bottom"/>
            <w:gridSpan w:val="2"/>
          </w:tcPr>
          <w:p>
            <w:pPr>
              <w:ind w:left="120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0" w:type="dxa"/>
            <w:vAlign w:val="bottom"/>
          </w:tcPr>
          <w:p>
            <w:pPr>
              <w:spacing w:after="0"/>
              <w:rPr>
                <w:sz w:val="19"/>
                <w:szCs w:val="19"/>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(Canadian Dollars)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(Canadian Dollars)</w:t>
            </w:r>
          </w:p>
        </w:tc>
      </w:tr>
      <w:tr>
        <w:trPr>
          <w:trHeight w:val="33"/>
        </w:trPr>
        <w:tc>
          <w:tcPr>
            <w:tcW w:w="3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6"/>
        </w:trPr>
        <w:tc>
          <w:tcPr>
            <w:tcW w:w="3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21, 2026</w:t>
            </w:r>
          </w:p>
        </w:tc>
        <w:tc>
          <w:tcPr>
            <w:tcW w:w="10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11,122,105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11,122,105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0"/>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October 1, 2025</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3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May 29, 2027</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118,246,947</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130,017,835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11,770,888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bl>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Warrant activity for the six months ended June 30, 2025 and 2024 are summarized in the table below:</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175"/>
        </w:trPr>
        <w:tc>
          <w:tcPr>
            <w:tcW w:w="5940" w:type="dxa"/>
            <w:vAlign w:val="bottom"/>
          </w:tcPr>
          <w:p>
            <w:pPr>
              <w:spacing w:after="0"/>
              <w:rPr>
                <w:sz w:val="15"/>
                <w:szCs w:val="15"/>
                <w:color w:val="auto"/>
              </w:rPr>
            </w:pPr>
          </w:p>
        </w:tc>
        <w:tc>
          <w:tcPr>
            <w:tcW w:w="158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5"/>
                <w:szCs w:val="15"/>
                <w:color w:val="auto"/>
              </w:rPr>
            </w:pPr>
          </w:p>
        </w:tc>
        <w:tc>
          <w:tcPr>
            <w:tcW w:w="140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79"/>
        </w:trPr>
        <w:tc>
          <w:tcPr>
            <w:tcW w:w="5940" w:type="dxa"/>
            <w:vAlign w:val="bottom"/>
            <w:tcBorders>
              <w:bottom w:val="single" w:sz="8" w:color="CCEEFF"/>
            </w:tcBorders>
          </w:tcPr>
          <w:p>
            <w:pPr>
              <w:spacing w:after="0"/>
              <w:rPr>
                <w:sz w:val="24"/>
                <w:szCs w:val="2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(Canadian Dollars)</w:t>
            </w:r>
          </w:p>
        </w:tc>
      </w:tr>
      <w:tr>
        <w:trPr>
          <w:trHeight w:val="210"/>
        </w:trPr>
        <w:tc>
          <w:tcPr>
            <w:tcW w:w="5940" w:type="dxa"/>
            <w:vAlign w:val="bottom"/>
            <w:tcBorders>
              <w:top w:val="single" w:sz="8" w:color="CCEEFF"/>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4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17,165,833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Issued</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Expired</w:t>
            </w:r>
          </w:p>
        </w:tc>
        <w:tc>
          <w:tcPr>
            <w:tcW w:w="1580" w:type="dxa"/>
            <w:vAlign w:val="bottom"/>
            <w:tcBorders>
              <w:bottom w:val="single" w:sz="8" w:color="CFF0FC"/>
            </w:tcBorders>
            <w:gridSpan w:val="2"/>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17,165,833</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33"/>
        </w:trPr>
        <w:tc>
          <w:tcPr>
            <w:tcW w:w="5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09"/>
        </w:trPr>
        <w:tc>
          <w:tcPr>
            <w:tcW w:w="594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17"/>
        </w:trPr>
        <w:tc>
          <w:tcPr>
            <w:tcW w:w="5940" w:type="dxa"/>
            <w:vAlign w:val="bottom"/>
            <w:tcBorders>
              <w:top w:val="single" w:sz="8" w:color="CCEEFF"/>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4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11,770,888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Issued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118,246,947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33"/>
        </w:trPr>
        <w:tc>
          <w:tcPr>
            <w:tcW w:w="5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Expired</w:t>
            </w:r>
          </w:p>
        </w:tc>
        <w:tc>
          <w:tcPr>
            <w:tcW w:w="1580" w:type="dxa"/>
            <w:vAlign w:val="bottom"/>
            <w:tcBorders>
              <w:bottom w:val="single" w:sz="8" w:color="CFF0FC"/>
            </w:tcBorders>
            <w:gridSpan w:val="2"/>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130,017,835</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0.34</w:t>
            </w:r>
          </w:p>
        </w:tc>
      </w:tr>
      <w:tr>
        <w:trPr>
          <w:trHeight w:val="33"/>
        </w:trPr>
        <w:tc>
          <w:tcPr>
            <w:tcW w:w="5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the Company was calculated as follows: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4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9"/>
        </w:trPr>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31"/>
        </w:trPr>
        <w:tc>
          <w:tcPr>
            <w:tcW w:w="45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3"/>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r>
      <w:tr>
        <w:trPr>
          <w:trHeight w:val="210"/>
        </w:trPr>
        <w:tc>
          <w:tcPr>
            <w:tcW w:w="4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(77,386)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(48,211)</w:t>
            </w:r>
          </w:p>
        </w:tc>
      </w:tr>
      <w:tr>
        <w:trPr>
          <w:trHeight w:val="33"/>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5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Less: net profit attributable to non-controlling interests</w:t>
            </w:r>
          </w:p>
        </w:tc>
        <w:tc>
          <w:tcPr>
            <w:tcW w:w="1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1,203</w:t>
            </w:r>
          </w:p>
        </w:tc>
      </w:tr>
      <w:tr>
        <w:trPr>
          <w:trHeight w:val="204"/>
        </w:trPr>
        <w:tc>
          <w:tcPr>
            <w:tcW w:w="4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 attributable to shareholders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(77,881)</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(110,085)</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(49,414)</w:t>
            </w:r>
          </w:p>
        </w:tc>
      </w:tr>
      <w:tr>
        <w:trPr>
          <w:trHeight w:val="33"/>
        </w:trPr>
        <w:tc>
          <w:tcPr>
            <w:tcW w:w="4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5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5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1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484,713,110</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460,653,957</w:t>
            </w: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478,894,930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453,143,911</w:t>
            </w:r>
          </w:p>
        </w:tc>
      </w:tr>
      <w:tr>
        <w:trPr>
          <w:trHeight w:val="204"/>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per share - basic and diluted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33"/>
        </w:trPr>
        <w:tc>
          <w:tcPr>
            <w:tcW w:w="4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-668020</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-668020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-1319530</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-1319530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Certain share-based equity awards were excluded from the computation of dilutive loss per share because inclusion of these awards would have had an anti-dilutive effect.</w:t>
      </w:r>
    </w:p>
    <w:p>
      <w:pPr>
        <w:spacing w:after="0" w:line="374"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w:t>
      </w:r>
    </w:p>
    <w:p>
      <w:pPr>
        <w:spacing w:after="0" w:line="11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the Company may be contingently liable with respect to other claims incidental to the ordinary course of its operations. Except as described below, in the opinion of management, and based on management’s consultation with legal counsel, the ultimate outcome of such other matters will not have a materially adverse effect on the Company. Accordingly, no provision has been made in these consolidated financial statements for losses, if any, which might result from the ultimate disposition of these matters should they arise.</w:t>
      </w:r>
    </w:p>
    <w:p>
      <w:pPr>
        <w:spacing w:after="0" w:line="206"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Murchinson Ltd., an investment manager of holders of 2025 Convertible Notes and 2027 Convertible Notes, subsequently exchanged for 2028 Notes (the “Applicant”), filed an application in the Ontario Superior Court of Justice (Commercial List) (the "Court") on March 27, 2025, opposing the 2025 Debt Transaction and claiming the transaction was oppressive to the Applicant. The application filed by the Applicant also claimed breach of contract and civil conspiracy. The Applicant sought from the court, among other forms of relief, that the 2025 Debt Transaction be declared unlawful under the terms of the Canadian Business Corporations Act, an award of unspecified damages, and recovery of costs. By order dated May 21, 2025, the Court ruled in favor of the Company and the 2025 Debt Transaction was subsequently closed. Murchinson Ltd. has filed appeals to the Court of Appeal for Toronto that are currently pending.</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right="5400" w:hanging="332"/>
        <w:spacing w:after="0" w:line="417" w:lineRule="auto"/>
        <w:tabs>
          <w:tab w:leader="none" w:pos="331"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AND FAIR VALUE MEASUREMENTS </w:t>
      </w:r>
      <w:r>
        <w:rPr>
          <w:rFonts w:ascii="Times New Roman" w:cs="Times New Roman" w:eastAsia="Times New Roman" w:hAnsi="Times New Roman"/>
          <w:sz w:val="18"/>
          <w:szCs w:val="18"/>
          <w:i w:val="1"/>
          <w:iCs w:val="1"/>
          <w:u w:val="single" w:color="auto"/>
          <w:color w:val="auto"/>
        </w:rPr>
        <w:t>Fair Value Measurements</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Company’s financial instruments that are measured at fair value on a recurring basis:</w:t>
      </w:r>
    </w:p>
    <w:p>
      <w:pPr>
        <w:spacing w:after="0" w:line="201" w:lineRule="exact"/>
        <w:rPr>
          <w:sz w:val="20"/>
          <w:szCs w:val="20"/>
          <w:color w:val="auto"/>
        </w:rPr>
      </w:pPr>
    </w:p>
    <w:tbl>
      <w:tblPr>
        <w:tblLayout w:type="fixed"/>
        <w:tblInd w:w="110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3,860</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3,860</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3,860</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3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gridSpan w:val="2"/>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gridSpan w:val="2"/>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20" w:type="dxa"/>
            <w:vAlign w:val="bottom"/>
            <w:tcBorders>
              <w:top w:val="single" w:sz="8" w:color="CFF0FC"/>
            </w:tcBorders>
            <w:vMerge w:val="continue"/>
          </w:tcPr>
          <w:p>
            <w:pPr>
              <w:spacing w:after="0"/>
              <w:rPr>
                <w:sz w:val="16"/>
                <w:szCs w:val="16"/>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0" w:type="dxa"/>
            <w:vAlign w:val="bottom"/>
          </w:tcPr>
          <w:p>
            <w:pPr>
              <w:spacing w:after="0"/>
              <w:rPr>
                <w:sz w:val="1"/>
                <w:szCs w:val="1"/>
                <w:color w:val="auto"/>
              </w:rPr>
            </w:pPr>
          </w:p>
        </w:tc>
      </w:tr>
      <w:tr>
        <w:trPr>
          <w:trHeight w:val="237"/>
        </w:trPr>
        <w:tc>
          <w:tcPr>
            <w:tcW w:w="28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 liability</w:t>
            </w:r>
          </w:p>
        </w:tc>
        <w:tc>
          <w:tcPr>
            <w:tcW w:w="3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gridSpan w:val="2"/>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gridSpan w:val="2"/>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20" w:type="dxa"/>
            <w:vAlign w:val="bottom"/>
            <w:tcBorders>
              <w:top w:val="single" w:sz="8" w:color="CFF0FC"/>
              <w:bottom w:val="single" w:sz="8" w:color="CFF0FC"/>
            </w:tcBorders>
            <w:vMerge w:val="continue"/>
          </w:tcPr>
          <w:p>
            <w:pPr>
              <w:spacing w:after="0"/>
              <w:rPr>
                <w:sz w:val="16"/>
                <w:szCs w:val="16"/>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bottom w:val="single" w:sz="8" w:color="CFF0FC"/>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period included in these financial statements, there were no transfers of amounts between levels.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investment securities are stated at observable inputs such as quoted prices in active markets.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valuation techniques and key inputs used in the fair value measurement of Level 3 financial instruments: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216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Financial asset/financial</w:t>
            </w:r>
          </w:p>
        </w:tc>
        <w:tc>
          <w:tcPr>
            <w:tcW w:w="2040" w:type="dxa"/>
            <w:vAlign w:val="bottom"/>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Valuation techniques</w:t>
            </w:r>
          </w:p>
        </w:tc>
        <w:tc>
          <w:tcPr>
            <w:tcW w:w="212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Relationship of unobservable</w:t>
            </w:r>
          </w:p>
        </w:tc>
        <w:tc>
          <w:tcPr>
            <w:tcW w:w="0" w:type="dxa"/>
            <w:vAlign w:val="bottom"/>
          </w:tcPr>
          <w:p>
            <w:pPr>
              <w:spacing w:after="0"/>
              <w:rPr>
                <w:sz w:val="1"/>
                <w:szCs w:val="1"/>
                <w:color w:val="auto"/>
              </w:rPr>
            </w:pPr>
          </w:p>
        </w:tc>
      </w:tr>
      <w:tr>
        <w:trPr>
          <w:trHeight w:val="118"/>
        </w:trPr>
        <w:tc>
          <w:tcPr>
            <w:tcW w:w="216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liability</w:t>
            </w:r>
          </w:p>
        </w:tc>
        <w:tc>
          <w:tcPr>
            <w:tcW w:w="2040" w:type="dxa"/>
            <w:vAlign w:val="bottom"/>
            <w:vMerge w:val="continue"/>
          </w:tcPr>
          <w:p>
            <w:pPr>
              <w:spacing w:after="0"/>
              <w:rPr>
                <w:sz w:val="10"/>
                <w:szCs w:val="10"/>
                <w:color w:val="auto"/>
              </w:rPr>
            </w:pPr>
          </w:p>
        </w:tc>
        <w:tc>
          <w:tcPr>
            <w:tcW w:w="212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4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inputs to fair value</w:t>
            </w:r>
          </w:p>
        </w:tc>
        <w:tc>
          <w:tcPr>
            <w:tcW w:w="0" w:type="dxa"/>
            <w:vAlign w:val="bottom"/>
          </w:tcPr>
          <w:p>
            <w:pPr>
              <w:spacing w:after="0"/>
              <w:rPr>
                <w:sz w:val="1"/>
                <w:szCs w:val="1"/>
                <w:color w:val="auto"/>
              </w:rPr>
            </w:pPr>
          </w:p>
        </w:tc>
      </w:tr>
      <w:tr>
        <w:trPr>
          <w:trHeight w:val="95"/>
        </w:trPr>
        <w:tc>
          <w:tcPr>
            <w:tcW w:w="216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4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Derivative liability</w:t>
            </w:r>
          </w:p>
        </w:tc>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Market approach</w:t>
            </w:r>
          </w:p>
        </w:tc>
        <w:tc>
          <w:tcPr>
            <w:tcW w:w="2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Conversion period</w:t>
            </w:r>
          </w:p>
        </w:tc>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Increase or decrease in conversion period will result in an</w:t>
            </w: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increase or decrease in fair value</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There has been no change in the valuation methodology for the six months ended June 30, 2025. The carrying amounts of cash and restricted cash, accounts receivable, other current assets, accounts payable, accrued expenses, other current liabilities, the current portion of long-term debt, and lease liabilities as of June 30, 2025 and December 31, 2024 approximate their fair values because of the short-term nature of these items and are not included in the table above. The Company’s other long-term liabilities and long-term debt approximate fair value due to the market rate of interest used on initial recognition.</w:t>
      </w:r>
    </w:p>
    <w:p>
      <w:pPr>
        <w:spacing w:after="0" w:line="10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addition to the disclosures for assets and liabilities required to be measured at fair value at the balance sheet date, companies are required to disclose the estimated fair values of all financial instruments, even if they are not presented at their fair value on the consolidated balance sheet. The fair values of financial instruments are estimates based upon market conditions and perceived risks as of June 30, 2025 and December 31, 2024. These estimates require management's judgment and may not be indicative of the future fair values of the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INTANGIBLE ASSETS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50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Licenses</w:t>
            </w:r>
          </w:p>
        </w:tc>
        <w:tc>
          <w:tcPr>
            <w:tcW w:w="26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99,163</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109,973</w:t>
            </w: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23,810</w:t>
            </w:r>
          </w:p>
        </w:tc>
      </w:tr>
      <w:tr>
        <w:trPr>
          <w:trHeight w:val="33"/>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6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15,264</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15,263</w:t>
            </w:r>
          </w:p>
        </w:tc>
      </w:tr>
      <w:tr>
        <w:trPr>
          <w:trHeight w:val="20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137,502</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149,046</w:t>
            </w:r>
          </w:p>
        </w:tc>
      </w:tr>
      <w:tr>
        <w:trPr>
          <w:trHeight w:val="33"/>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6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(96,015)</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(97,797)</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41,487</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51,249</w:t>
            </w:r>
          </w:p>
        </w:tc>
      </w:tr>
      <w:tr>
        <w:trPr>
          <w:trHeight w:val="23"/>
        </w:trPr>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-985520</wp:posOffset>
            </wp:positionV>
            <wp:extent cx="60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for the three and six months ended June 30, 2025 and 2024 are as follows:</w:t>
      </w:r>
    </w:p>
    <w:p>
      <w:pPr>
        <w:spacing w:after="0" w:line="187" w:lineRule="exact"/>
        <w:rPr>
          <w:sz w:val="20"/>
          <w:szCs w:val="20"/>
          <w:color w:val="auto"/>
        </w:rPr>
      </w:pPr>
    </w:p>
    <w:tbl>
      <w:tblPr>
        <w:tblLayout w:type="fixed"/>
        <w:tblInd w:w="1160" w:type="dxa"/>
        <w:tblCellMar>
          <w:top w:w="0" w:type="dxa"/>
          <w:left w:w="0" w:type="dxa"/>
          <w:bottom w:w="0" w:type="dxa"/>
          <w:right w:w="0" w:type="dxa"/>
        </w:tblCellMar>
      </w:tblPr>
      <w:tr>
        <w:trPr>
          <w:trHeight w:val="212"/>
        </w:trPr>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3120" w:type="dxa"/>
            <w:vAlign w:val="bottom"/>
            <w:gridSpan w:val="4"/>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33"/>
        </w:trPr>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6"/>
        </w:trPr>
        <w:tc>
          <w:tcPr>
            <w:tcW w:w="2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31"/>
        </w:trPr>
        <w:tc>
          <w:tcPr>
            <w:tcW w:w="2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4"/>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6,165</w:t>
            </w:r>
          </w:p>
        </w:tc>
      </w:tr>
      <w:tr>
        <w:trPr>
          <w:trHeight w:val="33"/>
        </w:trPr>
        <w:tc>
          <w:tcPr>
            <w:tcW w:w="21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304"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Selling, general and administrative expenses are summarized in the table below:</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880" w:type="dxa"/>
            <w:vAlign w:val="bottom"/>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31"/>
        </w:trPr>
        <w:tc>
          <w:tcPr>
            <w:tcW w:w="28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13,362</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30,439</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39,136</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4,443</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6,685</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9,174</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13,765</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facilities costs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21,670</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office and general expenses</w:t>
            </w:r>
          </w:p>
        </w:tc>
        <w:tc>
          <w:tcPr>
            <w:tcW w:w="2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5,335</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8,790</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10,707</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 and promotion</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fees and expenses</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Total selling, general and administrative</w:t>
            </w: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32,990</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40,046</w:t>
            </w:r>
          </w:p>
        </w:tc>
        <w:tc>
          <w:tcPr>
            <w:tcW w:w="14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70,241</w:t>
            </w:r>
          </w:p>
        </w:tc>
        <w:tc>
          <w:tcPr>
            <w:tcW w:w="8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93,319</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0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(INCOME) EXPENSE, NET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net is summarized in the table below:</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31"/>
        </w:trPr>
        <w:tc>
          <w:tcPr>
            <w:tcW w:w="286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86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6"/>
                <w:szCs w:val="16"/>
                <w:color w:val="auto"/>
              </w:rPr>
              <w:t>Change in fair value of the derivative</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liability</w:t>
            </w:r>
          </w:p>
        </w:tc>
        <w:tc>
          <w:tcPr>
            <w:tcW w:w="160" w:type="dxa"/>
            <w:vAlign w:val="bottom"/>
            <w:vMerge w:val="continue"/>
            <w:shd w:val="clear" w:color="auto" w:fill="CFF0FC"/>
          </w:tcPr>
          <w:p>
            <w:pPr>
              <w:spacing w:after="0"/>
              <w:rPr>
                <w:sz w:val="19"/>
                <w:szCs w:val="19"/>
                <w:color w:val="auto"/>
              </w:rPr>
            </w:pPr>
          </w:p>
        </w:tc>
        <w:tc>
          <w:tcPr>
            <w:tcW w:w="13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300" w:type="dxa"/>
            <w:vAlign w:val="bottom"/>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3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3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investments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1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2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4,542</w:t>
            </w: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 for held-for-sale</w:t>
            </w:r>
          </w:p>
        </w:tc>
        <w:tc>
          <w:tcPr>
            <w:tcW w:w="1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 income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expense,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-1370965</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-1370965</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0180"/>
          </w:cols>
          <w:pgMar w:left="320" w:top="121" w:right="1399" w:bottom="1440" w:gutter="0" w:footer="0" w:header="0"/>
        </w:sectPr>
      </w:pPr>
    </w:p>
    <w:p>
      <w:pPr>
        <w:spacing w:after="0" w:line="3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20" w:top="121" w:right="13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recorded $1,104 and $4,542 in restructuring expense, respectively. As of June 30, 2025 and 2024, the balance outstanding on the Company’s restructuring reserve was $1,267 and $$4,731 respectively.</w:t>
      </w:r>
    </w:p>
    <w:p>
      <w:pPr>
        <w:spacing w:after="0" w:line="175"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Loss on disposal arose primarily on the divestitures of a California store and related real estate as delineated in Note 17 below, and is stated net of any gains and losses attributable to minority investors.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DIVESTITURE</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Utah Business Divestiture</w:t>
      </w:r>
    </w:p>
    <w:p>
      <w:pPr>
        <w:spacing w:after="0" w:line="18" w:lineRule="exact"/>
        <w:rPr>
          <w:sz w:val="20"/>
          <w:szCs w:val="20"/>
          <w:color w:val="auto"/>
        </w:rPr>
      </w:pPr>
    </w:p>
    <w:p>
      <w:pPr>
        <w:jc w:val="both"/>
        <w:ind w:left="420"/>
        <w:spacing w:after="0" w:line="234" w:lineRule="auto"/>
        <w:rPr>
          <w:sz w:val="20"/>
          <w:szCs w:val="20"/>
          <w:color w:val="auto"/>
        </w:rPr>
      </w:pPr>
      <w:r>
        <w:rPr>
          <w:rFonts w:ascii="Times New Roman" w:cs="Times New Roman" w:eastAsia="Times New Roman" w:hAnsi="Times New Roman"/>
          <w:sz w:val="18"/>
          <w:szCs w:val="18"/>
          <w:color w:val="auto"/>
        </w:rPr>
        <w:t>On October 6, 2023, the Company entered into a definitive agreement, subject to closing conditions, to dispose of its Utah operations (the “Utah Business”) which are considered non-core and comprised of one dispensary and one cultivation facility. The Utah Business was divested for gross proceeds of approximately $6.5 million, with approximately $3.9 million due on closing of the transaction, and a $2.6 million Seller note payable to the Company not later than July 2025. The sale of the Utah assets was completed on March 7, 2024 and the Company received an early settlement of the Seller note on April 1, 2025 in the amount of $2.0 million.</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Arizona Divestiture</w:t>
      </w:r>
    </w:p>
    <w:p>
      <w:pPr>
        <w:spacing w:after="0" w:line="160"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On July 29, 2024, the Company entered into definitive agreements, subject to closing conditions, to dispose of its Arizona operations (the "Arizona Business") which are comprised of two dispensaries and one cultivation / manufacturing facility. The Arizona Business was divested for gross proceeds of $15 million, with approximately all $15 million which was received on signing of the definitive agreement.</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Eastern Virginia Divestiture</w:t>
      </w:r>
    </w:p>
    <w:p>
      <w:pPr>
        <w:spacing w:after="0" w:line="160"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color w:val="auto"/>
        </w:rPr>
        <w:t>On July 29, 2024, the Company entered into a definitive agreement, subject to closing conditions, to dispose of a portion of its Virginia operations (the "East Virginia Business") which are comprised of six dispensaries and one cultivation / manufacturing facility. The East Virginia Business was divested for gross proceeds of $90 million, consisting of approximately $20 million in cash, $40 million of equity in the Buyer, Verano Holdings Corp., due on closing of the transaction, and a $30 million seller note payable to the Company over a 14 month period.</w:t>
      </w:r>
    </w:p>
    <w:p>
      <w:pPr>
        <w:spacing w:after="0" w:line="112" w:lineRule="exact"/>
        <w:rPr>
          <w:sz w:val="20"/>
          <w:szCs w:val="20"/>
          <w:color w:val="auto"/>
        </w:rPr>
      </w:pPr>
    </w:p>
    <w:p>
      <w:pPr>
        <w:jc w:val="both"/>
        <w:ind w:left="420"/>
        <w:spacing w:after="0" w:line="282" w:lineRule="auto"/>
        <w:rPr>
          <w:sz w:val="20"/>
          <w:szCs w:val="20"/>
          <w:color w:val="auto"/>
        </w:rPr>
      </w:pPr>
      <w:r>
        <w:rPr>
          <w:rFonts w:ascii="Times New Roman" w:cs="Times New Roman" w:eastAsia="Times New Roman" w:hAnsi="Times New Roman"/>
          <w:sz w:val="18"/>
          <w:szCs w:val="18"/>
          <w:color w:val="auto"/>
        </w:rPr>
        <w:t>In May 2025, the Company reached an agreement on the early settlement of the balance on this seller note Receivable, with a $10.0 million one-time payment made as full and early settlement of the note. Accordingly, there is a $0 balance receivable on the note as of June 30, 2025.</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Florida Business Divestiture</w:t>
      </w:r>
    </w:p>
    <w:p>
      <w:pPr>
        <w:spacing w:after="0" w:line="214" w:lineRule="exact"/>
        <w:rPr>
          <w:sz w:val="20"/>
          <w:szCs w:val="20"/>
          <w:color w:val="auto"/>
        </w:rPr>
      </w:pPr>
    </w:p>
    <w:p>
      <w:pPr>
        <w:jc w:val="both"/>
        <w:ind w:left="420"/>
        <w:spacing w:after="0" w:line="258" w:lineRule="auto"/>
        <w:rPr>
          <w:sz w:val="20"/>
          <w:szCs w:val="20"/>
          <w:color w:val="auto"/>
        </w:rPr>
      </w:pPr>
      <w:r>
        <w:rPr>
          <w:rFonts w:ascii="Times New Roman" w:cs="Times New Roman" w:eastAsia="Times New Roman" w:hAnsi="Times New Roman"/>
          <w:sz w:val="18"/>
          <w:szCs w:val="18"/>
          <w:color w:val="auto"/>
        </w:rPr>
        <w:t>On November 7, 2024, the Company sold the majority of its Florida operations (the "Florida Business") through the sale of fourteen dispensaries and two cultivation / manufacturing facilities for gross proceeds of $5 million, consisting of approximately $3 million in cash and $2 million of promissory note. Following the sale of the Florida Business, the Company had one license and one cultivation facility in the state, neither of which remained in active operation. On April 17, 2025, the Company sold the license for $5 million in cash, with the potential for an additional $2.5 million contingent payment in the event of an adult use program in the state.</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Milford, Delaware Divestiture</w:t>
      </w:r>
    </w:p>
    <w:p>
      <w:pPr>
        <w:spacing w:after="0" w:line="146" w:lineRule="exact"/>
        <w:rPr>
          <w:sz w:val="20"/>
          <w:szCs w:val="20"/>
          <w:color w:val="auto"/>
        </w:rPr>
      </w:pPr>
    </w:p>
    <w:p>
      <w:pPr>
        <w:jc w:val="both"/>
        <w:ind w:left="420"/>
        <w:spacing w:after="0" w:line="282" w:lineRule="auto"/>
        <w:rPr>
          <w:sz w:val="20"/>
          <w:szCs w:val="20"/>
          <w:color w:val="auto"/>
        </w:rPr>
      </w:pPr>
      <w:r>
        <w:rPr>
          <w:rFonts w:ascii="Times New Roman" w:cs="Times New Roman" w:eastAsia="Times New Roman" w:hAnsi="Times New Roman"/>
          <w:sz w:val="18"/>
          <w:szCs w:val="18"/>
          <w:color w:val="auto"/>
        </w:rPr>
        <w:t>On January 15, 2025, the Company sold its Milford II cultivation property, which had not yet been developed and was a non-operating asset. Gross proceeds from the sale were $3.37 million, approximately $1.8 million of which was used to fully settle the outstanding mortgage on the property.</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North Hollywood, California Divestiture</w:t>
      </w:r>
    </w:p>
    <w:p>
      <w:pPr>
        <w:spacing w:after="0" w:line="160"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On March 18, 2025, the Company entered into a definitive agreement, subject to closing conditions, to dispose of its North Hollywood dispensary (the "NoHo store"). The NoHo store was divested for gross proceeds of approximately $1.375 million, with approximately $715 thousand paid up-front and the balance due on completion of closing conditions.</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DeSoto, California Divestiture</w:t>
      </w:r>
    </w:p>
    <w:p>
      <w:pPr>
        <w:spacing w:after="0" w:line="160"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On April 3, 2025, the Company entered into a definitive agreement, subject to closing conditions, to dispose of its DeSoto, San Diego, dispensary (the "DeSoto store"). The DeSoto store was divested for gross proceeds of approximately $1 million, with approximately $500 thousand paid up-front and the balance due on completion of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THC, California Divestiture</w:t>
      </w:r>
    </w:p>
    <w:p>
      <w:pPr>
        <w:spacing w:after="0" w:line="146"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On April 15, 2025, the Company entered into a definitive agreement, subject to closing conditions, to dispose of its THC, San Diego, dispensary (the "THC store"). The THC store was divested for gross proceeds of approximately $1 million, with approximately $500 thousand paid up-front and the balance due on completion of closing conditions.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Florida License Divestiture</w:t>
      </w:r>
    </w:p>
    <w:p>
      <w:pPr>
        <w:spacing w:after="0" w:line="160"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On April 17, 2025, the Company entered into a definitive agreement, subject to closing conditions, to dispose of its Florida paper License (the "Florida License"). The Florida License store was divested for gross proceeds of approximately $5 million, with approximately $4 million paid up-front and the balance due on completion of closing conditions.</w:t>
      </w: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the operating results of the disposed of business for the three and six months ended June 30, 2025, and 2024:</w:t>
      </w:r>
    </w:p>
    <w:p>
      <w:pPr>
        <w:spacing w:after="0" w:line="201" w:lineRule="exact"/>
        <w:rPr>
          <w:sz w:val="20"/>
          <w:szCs w:val="20"/>
          <w:color w:val="auto"/>
        </w:rPr>
      </w:pPr>
    </w:p>
    <w:tbl>
      <w:tblPr>
        <w:tblLayout w:type="fixed"/>
        <w:tblInd w:w="85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4"/>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 w:type="dxa"/>
            <w:vAlign w:val="bottom"/>
          </w:tcPr>
          <w:p>
            <w:pPr>
              <w:spacing w:after="0"/>
              <w:rPr>
                <w:sz w:val="18"/>
                <w:szCs w:val="18"/>
                <w:color w:val="auto"/>
              </w:rPr>
            </w:pPr>
          </w:p>
        </w:tc>
      </w:tr>
      <w:tr>
        <w:trPr>
          <w:trHeight w:val="33"/>
        </w:trPr>
        <w:tc>
          <w:tcPr>
            <w:tcW w:w="3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6"/>
        </w:trPr>
        <w:tc>
          <w:tcPr>
            <w:tcW w:w="3120" w:type="dxa"/>
            <w:vAlign w:val="bottom"/>
            <w:tcBorders>
              <w:left w:val="single" w:sz="8" w:color="auto"/>
            </w:tcBorders>
          </w:tcPr>
          <w:p>
            <w:pPr>
              <w:spacing w:after="0"/>
              <w:rPr>
                <w:sz w:val="17"/>
                <w:szCs w:val="17"/>
                <w:color w:val="auto"/>
              </w:rPr>
            </w:pPr>
          </w:p>
        </w:tc>
        <w:tc>
          <w:tcPr>
            <w:tcW w:w="200" w:type="dxa"/>
            <w:vAlign w:val="bottom"/>
            <w:tcBorders>
              <w:left w:val="single" w:sz="8" w:color="auto"/>
            </w:tcBorders>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 w:type="dxa"/>
            <w:vAlign w:val="bottom"/>
            <w:shd w:val="clear" w:color="auto" w:fill="000000"/>
          </w:tcPr>
          <w:p>
            <w:pPr>
              <w:spacing w:after="0"/>
              <w:rPr>
                <w:sz w:val="17"/>
                <w:szCs w:val="17"/>
                <w:color w:val="auto"/>
              </w:rPr>
            </w:pPr>
          </w:p>
        </w:tc>
      </w:tr>
      <w:tr>
        <w:trPr>
          <w:trHeight w:val="31"/>
        </w:trPr>
        <w:tc>
          <w:tcPr>
            <w:tcW w:w="3120" w:type="dxa"/>
            <w:vAlign w:val="bottom"/>
            <w:tcBorders>
              <w:left w:val="single" w:sz="8" w:color="auto"/>
              <w:bottom w:val="single" w:sz="8" w:color="auto"/>
            </w:tcBorders>
          </w:tcPr>
          <w:p>
            <w:pPr>
              <w:spacing w:after="0"/>
              <w:rPr>
                <w:sz w:val="2"/>
                <w:szCs w:val="2"/>
                <w:color w:val="auto"/>
              </w:rPr>
            </w:pPr>
          </w:p>
        </w:tc>
        <w:tc>
          <w:tcPr>
            <w:tcW w:w="20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10"/>
        </w:trPr>
        <w:tc>
          <w:tcPr>
            <w:tcW w:w="3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Utah</w:t>
            </w:r>
          </w:p>
        </w:tc>
        <w:tc>
          <w:tcPr>
            <w:tcW w:w="200" w:type="dxa"/>
            <w:vAlign w:val="bottom"/>
            <w:tcBorders>
              <w:left w:val="single" w:sz="8" w:color="CCEEFF"/>
            </w:tcBorders>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lef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0" w:type="dxa"/>
            <w:vAlign w:val="bottom"/>
          </w:tcPr>
          <w:p>
            <w:pPr>
              <w:spacing w:after="0"/>
              <w:rPr>
                <w:sz w:val="18"/>
                <w:szCs w:val="18"/>
                <w:color w:val="auto"/>
              </w:rPr>
            </w:pPr>
          </w:p>
        </w:tc>
      </w:tr>
      <w:tr>
        <w:trPr>
          <w:trHeight w:val="216"/>
        </w:trPr>
        <w:tc>
          <w:tcPr>
            <w:tcW w:w="3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07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20" w:type="dxa"/>
            <w:vAlign w:val="bottom"/>
          </w:tcPr>
          <w:p>
            <w:pPr>
              <w:spacing w:after="0"/>
              <w:rPr>
                <w:sz w:val="18"/>
                <w:szCs w:val="18"/>
                <w:color w:val="auto"/>
              </w:rPr>
            </w:pPr>
          </w:p>
        </w:tc>
      </w:tr>
      <w:tr>
        <w:trPr>
          <w:trHeight w:val="214"/>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California</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3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lef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60" w:type="dxa"/>
            <w:vAlign w:val="bottom"/>
          </w:tcPr>
          <w:p>
            <w:pPr>
              <w:spacing w:after="0"/>
              <w:rPr>
                <w:sz w:val="18"/>
                <w:szCs w:val="18"/>
                <w:color w:val="auto"/>
              </w:rPr>
            </w:pPr>
          </w:p>
        </w:tc>
        <w:tc>
          <w:tcPr>
            <w:tcW w:w="1240" w:type="dxa"/>
            <w:vAlign w:val="bottom"/>
          </w:tcPr>
          <w:p>
            <w:pPr>
              <w:jc w:val="right"/>
              <w:ind w:right="107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1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199"/>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31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left w:val="single" w:sz="8" w:color="CCEEFF"/>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0" w:type="dxa"/>
            <w:vAlign w:val="bottom"/>
          </w:tcPr>
          <w:p>
            <w:pPr>
              <w:spacing w:after="0"/>
              <w:rPr>
                <w:sz w:val="20"/>
                <w:szCs w:val="20"/>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6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1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20" w:type="dxa"/>
            <w:vAlign w:val="bottom"/>
          </w:tcPr>
          <w:p>
            <w:pPr>
              <w:spacing w:after="0"/>
              <w:rPr>
                <w:sz w:val="16"/>
                <w:szCs w:val="16"/>
                <w:color w:val="auto"/>
              </w:rPr>
            </w:pPr>
          </w:p>
        </w:tc>
      </w:tr>
      <w:tr>
        <w:trPr>
          <w:trHeight w:val="21"/>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b w:val="1"/>
          <w:bCs w:val="1"/>
          <w:color w:val="auto"/>
        </w:rPr>
        <w:t>NET ASSETS HELD FOR SALE</w:t>
      </w:r>
    </w:p>
    <w:p>
      <w:pPr>
        <w:spacing w:after="0" w:line="209"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During 2023, the Company committed to a plan to sell its Utah operations. Accordingly, certain of the assets and liabilities held by the Company’s Utah subsidiary were presented as a disposal group held for sale on the consolidated balance sheet as of December 31, 2023. The sale of the Utah assets was completed on March 7, 2024.</w:t>
      </w:r>
    </w:p>
    <w:p>
      <w:pPr>
        <w:spacing w:after="0" w:line="203" w:lineRule="exact"/>
        <w:rPr>
          <w:sz w:val="20"/>
          <w:szCs w:val="20"/>
          <w:color w:val="auto"/>
        </w:rPr>
      </w:pPr>
    </w:p>
    <w:p>
      <w:pPr>
        <w:jc w:val="both"/>
        <w:ind w:left="420"/>
        <w:spacing w:after="0" w:line="256" w:lineRule="auto"/>
        <w:rPr>
          <w:sz w:val="20"/>
          <w:szCs w:val="20"/>
          <w:color w:val="auto"/>
        </w:rPr>
      </w:pPr>
      <w:r>
        <w:rPr>
          <w:rFonts w:ascii="Times New Roman" w:cs="Times New Roman" w:eastAsia="Times New Roman" w:hAnsi="Times New Roman"/>
          <w:sz w:val="18"/>
          <w:szCs w:val="18"/>
          <w:color w:val="auto"/>
        </w:rPr>
        <w:t>On November 7, 2024, the Company sold its Florida Business through the sale of fourteen dispensaries and two cultivation / manufacturing facilities for gross proceeds of $5 million, consisting of approximately $3 million in cash and $2 million of promissory note. Following the sale of the Florida Business, the Company had one license and one cultivation facility in the state, neither of which remained in active operation. On April 17, 2025, the Company sold the license for $5 million in cash, with the potential for an additional $2.5 million contingent payment in the event of an adult use program in the state. The company continues to market for future disposition of a cultivation facility in Florida. On April 25, 2025, the Company entered into a definitive agreement, subject to closing, to sell the cultivation site for $11 million.</w:t>
      </w:r>
    </w:p>
    <w:p>
      <w:pPr>
        <w:spacing w:after="0" w:line="201"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In early 2025, the Company committed to a plan to sell its Illinois operations (the “Illinois Business") which are comprised of two dispensaries and one cultivation / manufacturing facility.</w:t>
      </w:r>
    </w:p>
    <w:p>
      <w:pPr>
        <w:spacing w:after="0" w:line="189" w:lineRule="exact"/>
        <w:rPr>
          <w:sz w:val="20"/>
          <w:szCs w:val="20"/>
          <w:color w:val="auto"/>
        </w:rPr>
      </w:pPr>
    </w:p>
    <w:p>
      <w:pPr>
        <w:jc w:val="both"/>
        <w:ind w:left="420"/>
        <w:spacing w:after="0" w:line="245" w:lineRule="auto"/>
        <w:rPr>
          <w:sz w:val="20"/>
          <w:szCs w:val="20"/>
          <w:color w:val="auto"/>
        </w:rPr>
      </w:pPr>
      <w:r>
        <w:rPr>
          <w:rFonts w:ascii="Times New Roman" w:cs="Times New Roman" w:eastAsia="Times New Roman" w:hAnsi="Times New Roman"/>
          <w:sz w:val="18"/>
          <w:szCs w:val="18"/>
          <w:color w:val="auto"/>
        </w:rPr>
        <w:t>In early 2025, the Company also committed to a plan to sell its remaining California operations (the "remaining California Business") which is comprised of three dispensaries and one cultivation / manufacturing facility. During the six months ended June 30, 2025, the Company disposed of two of the three dispensaries, see Note 17 Divestitures (DeSoto and THC). In July 2025, the cultivation / manufacturing facility was divested, see Note 19 Subsequent Events.</w:t>
      </w:r>
    </w:p>
    <w:p>
      <w:pPr>
        <w:spacing w:after="0" w:line="113" w:lineRule="exact"/>
        <w:rPr>
          <w:sz w:val="20"/>
          <w:szCs w:val="20"/>
          <w:color w:val="auto"/>
        </w:rPr>
      </w:pPr>
    </w:p>
    <w:p>
      <w:pPr>
        <w:jc w:val="both"/>
        <w:ind w:left="420" w:right="20"/>
        <w:spacing w:after="0" w:line="273" w:lineRule="auto"/>
        <w:rPr>
          <w:sz w:val="20"/>
          <w:szCs w:val="20"/>
          <w:color w:val="auto"/>
        </w:rPr>
      </w:pPr>
      <w:r>
        <w:rPr>
          <w:rFonts w:ascii="Times New Roman" w:cs="Times New Roman" w:eastAsia="Times New Roman" w:hAnsi="Times New Roman"/>
          <w:sz w:val="18"/>
          <w:szCs w:val="18"/>
          <w:color w:val="auto"/>
        </w:rPr>
        <w:t>The planned disposals as of June 30, 2025 did not represent a strategic shift of the Company that had or will have a major effect on the Company’s operations and financial results. Accordingly, the operations were not segregated and were presented as continuing operations in the condensed</w:t>
      </w:r>
    </w:p>
    <w:p>
      <w:pPr>
        <w:spacing w:after="0" w:line="2" w:lineRule="exact"/>
        <w:rPr>
          <w:sz w:val="20"/>
          <w:szCs w:val="20"/>
          <w:color w:val="auto"/>
        </w:rPr>
      </w:pPr>
    </w:p>
    <w:p>
      <w:pPr>
        <w:jc w:val="both"/>
        <w:ind w:left="420"/>
        <w:spacing w:after="0" w:line="272" w:lineRule="auto"/>
        <w:rPr>
          <w:sz w:val="20"/>
          <w:szCs w:val="20"/>
          <w:color w:val="auto"/>
        </w:rPr>
      </w:pPr>
      <w:r>
        <w:rPr>
          <w:rFonts w:ascii="Times New Roman" w:cs="Times New Roman" w:eastAsia="Times New Roman" w:hAnsi="Times New Roman"/>
          <w:sz w:val="18"/>
          <w:szCs w:val="18"/>
          <w:color w:val="auto"/>
        </w:rPr>
        <w:t>consolidated interim statements of operations and comprehensive loss as of June 30, 2025 and December 31, 2024. The disposal group was stated at fair value less costs to sell and comprised the following assets and liabilities:</w:t>
      </w:r>
    </w:p>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176"/>
        </w:trPr>
        <w:tc>
          <w:tcPr>
            <w:tcW w:w="5280" w:type="dxa"/>
            <w:vAlign w:val="bottom"/>
            <w:tcBorders>
              <w:bottom w:val="single" w:sz="8" w:color="CAEEF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20" w:type="dxa"/>
            <w:vAlign w:val="bottom"/>
            <w:tcBorders>
              <w:bottom w:val="single" w:sz="8" w:color="CAEEF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216"/>
        </w:trPr>
        <w:tc>
          <w:tcPr>
            <w:tcW w:w="5280" w:type="dxa"/>
            <w:vAlign w:val="bottom"/>
            <w:shd w:val="clear" w:color="auto" w:fill="CAEEFB"/>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AEEFB"/>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5280" w:type="dxa"/>
            <w:vAlign w:val="bottom"/>
            <w:shd w:val="clear" w:color="auto" w:fill="CAEEFB"/>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shd w:val="clear" w:color="auto" w:fill="CAEEFB"/>
          </w:tcPr>
          <w:p>
            <w:pPr>
              <w:spacing w:after="0"/>
              <w:rPr>
                <w:sz w:val="19"/>
                <w:szCs w:val="19"/>
                <w:color w:val="auto"/>
              </w:rPr>
            </w:pPr>
          </w:p>
        </w:tc>
        <w:tc>
          <w:tcPr>
            <w:tcW w:w="13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7,413</w:t>
            </w:r>
          </w:p>
        </w:tc>
        <w:tc>
          <w:tcPr>
            <w:tcW w:w="220" w:type="dxa"/>
            <w:vAlign w:val="bottom"/>
            <w:shd w:val="clear" w:color="auto" w:fill="CAEEFB"/>
          </w:tcPr>
          <w:p>
            <w:pPr>
              <w:spacing w:after="0"/>
              <w:rPr>
                <w:sz w:val="19"/>
                <w:szCs w:val="19"/>
                <w:color w:val="auto"/>
              </w:rPr>
            </w:pPr>
          </w:p>
        </w:tc>
        <w:tc>
          <w:tcPr>
            <w:tcW w:w="200" w:type="dxa"/>
            <w:vAlign w:val="bottom"/>
            <w:shd w:val="clear" w:color="auto" w:fill="CAEEFB"/>
          </w:tcPr>
          <w:p>
            <w:pPr>
              <w:spacing w:after="0"/>
              <w:rPr>
                <w:sz w:val="19"/>
                <w:szCs w:val="19"/>
                <w:color w:val="auto"/>
              </w:rPr>
            </w:pPr>
          </w:p>
        </w:tc>
        <w:tc>
          <w:tcPr>
            <w:tcW w:w="14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9"/>
        </w:trPr>
        <w:tc>
          <w:tcPr>
            <w:tcW w:w="5280" w:type="dxa"/>
            <w:vAlign w:val="bottom"/>
            <w:shd w:val="clear" w:color="auto" w:fill="CAEEFB"/>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80" w:type="dxa"/>
            <w:vAlign w:val="bottom"/>
            <w:shd w:val="clear" w:color="auto" w:fill="CAEEFB"/>
          </w:tcPr>
          <w:p>
            <w:pPr>
              <w:spacing w:after="0"/>
              <w:rPr>
                <w:sz w:val="19"/>
                <w:szCs w:val="19"/>
                <w:color w:val="auto"/>
              </w:rPr>
            </w:pPr>
          </w:p>
        </w:tc>
        <w:tc>
          <w:tcPr>
            <w:tcW w:w="13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13,149</w:t>
            </w:r>
          </w:p>
        </w:tc>
        <w:tc>
          <w:tcPr>
            <w:tcW w:w="220" w:type="dxa"/>
            <w:vAlign w:val="bottom"/>
            <w:shd w:val="clear" w:color="auto" w:fill="CAEEFB"/>
          </w:tcPr>
          <w:p>
            <w:pPr>
              <w:spacing w:after="0"/>
              <w:rPr>
                <w:sz w:val="19"/>
                <w:szCs w:val="19"/>
                <w:color w:val="auto"/>
              </w:rPr>
            </w:pPr>
          </w:p>
        </w:tc>
        <w:tc>
          <w:tcPr>
            <w:tcW w:w="200" w:type="dxa"/>
            <w:vAlign w:val="bottom"/>
            <w:shd w:val="clear" w:color="auto" w:fill="CAEEFB"/>
          </w:tcPr>
          <w:p>
            <w:pPr>
              <w:spacing w:after="0"/>
              <w:rPr>
                <w:sz w:val="19"/>
                <w:szCs w:val="19"/>
                <w:color w:val="auto"/>
              </w:rPr>
            </w:pPr>
          </w:p>
        </w:tc>
        <w:tc>
          <w:tcPr>
            <w:tcW w:w="14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9,516</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0" w:type="dxa"/>
            <w:vAlign w:val="bottom"/>
          </w:tcPr>
          <w:p>
            <w:pPr>
              <w:spacing w:after="0"/>
              <w:rPr>
                <w:sz w:val="1"/>
                <w:szCs w:val="1"/>
                <w:color w:val="auto"/>
              </w:rPr>
            </w:pPr>
          </w:p>
        </w:tc>
      </w:tr>
      <w:tr>
        <w:trPr>
          <w:trHeight w:val="219"/>
        </w:trPr>
        <w:tc>
          <w:tcPr>
            <w:tcW w:w="5280" w:type="dxa"/>
            <w:vAlign w:val="bottom"/>
            <w:shd w:val="clear" w:color="auto" w:fill="CAEEFB"/>
          </w:tcPr>
          <w:p>
            <w:pPr>
              <w:ind w:left="20"/>
              <w:spacing w:after="0"/>
              <w:rPr>
                <w:sz w:val="20"/>
                <w:szCs w:val="20"/>
                <w:color w:val="auto"/>
              </w:rPr>
            </w:pPr>
            <w:r>
              <w:rPr>
                <w:rFonts w:ascii="Times New Roman" w:cs="Times New Roman" w:eastAsia="Times New Roman" w:hAnsi="Times New Roman"/>
                <w:sz w:val="16"/>
                <w:szCs w:val="16"/>
                <w:color w:val="auto"/>
              </w:rPr>
              <w:t>Right of use assets - finance leases, net</w:t>
            </w:r>
          </w:p>
        </w:tc>
        <w:tc>
          <w:tcPr>
            <w:tcW w:w="280" w:type="dxa"/>
            <w:vAlign w:val="bottom"/>
            <w:shd w:val="clear" w:color="auto" w:fill="CAEEFB"/>
          </w:tcPr>
          <w:p>
            <w:pPr>
              <w:spacing w:after="0"/>
              <w:rPr>
                <w:sz w:val="19"/>
                <w:szCs w:val="19"/>
                <w:color w:val="auto"/>
              </w:rPr>
            </w:pPr>
          </w:p>
        </w:tc>
        <w:tc>
          <w:tcPr>
            <w:tcW w:w="13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shd w:val="clear" w:color="auto" w:fill="CAEEFB"/>
          </w:tcPr>
          <w:p>
            <w:pPr>
              <w:spacing w:after="0"/>
              <w:rPr>
                <w:sz w:val="19"/>
                <w:szCs w:val="19"/>
                <w:color w:val="auto"/>
              </w:rPr>
            </w:pPr>
          </w:p>
        </w:tc>
        <w:tc>
          <w:tcPr>
            <w:tcW w:w="200" w:type="dxa"/>
            <w:vAlign w:val="bottom"/>
            <w:shd w:val="clear" w:color="auto" w:fill="CAEEFB"/>
          </w:tcPr>
          <w:p>
            <w:pPr>
              <w:spacing w:after="0"/>
              <w:rPr>
                <w:sz w:val="19"/>
                <w:szCs w:val="19"/>
                <w:color w:val="auto"/>
              </w:rPr>
            </w:pPr>
          </w:p>
        </w:tc>
        <w:tc>
          <w:tcPr>
            <w:tcW w:w="14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AEEFB"/>
            </w:tcBorders>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220" w:type="dxa"/>
            <w:vAlign w:val="bottom"/>
            <w:tcBorders>
              <w:bottom w:val="single" w:sz="8" w:color="CAEEF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0" w:type="dxa"/>
            <w:vAlign w:val="bottom"/>
          </w:tcPr>
          <w:p>
            <w:pPr>
              <w:spacing w:after="0"/>
              <w:rPr>
                <w:sz w:val="1"/>
                <w:szCs w:val="1"/>
                <w:color w:val="auto"/>
              </w:rPr>
            </w:pPr>
          </w:p>
        </w:tc>
      </w:tr>
      <w:tr>
        <w:trPr>
          <w:trHeight w:val="234"/>
        </w:trPr>
        <w:tc>
          <w:tcPr>
            <w:tcW w:w="5280" w:type="dxa"/>
            <w:vAlign w:val="bottom"/>
            <w:tcBorders>
              <w:bottom w:val="single" w:sz="8" w:color="CAEEFB"/>
            </w:tcBorders>
            <w:shd w:val="clear" w:color="auto" w:fill="CAEEFB"/>
          </w:tcPr>
          <w:p>
            <w:pPr>
              <w:ind w:left="20"/>
              <w:spacing w:after="0"/>
              <w:rPr>
                <w:sz w:val="20"/>
                <w:szCs w:val="20"/>
                <w:color w:val="auto"/>
              </w:rPr>
            </w:pPr>
            <w:r>
              <w:rPr>
                <w:rFonts w:ascii="Times New Roman" w:cs="Times New Roman" w:eastAsia="Times New Roman" w:hAnsi="Times New Roman"/>
                <w:sz w:val="16"/>
                <w:szCs w:val="16"/>
                <w:b w:val="1"/>
                <w:bCs w:val="1"/>
                <w:color w:val="auto"/>
              </w:rPr>
              <w:t>Assets held for sale</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48,709</w:t>
            </w:r>
          </w:p>
        </w:tc>
        <w:tc>
          <w:tcPr>
            <w:tcW w:w="220" w:type="dxa"/>
            <w:vAlign w:val="bottom"/>
            <w:tcBorders>
              <w:bottom w:val="single" w:sz="8" w:color="CAEEFB"/>
            </w:tcBorders>
            <w:shd w:val="clear" w:color="auto" w:fill="CAEEFB"/>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17,778</w:t>
            </w:r>
          </w:p>
        </w:tc>
        <w:tc>
          <w:tcPr>
            <w:tcW w:w="0" w:type="dxa"/>
            <w:vAlign w:val="bottom"/>
          </w:tcPr>
          <w:p>
            <w:pPr>
              <w:spacing w:after="0"/>
              <w:rPr>
                <w:sz w:val="1"/>
                <w:szCs w:val="1"/>
                <w:color w:val="auto"/>
              </w:rPr>
            </w:pPr>
          </w:p>
        </w:tc>
      </w:tr>
      <w:tr>
        <w:trPr>
          <w:trHeight w:val="20"/>
        </w:trPr>
        <w:tc>
          <w:tcPr>
            <w:tcW w:w="5280" w:type="dxa"/>
            <w:vAlign w:val="bottom"/>
            <w:tcBorders>
              <w:top w:val="single" w:sz="8" w:color="CAEEFB"/>
              <w:bottom w:val="single" w:sz="8" w:color="CAEEFB"/>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AEEFB"/>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80" w:type="dxa"/>
            <w:vAlign w:val="bottom"/>
            <w:vMerge w:val="continue"/>
          </w:tcPr>
          <w:p>
            <w:pPr>
              <w:spacing w:after="0"/>
              <w:rPr>
                <w:sz w:val="16"/>
                <w:szCs w:val="16"/>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(6,109)</w:t>
            </w:r>
          </w:p>
        </w:tc>
        <w:tc>
          <w:tcPr>
            <w:tcW w:w="22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9"/>
        </w:trPr>
        <w:tc>
          <w:tcPr>
            <w:tcW w:w="5280" w:type="dxa"/>
            <w:vAlign w:val="bottom"/>
            <w:shd w:val="clear" w:color="auto" w:fill="CAEEFB"/>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280" w:type="dxa"/>
            <w:vAlign w:val="bottom"/>
            <w:tcBorders>
              <w:bottom w:val="single" w:sz="8" w:color="auto"/>
            </w:tcBorders>
            <w:shd w:val="clear" w:color="auto" w:fill="CAEEFB"/>
          </w:tcPr>
          <w:p>
            <w:pPr>
              <w:spacing w:after="0"/>
              <w:rPr>
                <w:sz w:val="19"/>
                <w:szCs w:val="19"/>
                <w:color w:val="auto"/>
              </w:rPr>
            </w:pPr>
          </w:p>
        </w:tc>
        <w:tc>
          <w:tcPr>
            <w:tcW w:w="138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(26,377)</w:t>
            </w:r>
          </w:p>
        </w:tc>
        <w:tc>
          <w:tcPr>
            <w:tcW w:w="220" w:type="dxa"/>
            <w:vAlign w:val="bottom"/>
            <w:shd w:val="clear" w:color="auto" w:fill="CAEEFB"/>
          </w:tcPr>
          <w:p>
            <w:pPr>
              <w:spacing w:after="0"/>
              <w:rPr>
                <w:sz w:val="19"/>
                <w:szCs w:val="19"/>
                <w:color w:val="auto"/>
              </w:rPr>
            </w:pPr>
          </w:p>
        </w:tc>
        <w:tc>
          <w:tcPr>
            <w:tcW w:w="200" w:type="dxa"/>
            <w:vAlign w:val="bottom"/>
            <w:tcBorders>
              <w:bottom w:val="single" w:sz="8" w:color="auto"/>
            </w:tcBorders>
            <w:shd w:val="clear" w:color="auto" w:fill="CAEEFB"/>
          </w:tcPr>
          <w:p>
            <w:pPr>
              <w:spacing w:after="0"/>
              <w:rPr>
                <w:sz w:val="19"/>
                <w:szCs w:val="19"/>
                <w:color w:val="auto"/>
              </w:rPr>
            </w:pPr>
          </w:p>
        </w:tc>
        <w:tc>
          <w:tcPr>
            <w:tcW w:w="140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0" w:type="dxa"/>
            <w:vAlign w:val="bottom"/>
          </w:tcPr>
          <w:p>
            <w:pPr>
              <w:spacing w:after="0"/>
              <w:rPr>
                <w:sz w:val="1"/>
                <w:szCs w:val="1"/>
                <w:color w:val="auto"/>
              </w:rPr>
            </w:pPr>
          </w:p>
        </w:tc>
      </w:tr>
      <w:tr>
        <w:trPr>
          <w:trHeight w:val="207"/>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held for sale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(32,486)</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20"/>
        <w:spacing w:after="0" w:line="282" w:lineRule="auto"/>
        <w:rPr>
          <w:sz w:val="20"/>
          <w:szCs w:val="20"/>
          <w:color w:val="auto"/>
        </w:rPr>
      </w:pPr>
      <w:r>
        <w:rPr>
          <w:rFonts w:ascii="Times New Roman" w:cs="Times New Roman" w:eastAsia="Times New Roman" w:hAnsi="Times New Roman"/>
          <w:sz w:val="18"/>
          <w:szCs w:val="18"/>
          <w:color w:val="auto"/>
        </w:rPr>
        <w:t>The non-recurring fair value measurement for the disposal group has been categorized as a Level 3 fair value utilizing Level 3 inputs and using a market approach, based on available data for transactions in the region and discussions with potential acquirers.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31" w:lineRule="exact"/>
        <w:rPr>
          <w:rFonts w:ascii="Times New Roman" w:cs="Times New Roman" w:eastAsia="Times New Roman" w:hAnsi="Times New Roman"/>
          <w:sz w:val="18"/>
          <w:szCs w:val="18"/>
          <w:b w:val="1"/>
          <w:bCs w:val="1"/>
          <w:color w:val="auto"/>
        </w:rPr>
      </w:pPr>
    </w:p>
    <w:p>
      <w:pPr>
        <w:ind w:left="1460" w:hanging="318"/>
        <w:spacing w:after="0" w:line="250" w:lineRule="auto"/>
        <w:tabs>
          <w:tab w:leader="none" w:pos="14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July 2, 2025, the Company entered into definitive agreements to divest its Balboa, CA manufacturing facility for approximately $738 thousand in gross proceeds</w:t>
      </w:r>
    </w:p>
    <w:p>
      <w:pPr>
        <w:jc w:val="both"/>
        <w:ind w:left="1460" w:hanging="318"/>
        <w:spacing w:after="0" w:line="250" w:lineRule="auto"/>
        <w:tabs>
          <w:tab w:leader="none" w:pos="14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16, 2025, the Compensation Committee of the Board of Directors (the “Board”) of The Cannabist Company Holdings Inc. (the “Company”) approved a Transaction Bonus Plan (the “Bonus Plan”). Under the Bonus Plan, the Company will establish a bonus pool (the “Bonus Pool”). The size of the Bonus Pool will be 1.50% of the transaction value, as defined and determined by the Compensation Committee, for divestitures or other strategic transactions, not previously approved by the Board, that are closed while the Bonus Plan is in effect. The Bonus Pool, if qualifying divestitures or strategic transactions are completed, will be funded directly from funds available for general corporate purposes and will be capped at $5,000,000. Certain key employees of the Company who are designated as participants will be eligible to be paid a bonus or bonuses based on individual allocations of the Bonus Pool, as determined by the Compensation Committee.</w:t>
      </w:r>
    </w:p>
    <w:p>
      <w:pPr>
        <w:spacing w:after="0" w:line="3" w:lineRule="exact"/>
        <w:rPr>
          <w:rFonts w:ascii="Times New Roman" w:cs="Times New Roman" w:eastAsia="Times New Roman" w:hAnsi="Times New Roman"/>
          <w:sz w:val="18"/>
          <w:szCs w:val="18"/>
          <w:color w:val="auto"/>
        </w:rPr>
      </w:pPr>
    </w:p>
    <w:p>
      <w:pPr>
        <w:jc w:val="both"/>
        <w:ind w:left="1460" w:hanging="318"/>
        <w:spacing w:after="0" w:line="250" w:lineRule="auto"/>
        <w:tabs>
          <w:tab w:leader="none" w:pos="14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17, 2025, Jesse Channon, the Company’s President, entered into a second amended and restated employment agreement with the Company pursuant to which the termination and change of control provisions of Mr. Channon’s amended and restated employment agreement with Company, dated March 11, 2024, were amended to provide that if Mr. Channon resigns for “Good Reason” (as defined in the Channon A&amp;R Employment Agreement), Mr. Channon will receive an amount equal to 18 months of his then current Base Salary plus target bonus, less all applicable withholdings and deductions, paid over an 18-month period, and the Company shall pay its share of Mr. Channon’s health insurance premiums to continue Mr. Channon’s health insurance coverage for 18 months beyond the termination date.</w:t>
      </w:r>
    </w:p>
    <w:p>
      <w:pPr>
        <w:spacing w:after="0" w:line="2" w:lineRule="exact"/>
        <w:rPr>
          <w:rFonts w:ascii="Times New Roman" w:cs="Times New Roman" w:eastAsia="Times New Roman" w:hAnsi="Times New Roman"/>
          <w:sz w:val="18"/>
          <w:szCs w:val="18"/>
          <w:color w:val="auto"/>
        </w:rPr>
      </w:pPr>
    </w:p>
    <w:p>
      <w:pPr>
        <w:ind w:left="1460" w:hanging="318"/>
        <w:spacing w:after="0" w:line="260" w:lineRule="auto"/>
        <w:tabs>
          <w:tab w:leader="none" w:pos="14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August 4, 2025, the Company entered into definitive agreements to divest three dispensaries in Pennsylvania for $10 million in gross proceeds and also signed a supply agreement with the same buyer.</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(“MD&amp;A”) of the financial condition and results of operations of The Cannabist Company Holdings Inc. (“The Cannabist Company”, the “Company”, “us”, “our” or “we”) is supplemental to, and should be read in conjunction with, The Cannabist Company's unaudited condensed consolidated interim financial statements and the accompanying notes for the three and six months ended June 30, 2025 and 2024.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the Company’s 2024 Form 10-K filed with the SEC on March 17, 2025 and subsequent securities filings.</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Cannabist Company's financial statements are prepared in accordance with generally accepted accounting principles in the United States of America (“US GAAP”). Financial information presented in this MD&amp;A is presented in thousands of United States dollars (“$” or “US$”), unless otherwise indicated.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CANNABIST COMPANY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Cannabist Company, formerly known as Columbia Care, is one of the most experienced cultivators, manufacturers and providers of cannabis products and related services, with licenses in 12 U.S. jurisdictions. The Company operates 71 facilities including 53 dispensaries and 18 cultivation and manufacturing facilities, including those under development. Columbia Care, now The Cannabist Company, is one of the original multi-state providers of cannabis in the U.S. and now delivers industry-leading products and services to both the medical and adult-use markets. In 2021, the Company launched Cannabist, its retail brand, creating a national dispensary network that leverages proprietary technology platforms. The company offers products spanning flower, edibles, oils and tablets, and manufactures popular brands including dreamt, Seed &amp; Strain, Triple Seven, Hedy, gLeaf, Classix, Press, and Amber.</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consolidated financial information derived from our unaudited condensed consolidated interim financial statements and the respective accompanying notes prepared in accordance with U.S. GAAP.</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periods discussed herein, our accounting policies have remained consistent. The selected and summarized consolidated financial information below may not be indicative of our future performance.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0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85"/>
        </w:trPr>
        <w:tc>
          <w:tcPr>
            <w:tcW w:w="2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9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86,350</w:t>
            </w: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125,190</w:t>
            </w: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(38,840)</w:t>
            </w:r>
          </w:p>
        </w:tc>
        <w:tc>
          <w:tcPr>
            <w:tcW w:w="10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173,790</w:t>
            </w: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247,801</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(74,011)</w:t>
            </w:r>
          </w:p>
        </w:tc>
        <w:tc>
          <w:tcPr>
            <w:tcW w:w="10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 of sales related to inventory</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(69,197)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(77,138)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7,941</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(127,352)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(157,212)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29,860</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29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production</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CFF0FC"/>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CFF0FC"/>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17,153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48,052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(30,899)</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46,438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90,589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(44,151)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 impairment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65"/>
        </w:trPr>
        <w:tc>
          <w:tcPr>
            <w:tcW w:w="2900" w:type="dxa"/>
            <w:vAlign w:val="bottom"/>
            <w:shd w:val="clear" w:color="auto" w:fill="CFF0FC"/>
          </w:tcPr>
          <w:p>
            <w:pPr>
              <w:ind w:left="20"/>
              <w:spacing w:after="0" w:line="165"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(32,990)</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(40,046)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7,056</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(70,241)</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(93,319)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23,078</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Profit (loss) from operations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779 %</w:t>
            </w:r>
          </w:p>
        </w:tc>
        <w:tc>
          <w:tcPr>
            <w:tcW w:w="0" w:type="dxa"/>
            <w:vAlign w:val="bottom"/>
          </w:tcPr>
          <w:p>
            <w:pPr>
              <w:spacing w:after="0"/>
              <w:rPr>
                <w:sz w:val="1"/>
                <w:szCs w:val="1"/>
                <w:color w:val="auto"/>
              </w:rPr>
            </w:pPr>
          </w:p>
        </w:tc>
      </w:tr>
      <w:tr>
        <w:trPr>
          <w:trHeight w:val="219"/>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(18,328)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(41,581)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(26,971)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13"/>
        </w:trPr>
        <w:tc>
          <w:tcPr>
            <w:tcW w:w="29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(43,221)</w:t>
            </w: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(9,642)</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(33,579)</w:t>
            </w:r>
          </w:p>
        </w:tc>
        <w:tc>
          <w:tcPr>
            <w:tcW w:w="10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(44,015)</w:t>
            </w: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(18,510)</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(25,505)</w:t>
            </w:r>
          </w:p>
        </w:tc>
        <w:tc>
          <w:tcPr>
            <w:tcW w:w="10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0" w:type="dxa"/>
            <w:vAlign w:val="bottom"/>
          </w:tcPr>
          <w:p>
            <w:pPr>
              <w:spacing w:after="0"/>
              <w:rPr>
                <w:sz w:val="1"/>
                <w:szCs w:val="1"/>
                <w:color w:val="auto"/>
              </w:rPr>
            </w:pPr>
          </w:p>
        </w:tc>
      </w:tr>
      <w:tr>
        <w:trPr>
          <w:trHeight w:val="21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(77,386)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(63,743)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467 %</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(109,592)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(61,381)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profit attributable to non-controlling</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3"/>
        </w:trPr>
        <w:tc>
          <w:tcPr>
            <w:tcW w:w="29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CFF0FC"/>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CFF0FC"/>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90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6"/>
                <w:szCs w:val="16"/>
                <w:color w:val="auto"/>
              </w:rPr>
              <w:t>Net loss attributable to The Cannabist</w:t>
            </w:r>
          </w:p>
        </w:tc>
        <w:tc>
          <w:tcPr>
            <w:tcW w:w="14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(77,881)</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(63,540)</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443 %</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(110,085)</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(49,414)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(60,671)</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0" w:type="dxa"/>
            <w:vAlign w:val="bottom"/>
          </w:tcPr>
          <w:p>
            <w:pPr>
              <w:spacing w:after="0"/>
              <w:rPr>
                <w:sz w:val="1"/>
                <w:szCs w:val="1"/>
                <w:color w:val="auto"/>
              </w:rPr>
            </w:pPr>
          </w:p>
        </w:tc>
      </w:tr>
      <w:tr>
        <w:trPr>
          <w:trHeight w:val="209"/>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Company Holdings Inc.</w:t>
            </w: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1000" w:type="dxa"/>
            <w:vAlign w:val="bottom"/>
            <w:tcBorders>
              <w:bottom w:val="single" w:sz="8" w:color="CFF0FC"/>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1020" w:type="dxa"/>
            <w:vAlign w:val="bottom"/>
            <w:tcBorders>
              <w:bottom w:val="single" w:sz="8" w:color="CFF0FC"/>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bottom w:val="single" w:sz="8" w:color="CFF0FC"/>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Loss per share attributable to The</w:t>
            </w: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9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Cannabist Company Holdings Inc.—based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8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416 %</w:t>
            </w:r>
          </w:p>
        </w:tc>
        <w:tc>
          <w:tcPr>
            <w:tcW w:w="80" w:type="dxa"/>
            <w:vAlign w:val="bottom"/>
          </w:tcPr>
          <w:p>
            <w:pPr>
              <w:spacing w:after="0"/>
              <w:rPr>
                <w:sz w:val="14"/>
                <w:szCs w:val="14"/>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8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189"/>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diluted</w:t>
            </w: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00" w:type="dxa"/>
            <w:vAlign w:val="bottom"/>
            <w:tcBorders>
              <w:bottom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0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Weighted average number of shares</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484,713,110</w:t>
            </w:r>
          </w:p>
        </w:tc>
        <w:tc>
          <w:tcPr>
            <w:tcW w:w="80" w:type="dxa"/>
            <w:vAlign w:val="bottom"/>
            <w:shd w:val="clear" w:color="auto" w:fill="CFF0FC"/>
          </w:tcPr>
          <w:p>
            <w:pPr>
              <w:spacing w:after="0"/>
              <w:rPr>
                <w:sz w:val="11"/>
                <w:szCs w:val="11"/>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460,653,957</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478,894,930</w:t>
            </w:r>
          </w:p>
        </w:tc>
        <w:tc>
          <w:tcPr>
            <w:tcW w:w="8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453,143,911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outstanding—basic and diluted</w:t>
            </w:r>
          </w:p>
        </w:tc>
        <w:tc>
          <w:tcPr>
            <w:tcW w:w="960" w:type="dxa"/>
            <w:vAlign w:val="bottom"/>
            <w:tcBorders>
              <w:bottom w:val="single" w:sz="8" w:color="auto"/>
            </w:tcBorders>
            <w:gridSpan w:val="2"/>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vMerge w:val="continue"/>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vMerge w:val="continue"/>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Balance Sheet items: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80" w:type="dxa"/>
            <w:vAlign w:val="bottom"/>
          </w:tcPr>
          <w:p>
            <w:pPr>
              <w:spacing w:after="0"/>
              <w:rPr>
                <w:sz w:val="19"/>
                <w:szCs w:val="19"/>
                <w:color w:val="auto"/>
              </w:rPr>
            </w:pPr>
          </w:p>
        </w:tc>
        <w:tc>
          <w:tcPr>
            <w:tcW w:w="280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Borders>
              <w:bottom w:val="single" w:sz="8" w:color="CFF0FC"/>
            </w:tcBorders>
          </w:tcPr>
          <w:p>
            <w:pPr>
              <w:spacing w:after="0"/>
              <w:rPr>
                <w:sz w:val="19"/>
                <w:szCs w:val="19"/>
                <w:color w:val="auto"/>
              </w:rPr>
            </w:pPr>
          </w:p>
        </w:tc>
        <w:tc>
          <w:tcPr>
            <w:tcW w:w="15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780" w:type="dxa"/>
            <w:vAlign w:val="bottom"/>
          </w:tcPr>
          <w:p>
            <w:pPr>
              <w:spacing w:after="0"/>
              <w:rPr>
                <w:sz w:val="19"/>
                <w:szCs w:val="19"/>
                <w:color w:val="auto"/>
              </w:rPr>
            </w:pPr>
          </w:p>
        </w:tc>
      </w:tr>
      <w:tr>
        <w:trPr>
          <w:trHeight w:val="211"/>
        </w:trPr>
        <w:tc>
          <w:tcPr>
            <w:tcW w:w="1780" w:type="dxa"/>
            <w:vAlign w:val="bottom"/>
          </w:tcPr>
          <w:p>
            <w:pPr>
              <w:spacing w:after="0"/>
              <w:rPr>
                <w:sz w:val="18"/>
                <w:szCs w:val="18"/>
                <w:color w:val="auto"/>
              </w:rPr>
            </w:pPr>
          </w:p>
        </w:tc>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7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center"/>
              <w:ind w:left="579"/>
              <w:spacing w:after="0"/>
              <w:rPr>
                <w:sz w:val="20"/>
                <w:szCs w:val="20"/>
                <w:color w:val="auto"/>
              </w:rPr>
            </w:pPr>
            <w:r>
              <w:rPr>
                <w:rFonts w:ascii="Times New Roman" w:cs="Times New Roman" w:eastAsia="Times New Roman" w:hAnsi="Times New Roman"/>
                <w:sz w:val="16"/>
                <w:szCs w:val="16"/>
                <w:color w:val="auto"/>
                <w:w w:val="99"/>
              </w:rPr>
              <w:t>563,838</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696,173</w:t>
            </w:r>
          </w:p>
        </w:tc>
        <w:tc>
          <w:tcPr>
            <w:tcW w:w="1780" w:type="dxa"/>
            <w:vAlign w:val="bottom"/>
          </w:tcPr>
          <w:p>
            <w:pPr>
              <w:spacing w:after="0"/>
              <w:rPr>
                <w:sz w:val="18"/>
                <w:szCs w:val="18"/>
                <w:color w:val="auto"/>
              </w:rPr>
            </w:pPr>
          </w:p>
        </w:tc>
      </w:tr>
      <w:tr>
        <w:trPr>
          <w:trHeight w:val="213"/>
        </w:trPr>
        <w:tc>
          <w:tcPr>
            <w:tcW w:w="178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9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ind w:left="579"/>
              <w:spacing w:after="0"/>
              <w:rPr>
                <w:sz w:val="20"/>
                <w:szCs w:val="20"/>
                <w:color w:val="auto"/>
              </w:rPr>
            </w:pPr>
            <w:r>
              <w:rPr>
                <w:rFonts w:ascii="Times New Roman" w:cs="Times New Roman" w:eastAsia="Times New Roman" w:hAnsi="Times New Roman"/>
                <w:sz w:val="16"/>
                <w:szCs w:val="16"/>
                <w:color w:val="auto"/>
                <w:w w:val="99"/>
              </w:rPr>
              <w:t>702,684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726,232</w:t>
            </w:r>
          </w:p>
        </w:tc>
        <w:tc>
          <w:tcPr>
            <w:tcW w:w="1780" w:type="dxa"/>
            <w:vAlign w:val="bottom"/>
          </w:tcPr>
          <w:p>
            <w:pPr>
              <w:spacing w:after="0"/>
              <w:rPr>
                <w:sz w:val="18"/>
                <w:szCs w:val="18"/>
                <w:color w:val="auto"/>
              </w:rPr>
            </w:pPr>
          </w:p>
        </w:tc>
      </w:tr>
      <w:tr>
        <w:trPr>
          <w:trHeight w:val="219"/>
        </w:trPr>
        <w:tc>
          <w:tcPr>
            <w:tcW w:w="1780" w:type="dxa"/>
            <w:vAlign w:val="bottom"/>
          </w:tcPr>
          <w:p>
            <w:pPr>
              <w:spacing w:after="0"/>
              <w:rPr>
                <w:sz w:val="19"/>
                <w:szCs w:val="19"/>
                <w:color w:val="auto"/>
              </w:rPr>
            </w:pPr>
          </w:p>
        </w:tc>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9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center"/>
              <w:ind w:left="579"/>
              <w:spacing w:after="0"/>
              <w:rPr>
                <w:sz w:val="20"/>
                <w:szCs w:val="20"/>
                <w:color w:val="auto"/>
              </w:rPr>
            </w:pPr>
            <w:r>
              <w:rPr>
                <w:rFonts w:ascii="Times New Roman" w:cs="Times New Roman" w:eastAsia="Times New Roman" w:hAnsi="Times New Roman"/>
                <w:sz w:val="16"/>
                <w:szCs w:val="16"/>
                <w:color w:val="auto"/>
                <w:w w:val="99"/>
              </w:rPr>
              <w:t>523,677</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497,522</w:t>
            </w:r>
          </w:p>
        </w:tc>
        <w:tc>
          <w:tcPr>
            <w:tcW w:w="1780" w:type="dxa"/>
            <w:vAlign w:val="bottom"/>
          </w:tcPr>
          <w:p>
            <w:pPr>
              <w:spacing w:after="0"/>
              <w:rPr>
                <w:sz w:val="19"/>
                <w:szCs w:val="19"/>
                <w:color w:val="auto"/>
              </w:rPr>
            </w:pPr>
          </w:p>
        </w:tc>
      </w:tr>
      <w:tr>
        <w:trPr>
          <w:trHeight w:val="210"/>
        </w:trPr>
        <w:tc>
          <w:tcPr>
            <w:tcW w:w="178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19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(138,846)</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(30,059)</w:t>
            </w:r>
          </w:p>
        </w:tc>
        <w:tc>
          <w:tcPr>
            <w:tcW w:w="1780" w:type="dxa"/>
            <w:vAlign w:val="bottom"/>
          </w:tcPr>
          <w:p>
            <w:pPr>
              <w:spacing w:after="0"/>
              <w:rPr>
                <w:sz w:val="18"/>
                <w:szCs w:val="18"/>
                <w:color w:val="auto"/>
              </w:rPr>
            </w:pPr>
          </w:p>
        </w:tc>
      </w:tr>
      <w:tr>
        <w:trPr>
          <w:trHeight w:val="586"/>
        </w:trPr>
        <w:tc>
          <w:tcPr>
            <w:tcW w:w="1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80" w:type="dxa"/>
            <w:vAlign w:val="bottom"/>
          </w:tcPr>
          <w:p>
            <w:pPr>
              <w:jc w:val="right"/>
              <w:ind w:right="557"/>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39"/>
        </w:trPr>
        <w:tc>
          <w:tcPr>
            <w:tcW w:w="17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2025 and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2025 and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1"/>
        </w:trPr>
        <w:tc>
          <w:tcPr>
            <w:tcW w:w="45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86,350</w:t>
            </w: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125,190</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(38,840)</w:t>
            </w:r>
          </w:p>
        </w:tc>
        <w:tc>
          <w:tcPr>
            <w:tcW w:w="1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(69,197)</w:t>
            </w: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(77,138)</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7,941</w:t>
            </w:r>
          </w:p>
        </w:tc>
        <w:tc>
          <w:tcPr>
            <w:tcW w:w="1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17,153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48,052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(30,899)</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(32,990)</w:t>
            </w: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(40,046)</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7,056</w:t>
            </w:r>
          </w:p>
        </w:tc>
        <w:tc>
          <w:tcPr>
            <w:tcW w:w="1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Profit (loss) from operations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(15,837)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(23,843)</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(43,221)</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(9,642)</w:t>
            </w: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(33,579)</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0" w:type="dxa"/>
            <w:vAlign w:val="bottom"/>
          </w:tcPr>
          <w:p>
            <w:pPr>
              <w:spacing w:after="0"/>
              <w:rPr>
                <w:sz w:val="1"/>
                <w:szCs w:val="1"/>
                <w:color w:val="auto"/>
              </w:rPr>
            </w:pPr>
          </w:p>
        </w:tc>
      </w:tr>
      <w:tr>
        <w:trPr>
          <w:trHeight w:val="207"/>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(77,386)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(63,743)</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467 %</w:t>
            </w: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profit attributable to non-controlling interests</w:t>
            </w: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Cannabist Company Holdings Inc.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(77,881)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(63,540)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443 %</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Loss per share attributable to The Cannabist Company Holdings Inc.</w:t>
            </w:r>
          </w:p>
        </w:tc>
        <w:tc>
          <w:tcPr>
            <w:tcW w:w="24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80" w:type="dxa"/>
            <w:vAlign w:val="bottom"/>
            <w:shd w:val="clear" w:color="auto" w:fill="CFF0FC"/>
          </w:tcPr>
          <w:p>
            <w:pPr>
              <w:spacing w:after="0"/>
              <w:rPr>
                <w:sz w:val="11"/>
                <w:szCs w:val="11"/>
                <w:color w:val="auto"/>
              </w:rPr>
            </w:pPr>
          </w:p>
        </w:tc>
        <w:tc>
          <w:tcPr>
            <w:tcW w:w="20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416 %</w:t>
            </w: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—based and diluted</w:t>
            </w:r>
          </w:p>
        </w:tc>
        <w:tc>
          <w:tcPr>
            <w:tcW w:w="240" w:type="dxa"/>
            <w:vAlign w:val="bottom"/>
            <w:vMerge w:val="continue"/>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380" w:type="dxa"/>
            <w:vAlign w:val="bottom"/>
            <w:vMerge w:val="continue"/>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outstanding—basic and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484,713,110</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460,653,957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decrease in revenue of $38,840 for the three months ended June 30, 2025, as compared to the prior year period, was driven by the net decline in revenue of $10,902 in our existing retail and wholesale operations and a decline of $30,387 from the sale or closure of certain operations. This was partly offset by changes in regulation to adult use which contributed to a revenue growth of $2,449 during the three months ended June 30, 2025, as compared to the prior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decrease in cost of sales of $7,941 for the three months ended June 30, 2025, as compared to the prior year period, was driven by a cost of sales decrease from the sale or closure of certain operations of $17,435. This was partly offset by an increase of $9,494 in our existing retail and wholesale operations, including from inventory impairment.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decrease in gross profit of $30,899 for the three months ended June 30, 2025, as compared to the prior year period, was directly attributable to the decline in revenues and the decline in cost of sales as described above.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decrease of $7,065 in operating expenses for the three months ended June 30, 2025, as compared to the prior year period, was primarily attributable to decreases in operating facilities costs of $3,150, depreciation and amortization of $2,242, operating office and general expenses of $1,585, professional fees of $367, and other fees and expenses of $873. This was partially offset by increases in salaries and benefits of expenses of $638 and advertisement and promotion expense of $523 for the three months ended June 30,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 (expense), Net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increase in other expenses, net of $6,321 for the three months ended June 30, 2025, as compared to the prior year period, was primarily due to increases in interest expense, net of $4,969, loss on disposal group of $3,676, change in fair value of investments of $713, change in fair value of the derivative liability of $377, and a decrease in rental income of $34. This was partially offset by decreases in restructuring expense of $3,558, loss on held for sale of $651, and interest expense on leases of $183.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for 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$43,221 for the three months ended June 30, 2025, as compared to an income tax expense of $9,642 for the three months ended June 30,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2025 and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1"/>
        </w:trPr>
        <w:tc>
          <w:tcPr>
            <w:tcW w:w="45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173,790</w:t>
            </w: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247,801</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(74,011)</w:t>
            </w:r>
          </w:p>
        </w:tc>
        <w:tc>
          <w:tcPr>
            <w:tcW w:w="14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(127,352)</w:t>
            </w: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(157,212)</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29,860</w:t>
            </w:r>
          </w:p>
        </w:tc>
        <w:tc>
          <w:tcPr>
            <w:tcW w:w="14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46,438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90,589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(44,151)</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 impairment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(70,241)</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(93,319)</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23,078</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(21,266)</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779 %</w:t>
            </w:r>
          </w:p>
        </w:tc>
        <w:tc>
          <w:tcPr>
            <w:tcW w:w="0" w:type="dxa"/>
            <w:vAlign w:val="bottom"/>
          </w:tcPr>
          <w:p>
            <w:pPr>
              <w:spacing w:after="0"/>
              <w:rPr>
                <w:sz w:val="1"/>
                <w:szCs w:val="1"/>
                <w:color w:val="auto"/>
              </w:rPr>
            </w:pPr>
          </w:p>
        </w:tc>
      </w:tr>
      <w:tr>
        <w:trPr>
          <w:trHeight w:val="222"/>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(14,610)</w:t>
            </w:r>
          </w:p>
        </w:tc>
        <w:tc>
          <w:tcPr>
            <w:tcW w:w="140" w:type="dxa"/>
            <w:vAlign w:val="bottom"/>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(44,015)</w:t>
            </w: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(18,510)</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(25,505)</w:t>
            </w:r>
          </w:p>
        </w:tc>
        <w:tc>
          <w:tcPr>
            <w:tcW w:w="14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0" w:type="dxa"/>
            <w:vAlign w:val="bottom"/>
          </w:tcPr>
          <w:p>
            <w:pPr>
              <w:spacing w:after="0"/>
              <w:rPr>
                <w:sz w:val="1"/>
                <w:szCs w:val="1"/>
                <w:color w:val="auto"/>
              </w:rPr>
            </w:pPr>
          </w:p>
        </w:tc>
      </w:tr>
      <w:tr>
        <w:trPr>
          <w:trHeight w:val="212"/>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(109,592)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(48,211)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(61,381)</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profit attributable to non-controlling interests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4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Cannabist Company Holdings Inc.</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(110,085)</w:t>
            </w: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(49,414)</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(60,671)</w:t>
            </w: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bottom w:val="single" w:sz="8" w:color="CFF0FC"/>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Loss per share attributable to The Cannabist Company Holdings Inc.</w:t>
            </w: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580" w:type="dxa"/>
            <w:vAlign w:val="bottom"/>
            <w:vMerge w:val="continue"/>
          </w:tcPr>
          <w:p>
            <w:pPr>
              <w:spacing w:after="0"/>
              <w:rPr>
                <w:sz w:val="9"/>
                <w:szCs w:val="9"/>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80" w:type="dxa"/>
            <w:vAlign w:val="bottom"/>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4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—based and diluted</w:t>
            </w:r>
          </w:p>
        </w:tc>
        <w:tc>
          <w:tcPr>
            <w:tcW w:w="22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outstanding—basic and diluted</w:t>
            </w: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478,894,930</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453,143,911</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shd w:val="clear" w:color="auto" w:fill="000000"/>
          </w:tcPr>
          <w:p>
            <w:pPr>
              <w:spacing w:after="0" w:line="20" w:lineRule="exact"/>
              <w:rPr>
                <w:sz w:val="1"/>
                <w:szCs w:val="1"/>
                <w:color w:val="auto"/>
              </w:rPr>
            </w:pPr>
          </w:p>
        </w:tc>
        <w:tc>
          <w:tcPr>
            <w:tcW w:w="142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shd w:val="clear" w:color="auto" w:fill="000000"/>
          </w:tcPr>
          <w:p>
            <w:pPr>
              <w:spacing w:after="0" w:line="20" w:lineRule="exact"/>
              <w:rPr>
                <w:sz w:val="1"/>
                <w:szCs w:val="1"/>
                <w:color w:val="auto"/>
              </w:rPr>
            </w:pPr>
          </w:p>
        </w:tc>
        <w:tc>
          <w:tcPr>
            <w:tcW w:w="138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9" w:lineRule="exact"/>
        <w:rPr>
          <w:sz w:val="20"/>
          <w:szCs w:val="20"/>
          <w:color w:val="auto"/>
        </w:rPr>
      </w:pPr>
    </w:p>
    <w:p>
      <w:pPr>
        <w:ind w:right="1440"/>
        <w:spacing w:after="0" w:line="253" w:lineRule="auto"/>
        <w:rPr>
          <w:sz w:val="20"/>
          <w:szCs w:val="20"/>
          <w:color w:val="auto"/>
        </w:rPr>
      </w:pPr>
      <w:r>
        <w:rPr>
          <w:rFonts w:ascii="Times New Roman" w:cs="Times New Roman" w:eastAsia="Times New Roman" w:hAnsi="Times New Roman"/>
          <w:sz w:val="18"/>
          <w:szCs w:val="18"/>
          <w:color w:val="auto"/>
        </w:rPr>
        <w:t>The decrease in revenue of $74,011 for the six months ended June 30, 2025, as compared to the prior year period, was driven by the net decline in revenue of $23,854 in our existing retail and wholesale operations and a decline of $56,319 from the sale or closure of certain operations. This was partly offset by changes in regulation to adult use which contributed to a revenue growth of $6,162 during the six months ended June 30, 2025, as compared to the prior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decrease in cost of sales of $29,860 for the six months ended June 30, 2025, as compared to the prior year period, was driven by the sale or closure of certain operations of $32,238. This was partly offset by an increase of $2,378 in our existing retail and wholesale operations, including from inventory impairment, as compared to the prior period.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decrease in gross profit of $44,151 for the six months ended June 30, 2025, as compared to the prior year period, was directly attributable to the decline in revenues and the decline in cost of sales as described above.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of $23,078 in operating expenses for the six months ended June 30, 2025, as compared to the prior year period, was primarily attributable to decreases in salary and benefits expenses of $8,697, operating facilities costs of $6,528, depreciation and amortization of $4,591, operating office and general expenses of $1,917, professional fees of $1,134, and other fees and expenses of $758. This was partially offset by an increase in advertisement and promotion expense of $547 for the six months ended June 30, 2025.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 (expense), Net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increase in other expenses, net of $14,610 for the six months ended June 30, 2025, as compared to the prior year period, was primarily due to a increases in change in fair value of investments of $6,520, loss on held for sale of $2,868, loss on disposal group of $6,703, interest expense, net of $5,089, and a decrease in rental income of $67. This was partially offset by decreases change in fair value of the derivative liability of $1,970, restructuring expense of $3,438, interest on leases of $393, and other income (expense), net of $836.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for Income Taxes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recorded income tax expense of $44,015 for the six months ended June 30, 2025, as compared to an income tax expense of $18,510 for the six months ended June 30,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certain non-GAAP measures, referenced in this MD&amp;A. These measures are not recognized measures under GAAP and do not have a standardized meaning prescribed by GAAP and therefore may not be comparable to similar measures presented by other companies. Accordingly, these measures should not be considered in isolation from nor as a substitute for our financial information reported under GAAP. We use non-GAAP measures including EBITDA, Adjusted EBITDA and Adjusted EBITDA margin which may be calculated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differently by other companies. These non-GAAP measures and metrics are used to provide investors with supplemental measures of our operating performance and liquidity and thus highlight trends in our business that may not otherwise be apparent when relying solely on GAAP measures. These supplemental non-GAAP financial measures should not be considered superior to, as a substitute for, or as an alternative to, and should be considered in conjunction with, the GAAP financial measures presented. We also recognize that securities analysts, investors, and other interested parties frequently use non-GAAP measures in the evaluation of companies within our industry. Finally, we use non-GAAP measures and metrics in order to facilitate evaluation of operating performance comparisons from period to period, to prepare annual operating budgets and forecasts and to determine components of executive compensation.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loss for the period to EBITDA and Adjusted EBITDA for the three and six months ended June 30, 2025, and 2024:</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244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5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0" w:type="dxa"/>
            <w:vAlign w:val="bottom"/>
          </w:tcPr>
          <w:p>
            <w:pPr>
              <w:spacing w:after="0"/>
              <w:rPr>
                <w:sz w:val="1"/>
                <w:szCs w:val="1"/>
                <w:color w:val="auto"/>
              </w:rPr>
            </w:pPr>
          </w:p>
        </w:tc>
      </w:tr>
      <w:tr>
        <w:trPr>
          <w:trHeight w:val="211"/>
        </w:trPr>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(77,386)</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(13,643)</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(109,592)</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(48,211)</w:t>
            </w:r>
          </w:p>
        </w:tc>
        <w:tc>
          <w:tcPr>
            <w:tcW w:w="0" w:type="dxa"/>
            <w:vAlign w:val="bottom"/>
          </w:tcPr>
          <w:p>
            <w:pPr>
              <w:spacing w:after="0"/>
              <w:rPr>
                <w:sz w:val="1"/>
                <w:szCs w:val="1"/>
                <w:color w:val="auto"/>
              </w:rPr>
            </w:pPr>
          </w:p>
        </w:tc>
      </w:tr>
      <w:tr>
        <w:trPr>
          <w:trHeight w:val="213"/>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w:t>
            </w:r>
          </w:p>
        </w:tc>
        <w:tc>
          <w:tcPr>
            <w:tcW w:w="1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43,221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9,642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44,015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18,510</w:t>
            </w: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8,205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13,583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16,851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27,547</w:t>
            </w:r>
          </w:p>
        </w:tc>
        <w:tc>
          <w:tcPr>
            <w:tcW w:w="0" w:type="dxa"/>
            <w:vAlign w:val="bottom"/>
          </w:tcPr>
          <w:p>
            <w:pPr>
              <w:spacing w:after="0"/>
              <w:rPr>
                <w:sz w:val="1"/>
                <w:szCs w:val="1"/>
                <w:color w:val="auto"/>
              </w:rPr>
            </w:pPr>
          </w:p>
        </w:tc>
      </w:tr>
      <w:tr>
        <w:trPr>
          <w:trHeight w:val="213"/>
        </w:trPr>
        <w:tc>
          <w:tcPr>
            <w:tcW w:w="55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Interest expense, net and debt amortization</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18,029</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13,121</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30,588</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25,601</w:t>
            </w:r>
          </w:p>
        </w:tc>
        <w:tc>
          <w:tcPr>
            <w:tcW w:w="0" w:type="dxa"/>
            <w:vAlign w:val="bottom"/>
          </w:tcPr>
          <w:p>
            <w:pPr>
              <w:spacing w:after="0"/>
              <w:rPr>
                <w:sz w:val="1"/>
                <w:szCs w:val="1"/>
                <w:color w:val="auto"/>
              </w:rPr>
            </w:pPr>
          </w:p>
        </w:tc>
      </w:tr>
      <w:tr>
        <w:trPr>
          <w:trHeight w:val="212"/>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EBITDA (Non-GAAP measure)</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(7,931)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22,703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(18,138)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23,447</w:t>
            </w: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643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(8,144)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(4,962)</w:t>
            </w:r>
          </w:p>
        </w:tc>
        <w:tc>
          <w:tcPr>
            <w:tcW w:w="0" w:type="dxa"/>
            <w:vAlign w:val="bottom"/>
          </w:tcPr>
          <w:p>
            <w:pPr>
              <w:spacing w:after="0"/>
              <w:rPr>
                <w:sz w:val="1"/>
                <w:szCs w:val="1"/>
                <w:color w:val="auto"/>
              </w:rPr>
            </w:pPr>
          </w:p>
        </w:tc>
      </w:tr>
      <w:tr>
        <w:trPr>
          <w:trHeight w:val="213"/>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Legal settlement</w:t>
            </w: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(1,108)</w:t>
            </w: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Fair-value changes on investments and derivative liabilities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1,072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6,879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2,329</w:t>
            </w:r>
          </w:p>
        </w:tc>
        <w:tc>
          <w:tcPr>
            <w:tcW w:w="0" w:type="dxa"/>
            <w:vAlign w:val="bottom"/>
          </w:tcPr>
          <w:p>
            <w:pPr>
              <w:spacing w:after="0"/>
              <w:rPr>
                <w:sz w:val="1"/>
                <w:szCs w:val="1"/>
                <w:color w:val="auto"/>
              </w:rPr>
            </w:pPr>
          </w:p>
        </w:tc>
      </w:tr>
      <w:tr>
        <w:trPr>
          <w:trHeight w:val="213"/>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for acquisition and other non-core costs</w:t>
            </w:r>
          </w:p>
        </w:tc>
        <w:tc>
          <w:tcPr>
            <w:tcW w:w="1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12,853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15,608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7,971</w:t>
            </w: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expense</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(1,592)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1,966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1,104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4,542</w:t>
            </w:r>
          </w:p>
        </w:tc>
        <w:tc>
          <w:tcPr>
            <w:tcW w:w="0" w:type="dxa"/>
            <w:vAlign w:val="bottom"/>
          </w:tcPr>
          <w:p>
            <w:pPr>
              <w:spacing w:after="0"/>
              <w:rPr>
                <w:sz w:val="1"/>
                <w:szCs w:val="1"/>
                <w:color w:val="auto"/>
              </w:rPr>
            </w:pPr>
          </w:p>
        </w:tc>
      </w:tr>
      <w:tr>
        <w:trPr>
          <w:trHeight w:val="213"/>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Fixed asset impairment</w:t>
            </w: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Adjustment for held-for-sale</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(651)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2,868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5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Loss on disposal group</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4,089</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412</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7,327</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35"/>
        </w:trPr>
        <w:tc>
          <w:tcPr>
            <w:tcW w:w="55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Adjusted EBITDA (Non-GAAP measure)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8,483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17,537</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16,776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32,843</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86,350</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125,190</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173,790</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247,801</w:t>
            </w: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EBITDA (Non-GAAP measure)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8,483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17,537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16,776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32,843</w:t>
            </w: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 margin (Non-GAAP measure)</w:t>
            </w:r>
          </w:p>
        </w:tc>
        <w:tc>
          <w:tcPr>
            <w:tcW w:w="1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86,350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125,190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173,790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247,801</w:t>
            </w: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17,153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48,052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46,438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90,589</w:t>
            </w: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38.4%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Adjusted EBITDA for the three and six months ended June 30, 2025, as compared to the prior year period, was primarily driven by declines in gross profit in the ongoing wholesale and retail operations and through restructuring and disposal activity, partially offset by improved leverage of revenues across selling, general, and administrative expenses such as facility costs, salary costs, and benefit costs.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on a local, state, and federal level.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need for liquidity is to fund working capital requirements of our business, capital expenditures and for general corporate purposes. Historically, we have relied on external financing as our primary source of liquidity. Our ability to fund our operations and to make capital expenditures depends on our ability to successfully secure financing through issuance of debt or equity, as well as our ability to improve our future operating performance and cash flows, which are subject to prevailing economic conditions and financial, business and other factors, some of which are beyond our control.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meeting our obligations and are earning revenues from our operations. However, we have sustained losses since inception and may require additional capital in the future. We estimate that based on our current business operations and working capital, we will continue to meet our obligations in the short term. As we continue to focus on profitability, we endeavor to remain opportunistic on growth through expansion or acquisition, therefore our cash flow requirements and obligations could materially change.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Financing Transactions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3, 2022, the Company closed a private placement (the “February 2022 Private Placement”) of $185,000 aggregate principal amount of 9.50% senior-secured first-lien notes due 2026 (the “2026 Notes”) and received aggregate gross proceeds of $153,250. The 2026 Notes were senior secured obligations of the Company and were issued at 100.0% of face value. The 2026 Notes accrued interest in arrears which was payable semi-annually and were scheduled to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senior secured first-lien notes (the “13.0% Term Debt”), pursuant to private agreements in accordance with the trust indenture, for an equivalent amount of 2026 Notes plus accrued but unpaid interest and any negotiated premium thereon.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premium and paid interest were paid out of funds raised from the February 2022 Private Placement. The total unamortized debt premium and debt issuance costs of $2,153, related to the modified portion of the 13.0% Term Debt, was being amortized over the term of the 2026 Notes using the effective interest method. The Company incurred $7,189 in creditor fees in connection with the modified 13.0% Term Debt and 2026 Notes and $301 in third-party legal fees related to 2026 Notes, which were capitalized and were being amortized over the term of the 2026 Notes using the effective interest rate method.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29, 2025, the 2026 Notes were exchanged for the 2028 Notes, see 2025 Debt Transactions (the 2028 Notes and the 2028 Convertible Notes). At the time of the exchange, the remaining unamortized debt premium, debt issuance costs, collector fees, and third party legal fees of $2,216 were written off.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19, 2024, the Company closed a private placement (the “March 2024 Private Placement”) of $25,750 aggregate principal amount of 9.0% senior-secured first-lien notes due 2027 (the “2027 Notes”) and received aggregate gross proceeds of $15,600. The 2027 Notes were senior secured obligations of the Company and were issued at 80.0% of face value. The 2027 Notes accrued interest in arrears which was payable semi-annually and were scheduled to mature on March 19, 2027. In connection with the offering of the 2027 Notes, the Company exchanged $5,000 of the Company’s existing 6.0% 2025 Convertible Notes. Through June 30, 2025, 983,604 shares were issued to convert $300 principal.</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principal amount of the 2027 Convertible Notes and the conversion price were denominated in U.S. dollars. As the debt was issued out of the Company's Canadian Holding company, but the functional currency of the Company is US Dollars, the amount of the liability to be settled depends on the applicable foreign exchange rate on the date of settlement. The 2027 Convertible Notes therefore represented an obligation to issue a fixed number of shares for a variable amount of liability. Due to this conversion feature within the 2027 Convertible Notes, the Company was unable to obtain an exception from derivative accounting. Accordingly, this conversion feature was accounted for as an embedded derivative liability and measured at fair value of $2,632 on the date of issuance of debt with a corresponding debt discount and debt issuance costs of $5,952, reflected as a reduction to the carrying value of the 2027 Convertible Notes. The Company fair valued the derivative liability at each balance sheet date. Changes in fair value of the embedded derivative were recognized in the condensed consolidated interim statements of operations and comprehensive loss. The debt discount and debt issuance costs were being amortized over the term of the 2027 Convertible Notes.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29, 2025, the 2027 Convertible Notes were exchanged for the 2028 Notes, see 2025 Debt Transactions (the 2028 Notes and the 2028 Convertible Notes). At the time of the exchange, the remaining unamortized debt discount and debt issuance costs of $3,759 were written off.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Convertible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29, 2021, the Company completed an offering of 6.0% Secured Convertible Notes Due 2025 (“2025 Convertible Notes”) for an aggregate principal amount of $74.5 million. The 2025 Convertible Notes were senior secured obligations of the Company and accrued interest payable semiannually in arrears and were scheduled to mature on June 29, 2025, unless earlier converted, redeemed, or repurchased.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2025 Convertible Notes shall be convertible, at the option of the holder, from the date of issuance until the date that is 10 days prior to their maturity date into Common Shares of the Company at a conversion price equal to $6.49 payable on the business day prior to the date of</w:t>
      </w:r>
    </w:p>
    <w:p>
      <w:pPr>
        <w:sectPr>
          <w:pgSz w:w="11900" w:h="16838" w:orient="portrait"/>
          <w:cols w:equalWidth="0" w:num="1">
            <w:col w:w="11240"/>
          </w:cols>
          <w:pgMar w:left="320" w:top="121" w:right="33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conversion, adjusted downwards for any cash dividends paid to holders of Common Shares and other customary adjustments. The Company may redeem the 2025 Convertible Notes at par, in whole or in part, on or after June 29, 2023, if the volume weighted average price of the Common Shares trading on the Canadian Stock Exchange or Cboe Canada for 15 of the 30 trading days immediately preceding the day on which the Company exercises its redemption right, exceeds 120.0% of the conversion price of the 2025 Convertible Notes at a Redemption Price equal to 100.0% of the principal amount of the 2025 Convertible Notes redeemed, plus accrued but unpaid interest, if any, up to but excluding the Redemption Date.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2025 Convertible Notes required interest-only payments until June 29, 2025, at a rate of 6.0% per annum, payable semi-annually in June and December and commencing in December 2021. The 2025 Convertible Notes were scheduled to mature on June 29, 2025. The Company incurred financing costs of $3,190 in connection with the 2025 Convertible Notes. The principal amount of the 2025 Convertible Notes and the conversion price were denominated in U.S. dollars. As the debt was issued out of the Company's Canadian Holding company, but the functional currency of the Company is US Dollars, the amount of the liability to be settled depends on the applicable foreign exchange rate on the date of settlement. The 2025 Convertible Notes therefore represented an obligation to issue a fixed number of shares for a variable amount of liability. Due to this conversion feature within the 2025 Convertible Notes, the Company was unable to obtain an exception from derivative accounting. Accordingly, this conversion feature was accounted for as an embedded derivative liability and measured at fair value of $15,099 on the date of issuance of debt with a corresponding debt discount, reflected as a reduction to the carrying value of the 2025 Convertible Notes. The Company fair valued the derivative liability at each balance sheet date. Changes in fair value of the embedded derivative were recognized in the condensed consolidated interim statements of operations and comprehensive loss. The debt discount was amortized over the term of the 2025 Convertible Notes.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29, 2025, the 2025 Convertible Notes were exchanged for the 2028 Notes, see 2025 Debt Transactions (the 2028 Notes and the 2028 Convertible Notes). At the time of the exchange, the remaining unamortized finance costs of $973, were written off.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2024 Debt Exchange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22, 2024, the Company entered into an exchange agreement, as amended on June 30, 2024 and September 30, 2024 (the “Exchange</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Agreement”), with certain holders of the Company’s 6.0% senior secured 2025 Convertible Notes (the “Holders”), pursuant to which the Company agreed to the repurchase of up to $25 million principal amount of the 2025 Convertible Notes in exchange for Common Shares (the “January 2024 Debt Exchange”).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Exchange Agreement, the Holders shall:</w:t>
      </w:r>
    </w:p>
    <w:p>
      <w:pPr>
        <w:spacing w:after="0" w:line="293" w:lineRule="exact"/>
        <w:rPr>
          <w:sz w:val="20"/>
          <w:szCs w:val="20"/>
          <w:color w:val="auto"/>
        </w:rPr>
      </w:pPr>
    </w:p>
    <w:p>
      <w:pPr>
        <w:jc w:val="both"/>
        <w:ind w:left="660" w:hanging="328"/>
        <w:spacing w:after="0" w:line="239" w:lineRule="auto"/>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by January 31, 2024, transfer $5 million principal amount of 2025 Convertible Notes in consideration of Common Shares issued at a price per Common Share equal to the greater of C$0.41 per Common Share and the 12.5% discount to the 5 days volume weighted average price of the Common Shares on Cboe prior to receipt of a Transfer notice;</w:t>
      </w:r>
    </w:p>
    <w:p>
      <w:pPr>
        <w:spacing w:after="0" w:line="267" w:lineRule="exact"/>
        <w:rPr>
          <w:rFonts w:ascii="Times New Roman" w:cs="Times New Roman" w:eastAsia="Times New Roman" w:hAnsi="Times New Roman"/>
          <w:sz w:val="22"/>
          <w:szCs w:val="22"/>
          <w:color w:val="auto"/>
        </w:rPr>
      </w:pPr>
    </w:p>
    <w:p>
      <w:pPr>
        <w:jc w:val="both"/>
        <w:ind w:left="660" w:hanging="328"/>
        <w:spacing w:after="0" w:line="246" w:lineRule="auto"/>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provided that the five-day volume weighted average price of the Common Shares on the Exchange is greater than C$0.47 as of the close of trading at 4:01pm on January 31, 2024, transfer $5 million principal amount of 2025 Convertible Notes in consideration of Common Shares issued at the Initial Exchange Price on or prior to February 29, 2024; and</w:t>
      </w:r>
    </w:p>
    <w:p>
      <w:pPr>
        <w:spacing w:after="0" w:line="261" w:lineRule="exact"/>
        <w:rPr>
          <w:rFonts w:ascii="Times New Roman" w:cs="Times New Roman" w:eastAsia="Times New Roman" w:hAnsi="Times New Roman"/>
          <w:sz w:val="22"/>
          <w:szCs w:val="22"/>
          <w:color w:val="auto"/>
        </w:rPr>
      </w:pPr>
    </w:p>
    <w:p>
      <w:pPr>
        <w:jc w:val="both"/>
        <w:ind w:left="660" w:hanging="328"/>
        <w:spacing w:after="0" w:line="246" w:lineRule="auto"/>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June 30, 2025, (which date the parties extended to December 31, 2024), transfer in three separate equal tranches, an aggregate of $15 million principal amount of 2025 Convertible Notes in consideration of Common Shares issued at a price per Common Share equal to the greater of C$0.57 per Common Share and the 12.5% discount to the 5 days volume weighted average price of the Common Shares on Cboe prior to receipt of a Transfer notice, in each case, subject to adjustment in certain instances, on or prior to December 31, 2024.</w:t>
      </w: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Through December 31, 2024, $10 million of the potential $25 million exchange had been completed. The term of the Exchange Agreement expired as of January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Debt Transaction (the 2028 Notes and the 2028 Convertible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27, 2025, the Company entered into a support agreement (the “Support Agreement”) with certain holders (the “Supporting Noteholders”) of the aggregate principal amount of issued Senior Notes (as defined below) regarding the exchange of their Senior Notes for new notes having a later maturity date and additional covenants (the “2025 Debt Transaction”). The Senior Notes consist of: (i) the 2025 Convertible Notes; (ii) the 2026 Notes; and</w:t>
      </w:r>
    </w:p>
    <w:p>
      <w:pPr>
        <w:spacing w:after="0" w:line="1" w:lineRule="exact"/>
        <w:rPr>
          <w:sz w:val="20"/>
          <w:szCs w:val="20"/>
          <w:color w:val="auto"/>
        </w:rPr>
      </w:pPr>
    </w:p>
    <w:p>
      <w:pPr>
        <w:jc w:val="both"/>
        <w:ind w:firstLine="8"/>
        <w:spacing w:after="0" w:line="253" w:lineRule="auto"/>
        <w:tabs>
          <w:tab w:leader="none" w:pos="3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2027 Convertible Notes (together with the 2025 Convertible Notes and the 2026 Notes, the “Senior Notes”). Under the terms of the 2025 Debt Transaction, among other provisions, the holders of the 2025 Convertible Notes and the 2026 Notes exchanged their Senior Notes for an equal principal amount of 9.25% Senior Secured Notes due December 31, 2028 (subject to two six-month extension options available to the Company upon payment of a 0.5% fee, payable in cash) (the new “2028 Notes”) and the holders of the 2027 Convertible Notes received either (i) an equal principal amount of the 2028 Notes or (ii) if elected, an equal principal amount of newly issued 9.0% convertible notes, which have the same conversion price as the existing 2027</w:t>
      </w:r>
    </w:p>
    <w:p>
      <w:pPr>
        <w:spacing w:after="0" w:line="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Convertible Notes but will the same extended maturity date as the 2028 Notes (the new “2028 Convertible Notes”, and together with the 2028 Notes, the “New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2028 Notes and 2028 Convertible Notes require interest-only payments until December 31, 2028, payable semi-annually in June and December and</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commencing in December 2025 until maturity. The Company incurred financing costs of $12,155 in connection with the 2025 Debt Transaction. The principal amount of the 2028 Convertible Notes and the conversion price are denominated in U.S. dollars. As the debt was issued out of the Company's Canadian Holding company, but the functional currency of the Company is US Dollars, the amount of the liability to be settled depends on the applicable foreign exchange rate on the date of settlement. The 2028 Convertible Notes therefore represent an obligation to issue a fixed number of shares for a variable amount of liability. Due to this conversion feature within the 2028 Convertible Notes, the Company is unable to obtain an exception from derivative accounting. Accordingly, this conversion feature was accounted for as an embedded derivative liability and measured at fair value of $230 on the date of issuance of debt with a corresponding debt discount, reflected as a reduction to the carrying value of the 2028 Convertible Notes. The Company fair values the derivative liability at each balance sheet date. Changes in fair value of the embedded derivative are recognized in the condensed consolidated interim statements of operations and comprehensive loss. The debt financing costs are amortized over the term of the 2028 Notes and 2028 Convertible Notes.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part of the 2025 Debt Transaction, the Company issued 118,209,105 warrants to the Company shareholders on a pro rata basis, see Note 10 Warrants.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2028 Notes and 2028 Convertible Notes are secured by a first-priority security interest in all present and after-acquired personal property of the Company, including a pledge of the Equity Interests owned by the Issuer and each Guarantor; and a collateral assignment of leases in respect of certain leasehold property and all of the Company's interests therein as defined in the Amended and Restated Trust Indenture.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completed its 2025 Debt Transaction effective May 29, 2025 following receipt of court approval.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Company entered into a term loan and security agreement with a bank. The agreement provides for a $20,000 mortgage on real property in New York and carries interest at a variable rate per annum equal to the Wall Street Prime Rate (“Index”) plus 2.25%. The debt is repayable in 59 monthly installments and a final balloon payment due on January 1, 2027, which is estimated at $17,920 as of June 30, 2025. In connection with this mortgage, the Company incurred financing costs of $655.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entered into a term loan and security agreement with a bank. The agreement provides for a $16,500 mortgage on real property in New Jersey and carries interest at a variable rate per annum equal to the Index plus 2.25%. The debt is repayable in 59 monthly installments and a final balloon payment due on July 15, 2027, which is estimated at $15,549 as of June 30, 2025. In connection with this mortgage, the Company incurred financing costs of $209.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10, 2023, the Company entered into two term loans and security agreements with a bank as follows:</w:t>
      </w:r>
    </w:p>
    <w:p>
      <w:pPr>
        <w:spacing w:after="0" w:line="293" w:lineRule="exact"/>
        <w:rPr>
          <w:sz w:val="20"/>
          <w:szCs w:val="20"/>
          <w:color w:val="auto"/>
        </w:rPr>
      </w:pPr>
    </w:p>
    <w:p>
      <w:pPr>
        <w:jc w:val="both"/>
        <w:ind w:left="660" w:hanging="328"/>
        <w:spacing w:after="0" w:line="246" w:lineRule="auto"/>
        <w:tabs>
          <w:tab w:leader="none" w:pos="65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first agreement provides for a $6,250 mortgage on real property in Maryland and carries interest at a variable rate per annum equal to the Index plus 2.25%. The debt is repayable in 59 monthly installments and matures in August 2028. In connection with this mortgage, the Company incurred financing costs of $195 and netted $2,903 after the repayment of a prior outstanding mortgage on the property.</w:t>
      </w:r>
    </w:p>
    <w:p>
      <w:pPr>
        <w:spacing w:after="0" w:line="261" w:lineRule="exact"/>
        <w:rPr>
          <w:rFonts w:ascii="Times New Roman" w:cs="Times New Roman" w:eastAsia="Times New Roman" w:hAnsi="Times New Roman"/>
          <w:sz w:val="22"/>
          <w:szCs w:val="22"/>
          <w:color w:val="auto"/>
        </w:rPr>
      </w:pPr>
    </w:p>
    <w:p>
      <w:pPr>
        <w:jc w:val="both"/>
        <w:ind w:left="660" w:right="20" w:hanging="328"/>
        <w:spacing w:after="0" w:line="239" w:lineRule="auto"/>
        <w:tabs>
          <w:tab w:leader="none" w:pos="65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second agreement provides for a $1,800 mortgage on real property in Delaware and carries interest at a variable rate per annum equal to the Index plus 2.25%. The debt is repayable in 59 monthly installments and matures in August 2028. In connection with this mortgage, the Company incurred financing costs of $77 and netted $1,723. The mortgage was paid in full on January 15, 2025 with the sale of the property.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on the Company’s indebtedness was 9.23%.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sources and uses of cash for each of the periods presented:</w:t>
      </w:r>
    </w:p>
    <w:p>
      <w:pPr>
        <w:spacing w:after="0" w:line="187" w:lineRule="exact"/>
        <w:rPr>
          <w:sz w:val="20"/>
          <w:szCs w:val="20"/>
          <w:color w:val="auto"/>
        </w:rPr>
      </w:pPr>
    </w:p>
    <w:tbl>
      <w:tblPr>
        <w:tblLayout w:type="fixed"/>
        <w:tblInd w:w="172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1"/>
        </w:trPr>
        <w:tc>
          <w:tcPr>
            <w:tcW w:w="50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(11,072)</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(9,659)</w:t>
            </w: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40" w:type="dxa"/>
            <w:vAlign w:val="bottom"/>
          </w:tcPr>
          <w:p>
            <w:pPr>
              <w:spacing w:after="0"/>
              <w:rPr>
                <w:sz w:val="18"/>
                <w:szCs w:val="18"/>
                <w:color w:val="auto"/>
              </w:rPr>
            </w:pPr>
          </w:p>
        </w:tc>
        <w:tc>
          <w:tcPr>
            <w:tcW w:w="118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5,939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r>
      <w:tr>
        <w:trPr>
          <w:trHeight w:val="21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(14,206)</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(4,629)</w:t>
            </w:r>
          </w:p>
        </w:tc>
      </w:tr>
      <w:tr>
        <w:trPr>
          <w:trHeight w:val="20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(19,339)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(13,432)</w:t>
            </w:r>
          </w:p>
        </w:tc>
      </w:tr>
      <w:tr>
        <w:trPr>
          <w:trHeight w:val="2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2025, operating activities used $11,072 of cash, primarily resulting from a net loss of $109,592 and this was partly offset by deferred income tax of $31,694, depreciation and amortization of $16,851, debt amortization expenses of $10,678, loss on deconsolidation of subsidiary of $10,494, change in investment fair value of $6,520, loss on early extinguishment of note of $3,227, provision for credit losses of $2,238, provision for obsolete inventory and other assets of $10,752, equity based compensation of $935, change in fair value of derivative liability of $359, impairment of fixed assets of $193, other expenses of $106, and net change in operating assets and liabilities of $13,953. The net change in operating assets and liabilities was primarily due to a decrease in notes receivable of $19,350, a decrease in inventory of $4,656, a decrease in other assets of $4,082; this was partially offset by a decrease in accrued expenses and other current liabilities of $12,616, a decrease in accounts payable of $9,108, an increase in income tax payable of $273, an increase in other long-term liabilities of $1,521, an increase in accounts receivable of $840, and an increase prepaid expenses and other current assets of $2,665.</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six months ended June 30, 2024, operating activities used $9,659 of cash, primarily resulting from a net loss of $48,211, deferred taxes of $1,080, other items of $343, and equity-based compensation expense of $4,962, legal settlement of $1,108; this was partially offset by depreciation and amortization of $27,547, debt amortization expense of $4,307, provision for credit losses of $964, provision for obsolete inventory of $5,642, loss on deconsolidation of subsidiary of $624, change in fair value of derivative liability of $2,329, and net change in operating assets and liabilities of $5,596. The net change in operating assets and liabilities was primarily due to a decrease in other assets of $728, an increase in accounts payable of $4,138, an increase in income tax payable of $17,367, an increase in accrued expenses and other current liabilities of $12, and an increase in other long term liabilities of $609. This was offset by an increase in accounts receivable of $4,868, an increase in prepaid expenses and other current assets of $3,214, and an increase in inventory of $10,140.</w:t>
      </w:r>
    </w:p>
    <w:p>
      <w:pPr>
        <w:spacing w:after="0" w:line="237" w:lineRule="auto"/>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During the six months ended June 30, 2025, investing activities provided $5,939 of cash, mainly due to the proceeds from the sale of business of $5,687, proceeds from the sale of license of $4,000, and cash received on deposits, net of $108. This was partially offset by purchases of property and equipment of $3,856.</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2024, investing activities provided $856 of cash mainly due to the proceeds from the sale of the UT business of $2,999, cash received on deposits, net of $157, and proceeds from sale of license of $329. This was partially offset by purchases of property and equipment of $2,629.</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2025, financing activities used $14,206 of cash, mainly due to payment of debt issuance costs of $12,155, payment of lease liabilities of $1,466, repayment of notes payable of $100, repayment of mortgage notes of $353, taxes paid on equity based compensation of $120, and distributions of $12.</w:t>
      </w:r>
    </w:p>
    <w:p>
      <w:pPr>
        <w:spacing w:after="0" w:line="1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six months ended June 30, 2024, financing activities used $4,629 of cash, mainly due to repayments of debt of $13,228, payment of lease liabilities of $3,582, payment of debt issuance costs of $802, repayment of sellers note of $750, taxes paid on equity based compensation of $1,255, distributions of $333, and repayment of mortgage notes of $279. This was partially offset by proceeds from issuance of convertible debt of $15,600.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contractual obligations as of June 30, 2025 and the effects that such obligations are expected to have on our liquidity and cash flows in future periods: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3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7"/>
        </w:trPr>
        <w:tc>
          <w:tcPr>
            <w:tcW w:w="3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80"/>
              <w:spacing w:after="0" w:line="167" w:lineRule="exact"/>
              <w:rPr>
                <w:sz w:val="20"/>
                <w:szCs w:val="20"/>
                <w:color w:val="auto"/>
              </w:rPr>
            </w:pPr>
            <w:r>
              <w:rPr>
                <w:rFonts w:ascii="Times New Roman" w:cs="Times New Roman" w:eastAsia="Times New Roman" w:hAnsi="Times New Roman"/>
                <w:sz w:val="16"/>
                <w:szCs w:val="16"/>
                <w:b w:val="1"/>
                <w:bCs w:val="1"/>
                <w:color w:val="auto"/>
              </w:rPr>
              <w:t>Less than 1</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9"/>
              <w:spacing w:after="0" w:line="167" w:lineRule="exact"/>
              <w:rPr>
                <w:sz w:val="20"/>
                <w:szCs w:val="20"/>
                <w:color w:val="auto"/>
              </w:rPr>
            </w:pPr>
            <w:r>
              <w:rPr>
                <w:rFonts w:ascii="Times New Roman" w:cs="Times New Roman" w:eastAsia="Times New Roman" w:hAnsi="Times New Roman"/>
                <w:sz w:val="16"/>
                <w:szCs w:val="16"/>
                <w:b w:val="1"/>
                <w:bCs w:val="1"/>
                <w:color w:val="auto"/>
              </w:rPr>
              <w:t>Year 5 and</w:t>
            </w:r>
          </w:p>
        </w:tc>
      </w:tr>
      <w:tr>
        <w:trPr>
          <w:trHeight w:val="212"/>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0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20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Year 2</w:t>
            </w:r>
          </w:p>
        </w:tc>
        <w:tc>
          <w:tcPr>
            <w:tcW w:w="26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3</w:t>
            </w:r>
          </w:p>
        </w:tc>
        <w:tc>
          <w:tcPr>
            <w:tcW w:w="16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Year 4</w:t>
            </w:r>
          </w:p>
        </w:tc>
        <w:tc>
          <w:tcPr>
            <w:tcW w:w="12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beyond</w:t>
            </w:r>
          </w:p>
        </w:tc>
      </w:tr>
      <w:tr>
        <w:trPr>
          <w:trHeight w:val="33"/>
        </w:trPr>
        <w:tc>
          <w:tcPr>
            <w:tcW w:w="3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0"/>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commitments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223,732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11,620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22,471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21,992</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19,887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17,386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130,376</w:t>
            </w: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Sale-leaseback commitments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155,709</w:t>
            </w:r>
          </w:p>
        </w:tc>
      </w:tr>
      <w:tr>
        <w:trPr>
          <w:trHeight w:val="21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 Notes (principal)</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250,750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250,750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2028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 Convertible notes (principal)</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convertible debt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notes (principal)</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40,789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33,675</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notes (interest)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31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contractual obligations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839,438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332,690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286,085</w:t>
            </w: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excludes purchase orders for inventory in the normal course of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Rising inflation rates have had a substantial impact on our financial performance to date and may have an impact on our financial performance in the future as our ability to pass on an increase in costs is not entirely within our control.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judgements, estimates and assumptions about the future that affect assets and liabilities, and revenues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Judgements, estimates, and assumptions with the most significant effect on the amounts recognized in the consolidated financial statements are described below.</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AND FINANCIAL RISK MANAGEMENT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receivable, notes receivable, deposits and other current assets, accounts payable, accrued expenses, current taxes payable and other current liabilities like interest payable and payroll liabilities, derivative liability, debt, and lease liabilities. The fair values of cash and restricted cash, accounts and notes receivable, deposits, accounts payable and accrued expenses and other current liabilities like interest payable and payroll liabilities, short-term debt and lease liabilities approximate their carrying values due to the relatively short-term to maturity or because of the market rate of interest used on initial recognition. The Cannabist Company classifies its derivative liability as fair value through profit and loss (FVTPL).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fair value contained within the hierarchy are:</w:t>
      </w:r>
    </w:p>
    <w:p>
      <w:pPr>
        <w:spacing w:after="0" w:line="1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and</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Level 3 – Inputs for the asset or liability that are not based on observable market data.</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assets measured at fair value on a nonrecurring basis include investments, assets and liabilities held for sale, long-lived assets, and indefinite-lived intangible assets. We review the carrying amounts of such assets whenever events or changes in circumstances indicate that the carrying amounts may not be recoverable or at least annually, for indefinite-lived intangible assets. Any resulting asset impairment would require that the asset be recorded at its fair value. The resulting fair value measurements of the assets are considered Level 3 measurements.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in varying degrees, to a variety of financial instrument related risks. Our risk exposures and the impact on our financial instruments is summarized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risk is the risk of a potential loss to us if a customer or third party to a financial instrument fails to meet its contractual obligations. The maximum credit exposure at June 30, 2025 and December 31, 2024, is the carrying amount of cash and cash equivalents, subscription receivable, accounts receivable and notes receivable. We do not have significant credit risk with respect to our customers. All cash deposits are with regulated U.S. financial institutions.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provide credit to our customers in the normal course of business and have established credit evaluation and monitoring processes to mitigate credit risk but have limited risk as the majority of our sales are transacted with cash.</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risk is the risk that we will not be able to meet our financial obligations associated with financial liabilities. We manage liquidity risk through the management of our capital structure. Our approach to managing liquidity is to estimate cash requirements from operations, capital expenditures and investments and ensure that we have sufficient liquidity to fund our ongoing operations and to settle obligations and liabilities when due.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incurred significant cumulative net losses and we have not generated positive cash flows from our operations. We have therefore depended on financing from the sale of our equity and from debt financing to fund our operations. Overall, we do not expect the net cash contribution from our operations and investments to be positive in the near term, and we therefore expect to rely on financing from equity or debt.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business opportunities and challenges applicable to any business operating in a fast-growing environment, our business operates in a highly regulated and multi-jurisdictional industry, which is subject to potentially significant changes outside of our control as individual states as well as the U.S. federal government may impose restrictions on our ability to grow our business profitably or enact new laws and regulations that open up new markets.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our financial instrument will fluctuate because of changes in market interest rates. Our cash deposits bear interest at market rates.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operating results and financial position are reported in thousands of U.S. dollars. We may enter into financial transactions denominated in other currencies, which would result in your operations and financial position becoming subject to currency transaction and translation risks.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we had no hedging agreements in place with respect to foreign exchange rates. We have not entered into any agreements or purchased any instruments to hedge possible currency risks at this time.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Risk</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 risk is the risk of variability in fair value due to movements in equity or market prices. We are subject to the risk of price variability pursuant to our products due to competitive or regulatory pressures.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significant material changes to the market risks as disclosed in the Company’s 2024 Form 10-K. See also Financial Risk Management in Part I, Item 2 of this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defined in Rules 13a-15(e) and 15d-15(e) under the Securities Exchange Act of 1934, as amended) as of the end of the period covered by this report were effective to provide reasonable assurance that the information required to be disclosed by the Company in reports filed under the Securities Exchange Act of 1934, as amended, is recorded, processed, summarized, and reported within the time periods specified in the SEC’s rules and forms and that it is accumulated and communicated to management, including the Chief Executive Officer and Chief Financial Officer, as appropriate to allow timely decisions regarding required disclosure.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under the Securities Exchange Act of 1934, as amended) during the three months ended June 30, 2025 that have materially affected, or are reasonably likely to materially affect, the Company’s internal control over financial reporting.</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Murchinson Ltd., an investment manager of holders of 2025 Convertible Notes and 2027 Convertible Notes (the “Applicant”), filed an application in the Ontario Superior Court of Justice (Commercial List) (the “Court”) on March 27, 2025, opposing the 2025 Debt Transaction and claiming the transaction was oppressive to the Applicant. The application filed by the Applicant also claims breach of contract and civil conspiracy. The Applicant seeks from the court, among other forms of relief, that the 2025 Debt Transaction be declared unlawful under the terms of the Canadian Business Corporations Act, an award of unspecified damages, and recovery of costs. By order dated May 21, 2025, the Court ruled in favor of the Company and the 2025 Debt Transaction was subsequently closed. Murchinson Ltd. has filed appeals to the Court of Appeal for Toronto that are currently pending.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in our risk factors from those disclosed in Part I, Item 1A, of the Company’s 2024 Form 10-K, which is incorporated by reference herein.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 may not be able to retain or hire necessary qualified personnel</w:t>
      </w:r>
    </w:p>
    <w:p>
      <w:pPr>
        <w:spacing w:after="0" w:line="29" w:lineRule="exact"/>
        <w:rPr>
          <w:sz w:val="20"/>
          <w:szCs w:val="20"/>
          <w:color w:val="auto"/>
        </w:rPr>
      </w:pPr>
    </w:p>
    <w:p>
      <w:pPr>
        <w:ind w:right="2620"/>
        <w:spacing w:after="0" w:line="255" w:lineRule="auto"/>
        <w:rPr>
          <w:sz w:val="20"/>
          <w:szCs w:val="20"/>
          <w:color w:val="auto"/>
        </w:rPr>
      </w:pPr>
      <w:r>
        <w:rPr>
          <w:rFonts w:ascii="Times New Roman" w:cs="Times New Roman" w:eastAsia="Times New Roman" w:hAnsi="Times New Roman"/>
          <w:sz w:val="18"/>
          <w:szCs w:val="18"/>
          <w:color w:val="auto"/>
        </w:rPr>
        <w:t>The Company’s ability to retain or hire qualified personnel is subject to a variety of uncertainties due to the challenging financial conditions facing both the industry and the Company. If the Company is unable to retain or hire sufficiently qualified resources, the Company may have difficulty executing on its operational and strategic plans.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260" w:hanging="1118"/>
        <w:spacing w:after="0"/>
        <w:tabs>
          <w:tab w:leader="none" w:pos="2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2260" w:hanging="1118"/>
        <w:spacing w:after="0"/>
        <w:tabs>
          <w:tab w:leader="none" w:pos="2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Trading Plans of Directors and Executive Officers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defined in Item 408(c)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 Index</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797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2.1</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2.2</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3.1</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2922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61" w:lineRule="exact"/>
        <w:rPr>
          <w:sz w:val="20"/>
          <w:szCs w:val="20"/>
          <w:color w:val="auto"/>
        </w:rPr>
      </w:pPr>
    </w:p>
    <w:p>
      <w:pPr>
        <w:ind w:right="580"/>
        <w:spacing w:after="0" w:line="266" w:lineRule="auto"/>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Arrangement Agreement, dated March 23, 2022, between Cresco Labs Inc. and Columbia Care Inc. (incorporated by reference to</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Exhibit 2.1 of the Registrant’s Current Report on Form 8-K, filed with the SEC on March 29, 2022)</w:t>
        </w:r>
      </w:hyperlink>
    </w:p>
    <w:p>
      <w:pPr>
        <w:spacing w:after="0" w:line="27" w:lineRule="exact"/>
        <w:rPr>
          <w:sz w:val="20"/>
          <w:szCs w:val="20"/>
          <w:color w:val="auto"/>
        </w:rPr>
      </w:pPr>
    </w:p>
    <w:p>
      <w:pPr>
        <w:ind w:right="580"/>
        <w:spacing w:after="0" w:line="266" w:lineRule="auto"/>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Amending Agreement, dated February 27, 2023, between Cresco Labs Inc. and Columbia Care Inc. (incorporated by reference to</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Exhibit 2.1 of the Registrant’s Current Report on Form 8-K, filed with the SEC on February 28, 2023)</w:t>
        </w:r>
      </w:hyperlink>
    </w:p>
    <w:p>
      <w:pPr>
        <w:spacing w:after="0" w:line="27" w:lineRule="exact"/>
        <w:rPr>
          <w:sz w:val="20"/>
          <w:szCs w:val="20"/>
          <w:color w:val="auto"/>
        </w:rPr>
      </w:pPr>
    </w:p>
    <w:p>
      <w:pPr>
        <w:ind w:right="180"/>
        <w:spacing w:after="0" w:line="266" w:lineRule="auto"/>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Articles, dated April 26, 2019 (incorporated by reference to Exhibit 3.1 of the Registrant’s Form 8-K, filed with the SEC on September</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22, 2023)</w:t>
        </w:r>
      </w:hyperlink>
    </w:p>
    <w:p>
      <w:pPr>
        <w:spacing w:after="0" w:line="27" w:lineRule="exact"/>
        <w:rPr>
          <w:sz w:val="20"/>
          <w:szCs w:val="20"/>
          <w:color w:val="auto"/>
        </w:rPr>
      </w:pPr>
    </w:p>
    <w:p>
      <w:pPr>
        <w:ind w:right="180"/>
        <w:spacing w:after="0" w:line="266"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Certificate of Change of Name, dated September 19, 2023 (incorporated by reference to Exhibit 3.2 of the Registrant’s Form 8-K, filed</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with the SEC on September 22, 2023)</w:t>
        </w:r>
      </w:hyperlink>
    </w:p>
    <w:p>
      <w:pPr>
        <w:spacing w:after="0" w:line="200" w:lineRule="exact"/>
        <w:rPr>
          <w:sz w:val="20"/>
          <w:szCs w:val="20"/>
          <w:color w:val="auto"/>
        </w:rPr>
      </w:pPr>
    </w:p>
    <w:p>
      <w:pPr>
        <w:sectPr>
          <w:pgSz w:w="11900" w:h="16838" w:orient="portrait"/>
          <w:cols w:equalWidth="0" w:num="2">
            <w:col w:w="940" w:space="400"/>
            <w:col w:w="9900"/>
          </w:cols>
          <w:pgMar w:left="320" w:top="121" w:right="339" w:bottom="1440" w:gutter="0" w:footer="0" w:header="0"/>
          <w:type w:val="continuous"/>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7"/>
              </w:rPr>
              <w:t>4.1</w:t>
            </w:r>
          </w:p>
        </w:tc>
        <w:tc>
          <w:tcPr>
            <w:tcW w:w="9780" w:type="dxa"/>
            <w:vAlign w:val="bottom"/>
            <w:gridSpan w:val="12"/>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Warrant Agency Agreement dated September 20, 2018 between Canaccord Genuity Growth Corp. and Odyssey Trust Company</w:t>
              </w:r>
            </w:hyperlink>
          </w:p>
        </w:tc>
      </w:tr>
      <w:tr>
        <w:trPr>
          <w:trHeight w:val="183"/>
        </w:trPr>
        <w:tc>
          <w:tcPr>
            <w:tcW w:w="840" w:type="dxa"/>
            <w:vAlign w:val="bottom"/>
          </w:tcPr>
          <w:p>
            <w:pPr>
              <w:spacing w:after="0"/>
              <w:rPr>
                <w:sz w:val="15"/>
                <w:szCs w:val="15"/>
                <w:color w:val="auto"/>
              </w:rPr>
            </w:pPr>
          </w:p>
        </w:tc>
        <w:tc>
          <w:tcPr>
            <w:tcW w:w="9220" w:type="dxa"/>
            <w:vAlign w:val="bottom"/>
            <w:tcBorders>
              <w:top w:val="single" w:sz="8" w:color="0000FF"/>
            </w:tcBorders>
            <w:gridSpan w:val="4"/>
          </w:tcPr>
          <w:p>
            <w:pPr>
              <w:spacing w:after="0" w:line="182" w:lineRule="exact"/>
              <w:rPr>
                <w:rFonts w:ascii="Times New Roman" w:cs="Times New Roman" w:eastAsia="Times New Roman" w:hAnsi="Times New Roman"/>
                <w:sz w:val="18"/>
                <w:szCs w:val="18"/>
                <w:color w:val="0000FF"/>
                <w:w w:val="98"/>
              </w:rPr>
            </w:pPr>
            <w:hyperlink r:id="rId77">
              <w:r>
                <w:rPr>
                  <w:rFonts w:ascii="Times New Roman" w:cs="Times New Roman" w:eastAsia="Times New Roman" w:hAnsi="Times New Roman"/>
                  <w:sz w:val="18"/>
                  <w:szCs w:val="18"/>
                  <w:color w:val="0000FF"/>
                  <w:w w:val="98"/>
                </w:rPr>
                <w:t>(incorporated by reference to Exhibit 4.1 of the Registrant’s Registration Statement on Form 10, filed with the SEC on December</w:t>
              </w:r>
            </w:hyperlink>
          </w:p>
        </w:tc>
        <w:tc>
          <w:tcPr>
            <w:tcW w:w="420" w:type="dxa"/>
            <w:vAlign w:val="bottom"/>
            <w:gridSpan w:val="6"/>
          </w:tcPr>
          <w:p>
            <w:pPr>
              <w:jc w:val="right"/>
              <w:ind w:right="60"/>
              <w:spacing w:after="0" w:line="18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14,</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8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77">
              <w:r>
                <w:rPr>
                  <w:rFonts w:ascii="Times New Roman" w:cs="Times New Roman" w:eastAsia="Times New Roman" w:hAnsi="Times New Roman"/>
                  <w:sz w:val="18"/>
                  <w:szCs w:val="18"/>
                  <w:color w:val="0000FF"/>
                  <w:w w:val="95"/>
                </w:rPr>
                <w:t>2021)</w:t>
              </w:r>
            </w:hyperlink>
          </w:p>
        </w:tc>
        <w:tc>
          <w:tcPr>
            <w:tcW w:w="69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7"/>
              </w:rPr>
              <w:t>4.2</w:t>
            </w:r>
          </w:p>
        </w:tc>
        <w:tc>
          <w:tcPr>
            <w:tcW w:w="9780" w:type="dxa"/>
            <w:vAlign w:val="bottom"/>
            <w:gridSpan w:val="12"/>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Warrant Agreement dated April 26, 2019 between Columbia Care Inc. and Canaccord Genuity Corp. (incorporated by reference to</w:t>
              </w:r>
            </w:hyperlink>
          </w:p>
        </w:tc>
      </w:tr>
      <w:tr>
        <w:trPr>
          <w:trHeight w:val="183"/>
        </w:trPr>
        <w:tc>
          <w:tcPr>
            <w:tcW w:w="840" w:type="dxa"/>
            <w:vAlign w:val="bottom"/>
          </w:tcPr>
          <w:p>
            <w:pPr>
              <w:spacing w:after="0"/>
              <w:rPr>
                <w:sz w:val="15"/>
                <w:szCs w:val="15"/>
                <w:color w:val="auto"/>
              </w:rPr>
            </w:pPr>
          </w:p>
        </w:tc>
        <w:tc>
          <w:tcPr>
            <w:tcW w:w="7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Exhibit 4.2 of the Registrant’s Registration Statement on Form 10, filed with the SEC on December 14, 2021)</w:t>
              </w:r>
            </w:hyperlink>
          </w:p>
        </w:tc>
        <w:tc>
          <w:tcPr>
            <w:tcW w:w="148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7"/>
              </w:rPr>
              <w:t>4.3</w:t>
            </w:r>
          </w:p>
        </w:tc>
        <w:tc>
          <w:tcPr>
            <w:tcW w:w="9780" w:type="dxa"/>
            <w:vAlign w:val="bottom"/>
            <w:gridSpan w:val="12"/>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Trust Indenture made as of March 31, 2020 between Columbia Care Inc. and Odyssey Trust Company (incorporated by reference to</w:t>
              </w:r>
            </w:hyperlink>
          </w:p>
        </w:tc>
      </w:tr>
      <w:tr>
        <w:trPr>
          <w:trHeight w:val="183"/>
        </w:trPr>
        <w:tc>
          <w:tcPr>
            <w:tcW w:w="840" w:type="dxa"/>
            <w:vAlign w:val="bottom"/>
          </w:tcPr>
          <w:p>
            <w:pPr>
              <w:spacing w:after="0"/>
              <w:rPr>
                <w:sz w:val="15"/>
                <w:szCs w:val="15"/>
                <w:color w:val="auto"/>
              </w:rPr>
            </w:pPr>
          </w:p>
        </w:tc>
        <w:tc>
          <w:tcPr>
            <w:tcW w:w="7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Exhibit 4.3 of the Registrant’s Registration Statement on Form 10, filed with the SEC on December 14, 2021)</w:t>
              </w:r>
            </w:hyperlink>
          </w:p>
        </w:tc>
        <w:tc>
          <w:tcPr>
            <w:tcW w:w="1580" w:type="dxa"/>
            <w:vAlign w:val="bottom"/>
            <w:tcBorders>
              <w:top w:val="single" w:sz="8" w:color="0000FF"/>
            </w:tcBorders>
            <w:gridSpan w:val="5"/>
          </w:tcPr>
          <w:p>
            <w:pPr>
              <w:spacing w:after="0"/>
              <w:rPr>
                <w:sz w:val="15"/>
                <w:szCs w:val="15"/>
                <w:color w:val="auto"/>
              </w:rPr>
            </w:pPr>
          </w:p>
        </w:tc>
        <w:tc>
          <w:tcPr>
            <w:tcW w:w="1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7"/>
              </w:rPr>
              <w:t>4.4</w:t>
            </w:r>
          </w:p>
        </w:tc>
        <w:tc>
          <w:tcPr>
            <w:tcW w:w="9780" w:type="dxa"/>
            <w:vAlign w:val="bottom"/>
            <w:gridSpan w:val="12"/>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Warrant Indenture dated March 31, 2020 between Columbia Care Inc. and Odyssey Trust Company (incorporated by reference to</w:t>
              </w:r>
            </w:hyperlink>
          </w:p>
        </w:tc>
      </w:tr>
      <w:tr>
        <w:trPr>
          <w:trHeight w:val="183"/>
        </w:trPr>
        <w:tc>
          <w:tcPr>
            <w:tcW w:w="840" w:type="dxa"/>
            <w:vAlign w:val="bottom"/>
          </w:tcPr>
          <w:p>
            <w:pPr>
              <w:spacing w:after="0"/>
              <w:rPr>
                <w:sz w:val="15"/>
                <w:szCs w:val="15"/>
                <w:color w:val="auto"/>
              </w:rPr>
            </w:pPr>
          </w:p>
        </w:tc>
        <w:tc>
          <w:tcPr>
            <w:tcW w:w="7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Exhibit 4.4 of the Registrant’s Registration Statement on Form 10, filed with the SEC on December 14, 2021)</w:t>
              </w:r>
            </w:hyperlink>
          </w:p>
        </w:tc>
        <w:tc>
          <w:tcPr>
            <w:tcW w:w="1400" w:type="dxa"/>
            <w:vAlign w:val="bottom"/>
            <w:tcBorders>
              <w:top w:val="single" w:sz="8" w:color="0000FF"/>
            </w:tcBorders>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2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7"/>
              </w:rPr>
              <w:t>4.5</w:t>
            </w:r>
          </w:p>
        </w:tc>
        <w:tc>
          <w:tcPr>
            <w:tcW w:w="9780" w:type="dxa"/>
            <w:vAlign w:val="bottom"/>
            <w:gridSpan w:val="12"/>
          </w:tcPr>
          <w:p>
            <w:pPr>
              <w:spacing w:after="0"/>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Warrant Indenture dated May 14, 2020 between Columbia Care Inc. and Odyssey Trust Company (incorporated by reference to Exhibit</w:t>
              </w:r>
            </w:hyperlink>
          </w:p>
        </w:tc>
      </w:tr>
      <w:tr>
        <w:trPr>
          <w:trHeight w:val="183"/>
        </w:trPr>
        <w:tc>
          <w:tcPr>
            <w:tcW w:w="840" w:type="dxa"/>
            <w:vAlign w:val="bottom"/>
          </w:tcPr>
          <w:p>
            <w:pPr>
              <w:spacing w:after="0"/>
              <w:rPr>
                <w:sz w:val="15"/>
                <w:szCs w:val="15"/>
                <w:color w:val="auto"/>
              </w:rPr>
            </w:pPr>
          </w:p>
        </w:tc>
        <w:tc>
          <w:tcPr>
            <w:tcW w:w="734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6</w:t>
              </w:r>
              <w:r>
                <w:rPr>
                  <w:rFonts w:ascii="Times New Roman" w:cs="Times New Roman" w:eastAsia="Times New Roman" w:hAnsi="Times New Roman"/>
                  <w:sz w:val="18"/>
                  <w:szCs w:val="18"/>
                  <w:color w:val="0000FF"/>
                  <w:w w:val="99"/>
                </w:rPr>
                <w:t xml:space="preserve"> of the Registrant’s Registration Statement on Form 10, filed with the SEC on December 14, 2021)</w:t>
              </w:r>
            </w:hyperlink>
          </w:p>
        </w:tc>
        <w:tc>
          <w:tcPr>
            <w:tcW w:w="242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7"/>
              </w:rPr>
              <w:t>4.6</w:t>
            </w:r>
          </w:p>
        </w:tc>
        <w:tc>
          <w:tcPr>
            <w:tcW w:w="9780" w:type="dxa"/>
            <w:vAlign w:val="bottom"/>
            <w:gridSpan w:val="12"/>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Warrant Indenture dated July 2, 2020 between Columbia Care Inc. and Odyssey Trust Company (incorporated by reference to Exhibit</w:t>
              </w:r>
            </w:hyperlink>
          </w:p>
        </w:tc>
      </w:tr>
      <w:tr>
        <w:trPr>
          <w:trHeight w:val="183"/>
        </w:trPr>
        <w:tc>
          <w:tcPr>
            <w:tcW w:w="840" w:type="dxa"/>
            <w:vAlign w:val="bottom"/>
          </w:tcPr>
          <w:p>
            <w:pPr>
              <w:spacing w:after="0"/>
              <w:rPr>
                <w:sz w:val="15"/>
                <w:szCs w:val="15"/>
                <w:color w:val="auto"/>
              </w:rPr>
            </w:pPr>
          </w:p>
        </w:tc>
        <w:tc>
          <w:tcPr>
            <w:tcW w:w="734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8</w:t>
              </w:r>
              <w:r>
                <w:rPr>
                  <w:rFonts w:ascii="Times New Roman" w:cs="Times New Roman" w:eastAsia="Times New Roman" w:hAnsi="Times New Roman"/>
                  <w:sz w:val="18"/>
                  <w:szCs w:val="18"/>
                  <w:color w:val="0000FF"/>
                  <w:w w:val="99"/>
                </w:rPr>
                <w:t xml:space="preserve"> of the Registrant’s Registration Statement on Form 10, filed with the SEC on December 14, 2021)</w:t>
              </w:r>
            </w:hyperlink>
          </w:p>
        </w:tc>
        <w:tc>
          <w:tcPr>
            <w:tcW w:w="2300" w:type="dxa"/>
            <w:vAlign w:val="bottom"/>
            <w:tcBorders>
              <w:top w:val="single" w:sz="8" w:color="0000FF"/>
            </w:tcBorders>
            <w:gridSpan w:val="8"/>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263"/>
        </w:trPr>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7"/>
              </w:rPr>
              <w:t>4.7</w:t>
            </w:r>
          </w:p>
        </w:tc>
        <w:tc>
          <w:tcPr>
            <w:tcW w:w="9780" w:type="dxa"/>
            <w:vAlign w:val="bottom"/>
            <w:gridSpan w:val="12"/>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Warrant Indenture dated October 29, 2020 between Columbia Care Inc. and Odyssey Trust Company (incorporated by reference to</w:t>
              </w:r>
            </w:hyperlink>
          </w:p>
        </w:tc>
      </w:tr>
      <w:tr>
        <w:trPr>
          <w:trHeight w:val="183"/>
        </w:trPr>
        <w:tc>
          <w:tcPr>
            <w:tcW w:w="840" w:type="dxa"/>
            <w:vAlign w:val="bottom"/>
          </w:tcPr>
          <w:p>
            <w:pPr>
              <w:spacing w:after="0"/>
              <w:rPr>
                <w:sz w:val="15"/>
                <w:szCs w:val="15"/>
                <w:color w:val="auto"/>
              </w:rPr>
            </w:pPr>
          </w:p>
        </w:tc>
        <w:tc>
          <w:tcPr>
            <w:tcW w:w="7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Exhibit 4.9 of the Registrant’s Registration Statement on Form 10, filed with the SEC on December 14, 2021)</w:t>
              </w:r>
            </w:hyperlink>
          </w:p>
        </w:tc>
        <w:tc>
          <w:tcPr>
            <w:tcW w:w="1500" w:type="dxa"/>
            <w:vAlign w:val="bottom"/>
            <w:tcBorders>
              <w:top w:val="single" w:sz="8" w:color="0000FF"/>
            </w:tcBorders>
            <w:gridSpan w:val="4"/>
          </w:tcPr>
          <w:p>
            <w:pPr>
              <w:spacing w:after="0"/>
              <w:rPr>
                <w:sz w:val="15"/>
                <w:szCs w:val="15"/>
                <w:color w:val="auto"/>
              </w:rPr>
            </w:pPr>
          </w:p>
        </w:tc>
        <w:tc>
          <w:tcPr>
            <w:tcW w:w="360" w:type="dxa"/>
            <w:vAlign w:val="bottom"/>
            <w:gridSpan w:val="5"/>
          </w:tcPr>
          <w:p>
            <w:pPr>
              <w:spacing w:after="0"/>
              <w:rPr>
                <w:sz w:val="15"/>
                <w:szCs w:val="15"/>
                <w:color w:val="auto"/>
              </w:rPr>
            </w:pPr>
          </w:p>
        </w:tc>
      </w:tr>
    </w:tbl>
    <w:p>
      <w:pPr>
        <w:spacing w:after="0" w:line="63" w:lineRule="exact"/>
        <w:rPr>
          <w:sz w:val="20"/>
          <w:szCs w:val="20"/>
          <w:color w:val="auto"/>
        </w:rPr>
      </w:pPr>
    </w:p>
    <w:p>
      <w:pPr>
        <w:sectPr>
          <w:pgSz w:w="11900" w:h="16838" w:orient="portrait"/>
          <w:cols w:equalWidth="0" w:num="1">
            <w:col w:w="11240"/>
          </w:cols>
          <w:pgMar w:left="320" w:top="121" w:right="339" w:bottom="1440" w:gutter="0" w:footer="0" w:header="0"/>
        </w:sectPr>
      </w:pPr>
    </w:p>
    <w:p>
      <w:pPr>
        <w:ind w:left="500"/>
        <w:spacing w:after="0"/>
        <w:rPr>
          <w:sz w:val="20"/>
          <w:szCs w:val="20"/>
          <w:color w:val="auto"/>
        </w:rPr>
      </w:pPr>
      <w:r>
        <w:rPr>
          <w:rFonts w:ascii="Times New Roman" w:cs="Times New Roman" w:eastAsia="Times New Roman" w:hAnsi="Times New Roman"/>
          <w:sz w:val="18"/>
          <w:szCs w:val="18"/>
          <w:color w:val="auto"/>
        </w:rPr>
        <w:t>4.8</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br w:type="column"/>
      </w:r>
    </w:p>
    <w:p>
      <w:pPr>
        <w:ind w:right="580"/>
        <w:spacing w:after="0" w:line="266" w:lineRule="auto"/>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Extension Notice dated March 28, 2023 to Odyssey Trust Company (incorporated by reference to Exhibit 4.14 of the Registrant’s</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Annual Report on Form 10-K for the fiscal year ended December 31, 2022, filed with the SEC on March 29, 2023)</w:t>
        </w:r>
      </w:hyperlink>
    </w:p>
    <w:p>
      <w:pPr>
        <w:ind w:right="80"/>
        <w:spacing w:after="0" w:line="222" w:lineRule="auto"/>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Amended and Restated Trust Indenture, among The Cannabist Company Holdings Inc. and The Cannabist Company Holdings (Canada)</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Inc, as co-issuers, and Odyssey Trust Company, as Trustee, dated May 29, 2025 (incorporated by reference to Exhibit 4.1 of the</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Registrant’s Current Report on Form 8-K, filed with the SEC on June 4, 2025)</w:t>
        </w:r>
      </w:hyperlink>
    </w:p>
    <w:p>
      <w:pPr>
        <w:spacing w:after="0" w:line="3" w:lineRule="exact"/>
        <w:rPr>
          <w:sz w:val="20"/>
          <w:szCs w:val="20"/>
          <w:color w:val="auto"/>
        </w:rPr>
      </w:pPr>
    </w:p>
    <w:p>
      <w:pPr>
        <w:sectPr>
          <w:pgSz w:w="11900" w:h="16838" w:orient="portrait"/>
          <w:cols w:equalWidth="0" w:num="2">
            <w:col w:w="740" w:space="600"/>
            <w:col w:w="99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4.10</w:t>
            </w:r>
          </w:p>
        </w:tc>
        <w:tc>
          <w:tcPr>
            <w:tcW w:w="9900" w:type="dxa"/>
            <w:vAlign w:val="bottom"/>
            <w:gridSpan w:val="19"/>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First Supplemental Indenture, among The Cannabist Company Holdings Inc. and The Cannabist Company Holdings (Canada) Inc, as</w:t>
              </w:r>
            </w:hyperlink>
          </w:p>
        </w:tc>
      </w:tr>
      <w:tr>
        <w:trPr>
          <w:trHeight w:val="183"/>
        </w:trPr>
        <w:tc>
          <w:tcPr>
            <w:tcW w:w="1340" w:type="dxa"/>
            <w:vAlign w:val="bottom"/>
          </w:tcPr>
          <w:p>
            <w:pPr>
              <w:spacing w:after="0"/>
              <w:rPr>
                <w:sz w:val="15"/>
                <w:szCs w:val="15"/>
                <w:color w:val="auto"/>
              </w:rPr>
            </w:pPr>
          </w:p>
        </w:tc>
        <w:tc>
          <w:tcPr>
            <w:tcW w:w="9600" w:type="dxa"/>
            <w:vAlign w:val="bottom"/>
            <w:tcBorders>
              <w:top w:val="single" w:sz="8" w:color="0000FF"/>
            </w:tcBorders>
            <w:gridSpan w:val="12"/>
          </w:tcPr>
          <w:p>
            <w:pPr>
              <w:spacing w:after="0" w:line="18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co-issuers, and Odyssey Trust Company, dated May 29, 2025 (incorporated by reference to Exhibit 4.2 of the Registrant’s Current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134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Report on Form 8-K, filed with the SEC on June 4, 2025)</w:t>
              </w:r>
            </w:hyperlink>
          </w:p>
        </w:tc>
        <w:tc>
          <w:tcPr>
            <w:tcW w:w="5200" w:type="dxa"/>
            <w:vAlign w:val="bottom"/>
            <w:tcBorders>
              <w:top w:val="single" w:sz="8" w:color="0000FF"/>
            </w:tcBorders>
            <w:gridSpan w:val="3"/>
          </w:tcPr>
          <w:p>
            <w:pPr>
              <w:spacing w:after="0"/>
              <w:rPr>
                <w:sz w:val="17"/>
                <w:szCs w:val="17"/>
                <w:color w:val="auto"/>
              </w:rPr>
            </w:pPr>
          </w:p>
        </w:tc>
        <w:tc>
          <w:tcPr>
            <w:tcW w:w="540" w:type="dxa"/>
            <w:vAlign w:val="bottom"/>
            <w:gridSpan w:val="11"/>
          </w:tcPr>
          <w:p>
            <w:pPr>
              <w:spacing w:after="0"/>
              <w:rPr>
                <w:sz w:val="17"/>
                <w:szCs w:val="17"/>
                <w:color w:val="auto"/>
              </w:rPr>
            </w:pPr>
          </w:p>
        </w:tc>
      </w:tr>
      <w:tr>
        <w:trPr>
          <w:trHeight w:val="237"/>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10.1*†</w:t>
            </w: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Amendment to the Promissory Note effective May 27, 2025 between Verano Holdings, LLC and The Cannabist Company Holdings Inc</w:t>
            </w:r>
            <w:r>
              <w:rPr>
                <w:rFonts w:ascii="Times New Roman" w:cs="Times New Roman" w:eastAsia="Times New Roman" w:hAnsi="Times New Roman"/>
                <w:sz w:val="18"/>
                <w:szCs w:val="18"/>
                <w:color w:val="000000"/>
              </w:rPr>
              <w:t>.</w:t>
            </w:r>
          </w:p>
        </w:tc>
      </w:tr>
      <w:tr>
        <w:trPr>
          <w:trHeight w:val="23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10.2*</w:t>
            </w:r>
          </w:p>
        </w:tc>
        <w:tc>
          <w:tcPr>
            <w:tcW w:w="98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Waiver and Partial Payoff Agreement dated May 27, 2025 between Verano Holdings, LLC, The Cannabist Company Holdings Inc., and</w:t>
            </w:r>
          </w:p>
        </w:tc>
        <w:tc>
          <w:tcPr>
            <w:tcW w:w="100" w:type="dxa"/>
            <w:vAlign w:val="bottom"/>
          </w:tcPr>
          <w:p>
            <w:pPr>
              <w:spacing w:after="0"/>
              <w:rPr>
                <w:sz w:val="20"/>
                <w:szCs w:val="20"/>
                <w:color w:val="auto"/>
              </w:rPr>
            </w:pPr>
          </w:p>
        </w:tc>
      </w:tr>
      <w:tr>
        <w:trPr>
          <w:trHeight w:val="183"/>
        </w:trPr>
        <w:tc>
          <w:tcPr>
            <w:tcW w:w="1340" w:type="dxa"/>
            <w:vAlign w:val="bottom"/>
          </w:tcPr>
          <w:p>
            <w:pPr>
              <w:spacing w:after="0"/>
              <w:rPr>
                <w:sz w:val="15"/>
                <w:szCs w:val="15"/>
                <w:color w:val="auto"/>
              </w:rPr>
            </w:pPr>
          </w:p>
        </w:tc>
        <w:tc>
          <w:tcPr>
            <w:tcW w:w="154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8"/>
              </w:rPr>
              <w:t>CC VA Holdco LLC.</w:t>
            </w:r>
          </w:p>
        </w:tc>
        <w:tc>
          <w:tcPr>
            <w:tcW w:w="8240" w:type="dxa"/>
            <w:vAlign w:val="bottom"/>
            <w:tcBorders>
              <w:top w:val="single" w:sz="8" w:color="0000FF"/>
            </w:tcBorders>
            <w:gridSpan w:val="13"/>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250"/>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10.3</w:t>
            </w:r>
          </w:p>
        </w:tc>
        <w:tc>
          <w:tcPr>
            <w:tcW w:w="9900" w:type="dxa"/>
            <w:vAlign w:val="bottom"/>
            <w:gridSpan w:val="19"/>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Warrant Agency Agreement, between The Cannabist Company Holdings Inc. and Odyssey Trust Company, as Warrant Agent, dated</w:t>
              </w:r>
            </w:hyperlink>
          </w:p>
        </w:tc>
      </w:tr>
      <w:tr>
        <w:trPr>
          <w:trHeight w:val="183"/>
        </w:trPr>
        <w:tc>
          <w:tcPr>
            <w:tcW w:w="1340" w:type="dxa"/>
            <w:vAlign w:val="bottom"/>
          </w:tcPr>
          <w:p>
            <w:pPr>
              <w:spacing w:after="0"/>
              <w:rPr>
                <w:sz w:val="15"/>
                <w:szCs w:val="15"/>
                <w:color w:val="auto"/>
              </w:rPr>
            </w:pPr>
          </w:p>
        </w:tc>
        <w:tc>
          <w:tcPr>
            <w:tcW w:w="9520" w:type="dxa"/>
            <w:vAlign w:val="bottom"/>
            <w:tcBorders>
              <w:top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May 29, 2025 (incorporated by reference to Exhibit 10.1 of the Registrant’s Current Report on Form 8-K, filed with the SEC on June</w:t>
              </w:r>
            </w:hyperlink>
          </w:p>
        </w:tc>
        <w:tc>
          <w:tcPr>
            <w:tcW w:w="380" w:type="dxa"/>
            <w:vAlign w:val="bottom"/>
            <w:gridSpan w:val="10"/>
          </w:tcPr>
          <w:p>
            <w:pPr>
              <w:jc w:val="right"/>
              <w:ind w:right="140"/>
              <w:spacing w:after="0" w:line="18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4,</w:t>
              </w:r>
            </w:hyperlink>
          </w:p>
        </w:tc>
      </w:tr>
      <w:tr>
        <w:trPr>
          <w:trHeight w:val="196"/>
        </w:trPr>
        <w:tc>
          <w:tcPr>
            <w:tcW w:w="13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85">
              <w:r>
                <w:rPr>
                  <w:rFonts w:ascii="Times New Roman" w:cs="Times New Roman" w:eastAsia="Times New Roman" w:hAnsi="Times New Roman"/>
                  <w:sz w:val="18"/>
                  <w:szCs w:val="18"/>
                  <w:color w:val="0000FF"/>
                  <w:w w:val="95"/>
                </w:rPr>
                <w:t>2025)</w:t>
              </w:r>
            </w:hyperlink>
          </w:p>
        </w:tc>
        <w:tc>
          <w:tcPr>
            <w:tcW w:w="9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38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10.4*#</w:t>
            </w:r>
          </w:p>
        </w:tc>
        <w:tc>
          <w:tcPr>
            <w:tcW w:w="5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Summary of The Cannabist Company Holdings Inc. Transaction Bonus Plan</w:t>
            </w:r>
          </w:p>
        </w:tc>
        <w:tc>
          <w:tcPr>
            <w:tcW w:w="4380" w:type="dxa"/>
            <w:vAlign w:val="bottom"/>
            <w:gridSpan w:val="12"/>
          </w:tcPr>
          <w:p>
            <w:pPr>
              <w:spacing w:after="0"/>
              <w:rPr>
                <w:sz w:val="20"/>
                <w:szCs w:val="20"/>
                <w:color w:val="auto"/>
              </w:rPr>
            </w:pPr>
          </w:p>
        </w:tc>
      </w:tr>
      <w:tr>
        <w:trPr>
          <w:trHeight w:val="237"/>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10.5*#</w:t>
            </w: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Second Amended and Restated At-Will Employment Agreement dated July 17, 2025 between The Cannabist Company Holdings Inc.</w:t>
            </w:r>
          </w:p>
        </w:tc>
      </w:tr>
      <w:tr>
        <w:trPr>
          <w:trHeight w:val="182"/>
        </w:trPr>
        <w:tc>
          <w:tcPr>
            <w:tcW w:w="1340" w:type="dxa"/>
            <w:vAlign w:val="bottom"/>
          </w:tcPr>
          <w:p>
            <w:pPr>
              <w:spacing w:after="0"/>
              <w:rPr>
                <w:sz w:val="15"/>
                <w:szCs w:val="15"/>
                <w:color w:val="auto"/>
              </w:rPr>
            </w:pPr>
          </w:p>
        </w:tc>
        <w:tc>
          <w:tcPr>
            <w:tcW w:w="138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and Jesse Channon</w:t>
            </w:r>
          </w:p>
        </w:tc>
        <w:tc>
          <w:tcPr>
            <w:tcW w:w="8280" w:type="dxa"/>
            <w:vAlign w:val="bottom"/>
            <w:tcBorders>
              <w:top w:val="single" w:sz="8" w:color="0000FF"/>
            </w:tcBorders>
            <w:gridSpan w:val="13"/>
          </w:tcPr>
          <w:p>
            <w:pPr>
              <w:spacing w:after="0"/>
              <w:rPr>
                <w:sz w:val="15"/>
                <w:szCs w:val="15"/>
                <w:color w:val="auto"/>
              </w:rPr>
            </w:pPr>
          </w:p>
        </w:tc>
        <w:tc>
          <w:tcPr>
            <w:tcW w:w="240" w:type="dxa"/>
            <w:vAlign w:val="bottom"/>
            <w:gridSpan w:val="4"/>
          </w:tcPr>
          <w:p>
            <w:pPr>
              <w:spacing w:after="0"/>
              <w:rPr>
                <w:sz w:val="15"/>
                <w:szCs w:val="15"/>
                <w:color w:val="auto"/>
              </w:rPr>
            </w:pPr>
          </w:p>
        </w:tc>
      </w:tr>
      <w:tr>
        <w:trPr>
          <w:trHeight w:val="26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31.1*</w:t>
            </w: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83"/>
        </w:trPr>
        <w:tc>
          <w:tcPr>
            <w:tcW w:w="134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tcBorders>
              <w:top w:val="single" w:sz="8" w:color="0000FF"/>
            </w:tcBorders>
            <w:gridSpan w:val="8"/>
          </w:tcPr>
          <w:p>
            <w:pPr>
              <w:spacing w:after="0"/>
              <w:rPr>
                <w:sz w:val="15"/>
                <w:szCs w:val="15"/>
                <w:color w:val="auto"/>
              </w:rPr>
            </w:pPr>
          </w:p>
        </w:tc>
        <w:tc>
          <w:tcPr>
            <w:tcW w:w="260" w:type="dxa"/>
            <w:vAlign w:val="bottom"/>
            <w:gridSpan w:val="5"/>
          </w:tcPr>
          <w:p>
            <w:pPr>
              <w:spacing w:after="0"/>
              <w:rPr>
                <w:sz w:val="15"/>
                <w:szCs w:val="15"/>
                <w:color w:val="auto"/>
              </w:rPr>
            </w:pPr>
          </w:p>
        </w:tc>
      </w:tr>
      <w:tr>
        <w:trPr>
          <w:trHeight w:val="26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31.2*</w:t>
            </w: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83"/>
        </w:trPr>
        <w:tc>
          <w:tcPr>
            <w:tcW w:w="134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580" w:type="dxa"/>
            <w:vAlign w:val="bottom"/>
            <w:tcBorders>
              <w:top w:val="single" w:sz="8" w:color="0000FF"/>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80" w:type="dxa"/>
            <w:vAlign w:val="bottom"/>
            <w:gridSpan w:val="6"/>
          </w:tcPr>
          <w:p>
            <w:pPr>
              <w:spacing w:after="0"/>
              <w:rPr>
                <w:sz w:val="15"/>
                <w:szCs w:val="15"/>
                <w:color w:val="auto"/>
              </w:rPr>
            </w:pPr>
          </w:p>
        </w:tc>
      </w:tr>
      <w:tr>
        <w:trPr>
          <w:trHeight w:val="26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32.1‡</w:t>
            </w: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83"/>
        </w:trPr>
        <w:tc>
          <w:tcPr>
            <w:tcW w:w="1340" w:type="dxa"/>
            <w:vAlign w:val="bottom"/>
          </w:tcPr>
          <w:p>
            <w:pPr>
              <w:spacing w:after="0"/>
              <w:rPr>
                <w:sz w:val="15"/>
                <w:szCs w:val="15"/>
                <w:color w:val="auto"/>
              </w:rPr>
            </w:pPr>
          </w:p>
        </w:tc>
        <w:tc>
          <w:tcPr>
            <w:tcW w:w="140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220" w:type="dxa"/>
            <w:vAlign w:val="bottom"/>
            <w:tcBorders>
              <w:top w:val="single" w:sz="8" w:color="0000FF"/>
            </w:tcBorders>
            <w:gridSpan w:val="10"/>
          </w:tcPr>
          <w:p>
            <w:pPr>
              <w:spacing w:after="0"/>
              <w:rPr>
                <w:sz w:val="15"/>
                <w:szCs w:val="15"/>
                <w:color w:val="auto"/>
              </w:rPr>
            </w:pPr>
          </w:p>
        </w:tc>
        <w:tc>
          <w:tcPr>
            <w:tcW w:w="280" w:type="dxa"/>
            <w:vAlign w:val="bottom"/>
            <w:gridSpan w:val="6"/>
          </w:tcPr>
          <w:p>
            <w:pPr>
              <w:spacing w:after="0"/>
              <w:rPr>
                <w:sz w:val="15"/>
                <w:szCs w:val="15"/>
                <w:color w:val="auto"/>
              </w:rPr>
            </w:pPr>
          </w:p>
        </w:tc>
      </w:tr>
      <w:tr>
        <w:trPr>
          <w:trHeight w:val="26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32.2‡</w:t>
            </w: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83"/>
        </w:trPr>
        <w:tc>
          <w:tcPr>
            <w:tcW w:w="1340" w:type="dxa"/>
            <w:vAlign w:val="bottom"/>
          </w:tcPr>
          <w:p>
            <w:pPr>
              <w:spacing w:after="0"/>
              <w:rPr>
                <w:sz w:val="15"/>
                <w:szCs w:val="15"/>
                <w:color w:val="auto"/>
              </w:rPr>
            </w:pPr>
          </w:p>
        </w:tc>
        <w:tc>
          <w:tcPr>
            <w:tcW w:w="140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160" w:type="dxa"/>
            <w:vAlign w:val="bottom"/>
            <w:tcBorders>
              <w:top w:val="single" w:sz="8" w:color="0000FF"/>
            </w:tcBorders>
            <w:gridSpan w:val="7"/>
          </w:tcPr>
          <w:p>
            <w:pPr>
              <w:spacing w:after="0"/>
              <w:rPr>
                <w:sz w:val="15"/>
                <w:szCs w:val="15"/>
                <w:color w:val="auto"/>
              </w:rPr>
            </w:pPr>
          </w:p>
        </w:tc>
        <w:tc>
          <w:tcPr>
            <w:tcW w:w="340" w:type="dxa"/>
            <w:vAlign w:val="bottom"/>
            <w:gridSpan w:val="9"/>
          </w:tcPr>
          <w:p>
            <w:pPr>
              <w:spacing w:after="0"/>
              <w:rPr>
                <w:sz w:val="15"/>
                <w:szCs w:val="15"/>
                <w:color w:val="auto"/>
              </w:rPr>
            </w:pPr>
          </w:p>
        </w:tc>
      </w:tr>
      <w:tr>
        <w:trPr>
          <w:trHeight w:val="259"/>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101.INS*</w:t>
            </w: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4"/>
        </w:trPr>
        <w:tc>
          <w:tcPr>
            <w:tcW w:w="1340" w:type="dxa"/>
            <w:vAlign w:val="bottom"/>
          </w:tcPr>
          <w:p>
            <w:pPr>
              <w:spacing w:after="0"/>
              <w:rPr>
                <w:sz w:val="20"/>
                <w:szCs w:val="20"/>
                <w:color w:val="auto"/>
              </w:rPr>
            </w:pP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57"/>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101.CAL*</w:t>
            </w: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594"/>
        </w:trPr>
        <w:tc>
          <w:tcPr>
            <w:tcW w:w="1340" w:type="dxa"/>
            <w:vAlign w:val="bottom"/>
          </w:tcPr>
          <w:p>
            <w:pPr>
              <w:spacing w:after="0"/>
              <w:rPr>
                <w:sz w:val="24"/>
                <w:szCs w:val="24"/>
                <w:color w:val="auto"/>
              </w:rPr>
            </w:pPr>
          </w:p>
        </w:tc>
        <w:tc>
          <w:tcPr>
            <w:tcW w:w="5000" w:type="dxa"/>
            <w:vAlign w:val="bottom"/>
            <w:gridSpan w:val="6"/>
          </w:tcPr>
          <w:p>
            <w:pPr>
              <w:ind w:left="4200"/>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101.DEF*</w:t>
            </w: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7"/>
        </w:trPr>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101.LAB*</w:t>
            </w: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101.PRE*</w:t>
            </w: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57"/>
        </w:trPr>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104*</w:t>
            </w: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jc w:val="both"/>
        <w:ind w:left="120" w:hanging="116"/>
        <w:spacing w:after="0" w:line="239" w:lineRule="auto"/>
        <w:rPr>
          <w:sz w:val="20"/>
          <w:szCs w:val="20"/>
          <w:color w:val="auto"/>
        </w:rPr>
      </w:pPr>
      <w:r>
        <w:rPr>
          <w:rFonts w:ascii="Times New Roman" w:cs="Times New Roman" w:eastAsia="Times New Roman" w:hAnsi="Times New Roman"/>
          <w:sz w:val="18"/>
          <w:szCs w:val="18"/>
          <w:color w:val="auto"/>
        </w:rPr>
        <w:t>#† Certain identified information has been omitted pursuant to Item 601(b)(10) of Regulation S-K because such information is both (i) not material and (ii) of the type that the Registrant customarily and actually treats as private or confidential. The Registrant hereby undertakes to furnish supplemental copies of the unredacted exhibit upon request by the SEC.</w:t>
      </w:r>
    </w:p>
    <w:p>
      <w:pPr>
        <w:spacing w:after="0" w:line="77" w:lineRule="exact"/>
        <w:rPr>
          <w:sz w:val="20"/>
          <w:szCs w:val="20"/>
          <w:color w:val="auto"/>
        </w:rPr>
      </w:pPr>
    </w:p>
    <w:p>
      <w:pPr>
        <w:jc w:val="both"/>
        <w:ind w:left="120" w:hanging="116"/>
        <w:spacing w:after="0" w:line="312" w:lineRule="auto"/>
        <w:rPr>
          <w:sz w:val="20"/>
          <w:szCs w:val="20"/>
          <w:color w:val="auto"/>
        </w:rPr>
      </w:pPr>
      <w:r>
        <w:rPr>
          <w:rFonts w:ascii="Times New Roman" w:cs="Times New Roman" w:eastAsia="Times New Roman" w:hAnsi="Times New Roman"/>
          <w:sz w:val="17"/>
          <w:szCs w:val="17"/>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0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tc>
      </w:tr>
      <w:tr>
        <w:trPr>
          <w:trHeight w:val="53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27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/s/ David Hart</w:t>
            </w:r>
          </w:p>
        </w:tc>
      </w:tr>
      <w:tr>
        <w:trPr>
          <w:trHeight w:val="243"/>
        </w:trPr>
        <w:tc>
          <w:tcPr>
            <w:tcW w:w="35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David Hart</w:t>
            </w:r>
          </w:p>
        </w:tc>
      </w:tr>
      <w:tr>
        <w:trPr>
          <w:trHeight w:val="257"/>
        </w:trPr>
        <w:tc>
          <w:tcPr>
            <w:tcW w:w="35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53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27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/s/ Derek Watson</w:t>
            </w:r>
          </w:p>
        </w:tc>
      </w:tr>
      <w:tr>
        <w:trPr>
          <w:trHeight w:val="243"/>
        </w:trPr>
        <w:tc>
          <w:tcPr>
            <w:tcW w:w="35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Derek Watson</w:t>
            </w:r>
          </w:p>
        </w:tc>
      </w:tr>
      <w:tr>
        <w:trPr>
          <w:trHeight w:val="257"/>
        </w:trPr>
        <w:tc>
          <w:tcPr>
            <w:tcW w:w="35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594"/>
        </w:trPr>
        <w:tc>
          <w:tcPr>
            <w:tcW w:w="3520" w:type="dxa"/>
            <w:vAlign w:val="bottom"/>
          </w:tcPr>
          <w:p>
            <w:pPr>
              <w:spacing w:after="0"/>
              <w:rPr>
                <w:sz w:val="24"/>
                <w:szCs w:val="24"/>
                <w:color w:val="auto"/>
              </w:rPr>
            </w:pPr>
          </w:p>
        </w:tc>
        <w:tc>
          <w:tcPr>
            <w:tcW w:w="2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40</w:t>
            </w:r>
          </w:p>
        </w:tc>
        <w:tc>
          <w:tcPr>
            <w:tcW w:w="49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2" w:name="page43"/>
    <w:bookmarkEnd w:id="42"/>
    <w:p>
      <w:pPr>
        <w:jc w:val="center"/>
        <w:spacing w:after="0" w:line="283" w:lineRule="auto"/>
        <w:rPr>
          <w:sz w:val="20"/>
          <w:szCs w:val="20"/>
          <w:color w:val="auto"/>
        </w:rPr>
      </w:pPr>
      <w:r>
        <w:rPr>
          <w:rFonts w:ascii="Times New Roman" w:cs="Times New Roman" w:eastAsia="Times New Roman" w:hAnsi="Times New Roman"/>
          <w:sz w:val="20"/>
          <w:szCs w:val="20"/>
          <w:color w:val="auto"/>
        </w:rPr>
        <w:t>Certain information marked with “[***]” has been excluded from the exhibit because it is both not material and is the type that the Registrant treats as private and confidential.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TO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PROMISSORY NOTE</w:t>
      </w:r>
    </w:p>
    <w:p>
      <w:pPr>
        <w:spacing w:after="0" w:line="22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THIS AMENDMENT TO THE PROMISSORY NOTE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effective as of May 27, 2025, by and between Verano Holdings, LLC, a Delaware limited liability company (“</w:t>
      </w:r>
      <w:r>
        <w:rPr>
          <w:rFonts w:ascii="Times New Roman" w:cs="Times New Roman" w:eastAsia="Times New Roman" w:hAnsi="Times New Roman"/>
          <w:sz w:val="20"/>
          <w:szCs w:val="20"/>
          <w:u w:val="single" w:color="auto"/>
          <w:color w:val="auto"/>
        </w:rPr>
        <w:t>Buyer</w:t>
      </w:r>
      <w:r>
        <w:rPr>
          <w:rFonts w:ascii="Times New Roman" w:cs="Times New Roman" w:eastAsia="Times New Roman" w:hAnsi="Times New Roman"/>
          <w:sz w:val="20"/>
          <w:szCs w:val="20"/>
          <w:color w:val="auto"/>
        </w:rPr>
        <w:t>”), and The Cannabist Company Holdings Inc., a British Columbia corporation, acting in its individual capacity and as the Member representative (“</w:t>
      </w:r>
      <w:r>
        <w:rPr>
          <w:rFonts w:ascii="Times New Roman" w:cs="Times New Roman" w:eastAsia="Times New Roman" w:hAnsi="Times New Roman"/>
          <w:sz w:val="20"/>
          <w:szCs w:val="20"/>
          <w:u w:val="single" w:color="auto"/>
          <w:color w:val="auto"/>
        </w:rPr>
        <w:t>Cannabist</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Buyer issued a promissory note, dated August 21, 2024 (the “</w:t>
      </w:r>
      <w:r>
        <w:rPr>
          <w:rFonts w:ascii="Times New Roman" w:cs="Times New Roman" w:eastAsia="Times New Roman" w:hAnsi="Times New Roman"/>
          <w:sz w:val="20"/>
          <w:szCs w:val="20"/>
          <w:u w:val="single" w:color="auto"/>
          <w:color w:val="auto"/>
        </w:rPr>
        <w:t>Promissory Note</w:t>
      </w:r>
      <w:r>
        <w:rPr>
          <w:rFonts w:ascii="Times New Roman" w:cs="Times New Roman" w:eastAsia="Times New Roman" w:hAnsi="Times New Roman"/>
          <w:sz w:val="20"/>
          <w:szCs w:val="20"/>
          <w:color w:val="auto"/>
        </w:rPr>
        <w:t>”), in the principal amount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$26,700,000 (the “</w:t>
      </w:r>
      <w:r>
        <w:rPr>
          <w:rFonts w:ascii="Times New Roman" w:cs="Times New Roman" w:eastAsia="Times New Roman" w:hAnsi="Times New Roman"/>
          <w:sz w:val="20"/>
          <w:szCs w:val="20"/>
          <w:u w:val="single" w:color="auto"/>
          <w:color w:val="auto"/>
        </w:rPr>
        <w:t>Principal</w:t>
      </w:r>
      <w:r>
        <w:rPr>
          <w:rFonts w:ascii="Times New Roman" w:cs="Times New Roman" w:eastAsia="Times New Roman" w:hAnsi="Times New Roman"/>
          <w:sz w:val="20"/>
          <w:szCs w:val="20"/>
          <w:color w:val="auto"/>
        </w:rPr>
        <w:t>”) and in favor of the members (collectively, the “</w:t>
      </w:r>
      <w:r>
        <w:rPr>
          <w:rFonts w:ascii="Times New Roman" w:cs="Times New Roman" w:eastAsia="Times New Roman" w:hAnsi="Times New Roman"/>
          <w:sz w:val="20"/>
          <w:szCs w:val="20"/>
          <w:u w:val="single" w:color="auto"/>
          <w:color w:val="auto"/>
        </w:rPr>
        <w:t>Members</w:t>
      </w:r>
      <w:r>
        <w:rPr>
          <w:rFonts w:ascii="Times New Roman" w:cs="Times New Roman" w:eastAsia="Times New Roman" w:hAnsi="Times New Roman"/>
          <w:sz w:val="20"/>
          <w:szCs w:val="20"/>
          <w:color w:val="auto"/>
        </w:rPr>
        <w:t>”) of Columbia Care Eastern Virginia LLC, a Virginia limited liability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(a) Section 2.4(c) of that certain equity purchase agreement, dated as of July 29, 2024, by and among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Buyer, Verano Holdings Corp., a British Columbia corporation, the Company, the Members and Cannabist (the “</w:t>
      </w:r>
      <w:r>
        <w:rPr>
          <w:rFonts w:ascii="Times New Roman" w:cs="Times New Roman" w:eastAsia="Times New Roman" w:hAnsi="Times New Roman"/>
          <w:sz w:val="20"/>
          <w:szCs w:val="20"/>
          <w:u w:val="single" w:color="auto"/>
          <w:color w:val="auto"/>
        </w:rPr>
        <w:t>EPA</w:t>
      </w:r>
      <w:r>
        <w:rPr>
          <w:rFonts w:ascii="Times New Roman" w:cs="Times New Roman" w:eastAsia="Times New Roman" w:hAnsi="Times New Roman"/>
          <w:sz w:val="20"/>
          <w:szCs w:val="20"/>
          <w:color w:val="auto"/>
        </w:rPr>
        <w:t>”), and (b) Section 7 of the Promissory Note, the parties thereto agreed that the Promissory Note shall be amended to increase the Principal amount by the Excess Amount (as defined in the EPA) calculated in accordance with the EPA;</w:t>
      </w:r>
    </w:p>
    <w:p>
      <w:pPr>
        <w:spacing w:after="0" w:line="211"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Section 6.2(e) of the EPA, any indemnification payments to be made by Cannabist may be made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deducting such amount from the amount due to the Members, on a several basis, under the Promissory Note;</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hereto agreed that Cannabist and the Members were obligated to indemnify Buyer for $39,179 (the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in connection with [***];</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accordance with the EPA, Buyer and Cannabist agreed that the Excess Amount equals $1,190,813, and accordingly,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Buyer and Cannabist agree that the Promissory Note shall be amended to increase the Principal by $1,151,634 (which amount equals the Excess Amount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 Amount) to $27,851,634;</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Promissory Note may be amended by the written agreement of Buyer and Cannabist; and</w:t>
      </w:r>
    </w:p>
    <w:p>
      <w:pPr>
        <w:spacing w:after="0" w:line="25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hereto desire to amend the Promissory Note as set forth herein, in accordance with the terms set forth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Promissory Note.</w:t>
      </w:r>
    </w:p>
    <w:p>
      <w:pPr>
        <w:spacing w:after="0" w:line="192" w:lineRule="exact"/>
        <w:rPr>
          <w:sz w:val="20"/>
          <w:szCs w:val="20"/>
          <w:color w:val="auto"/>
        </w:rPr>
      </w:pPr>
    </w:p>
    <w:p>
      <w:pPr>
        <w:jc w:val="both"/>
        <w:ind w:right="20" w:firstLine="360"/>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the mutual covenants set forth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are hereby acknowledged, the parties hereby agree as follows: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131405909.1</w:t>
      </w:r>
    </w:p>
    <w:p>
      <w:pPr>
        <w:sectPr>
          <w:pgSz w:w="11900" w:h="16838" w:orient="portrait"/>
          <w:cols w:equalWidth="0" w:num="1">
            <w:col w:w="11240"/>
          </w:cols>
          <w:pgMar w:left="320" w:top="1413" w:right="339" w:bottom="1440" w:gutter="0" w:footer="0" w:header="0"/>
        </w:sectPr>
      </w:pPr>
    </w:p>
    <w:bookmarkStart w:id="43" w:name="page44"/>
    <w:bookmarkEnd w:id="43"/>
    <w:p>
      <w:pPr>
        <w:jc w:val="both"/>
        <w:ind w:right="20" w:firstLine="656"/>
        <w:spacing w:after="0" w:line="226" w:lineRule="auto"/>
        <w:tabs>
          <w:tab w:leader="none" w:pos="129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Capitalized terms used herein and not defined herein shall have the meaning ascribed to such term as set forth in the Promissory Note, and all references to Sections shall mean the Sections of the Promissory Note unless reference is made to another document.</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Promissory Note</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$26,700,000 in the Promissory Note are hereby amended and replaced in their entirety to</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$27,851,634</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new sentence shall be added to the end of Section 2(b) of the Promissory Note reading as follows:</w:t>
      </w:r>
    </w:p>
    <w:p>
      <w:pPr>
        <w:spacing w:after="0" w:line="198" w:lineRule="exact"/>
        <w:rPr>
          <w:rFonts w:ascii="Times New Roman" w:cs="Times New Roman" w:eastAsia="Times New Roman" w:hAnsi="Times New Roman"/>
          <w:sz w:val="20"/>
          <w:szCs w:val="20"/>
          <w:color w:val="auto"/>
        </w:rPr>
      </w:pPr>
    </w:p>
    <w:p>
      <w:pPr>
        <w:jc w:val="both"/>
        <w:ind w:left="1300" w:firstLine="4"/>
        <w:spacing w:after="0" w:line="263" w:lineRule="auto"/>
        <w:tabs>
          <w:tab w:leader="none" w:pos="193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Notwithstanding anything contained herein to the contrary, to the extent all principal and accrued Interest has been repaid in full prior to the Maturity Date, Buyer shall have no further payments or obligations due to the Members, and the Members shall have no further right or title to any payments, under this Promissory Note.</w:t>
      </w:r>
    </w:p>
    <w:p>
      <w:pPr>
        <w:spacing w:after="0" w:line="152" w:lineRule="exact"/>
        <w:rPr>
          <w:rFonts w:ascii="Times New Roman" w:cs="Times New Roman" w:eastAsia="Times New Roman" w:hAnsi="Times New Roman"/>
          <w:sz w:val="20"/>
          <w:szCs w:val="20"/>
          <w:color w:val="auto"/>
        </w:rPr>
      </w:pPr>
    </w:p>
    <w:p>
      <w:pPr>
        <w:ind w:firstLine="656"/>
        <w:spacing w:after="0"/>
        <w:tabs>
          <w:tab w:leader="none" w:pos="129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Full Force and Effect</w:t>
      </w:r>
      <w:r>
        <w:rPr>
          <w:rFonts w:ascii="Times New Roman" w:cs="Times New Roman" w:eastAsia="Times New Roman" w:hAnsi="Times New Roman"/>
          <w:sz w:val="20"/>
          <w:szCs w:val="20"/>
          <w:color w:val="auto"/>
        </w:rPr>
        <w:t>. Except as specifically amended, modified, or supplemented by this Amendment, the Promissory Note, as amended, shall remain unchanged and in full force and effect.</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9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parties hereto expressly agree that this Amendment shall be governed by, and construed in accordance with, the laws of the State of Delaware.</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counterparts, each of which shall be deemed an original, but all of which together shall constitute one and the same instrument. Counterparts may be delivered via facsimile, electronic mail (including pdf or any electronic signature) or other commonly recognized transmission method and any counterpart so delivered shall be deemed to have been duly and validly delivered and be valid and effective for all purposes.</w:t>
      </w:r>
    </w:p>
    <w:p>
      <w:pPr>
        <w:spacing w:after="0" w:line="175" w:lineRule="exact"/>
        <w:rPr>
          <w:rFonts w:ascii="Times New Roman" w:cs="Times New Roman" w:eastAsia="Times New Roman" w:hAnsi="Times New Roman"/>
          <w:sz w:val="20"/>
          <w:szCs w:val="20"/>
          <w:color w:val="auto"/>
        </w:rPr>
      </w:pPr>
    </w:p>
    <w:p>
      <w:pPr>
        <w:ind w:left="4940" w:hanging="646"/>
        <w:spacing w:after="0"/>
        <w:tabs>
          <w:tab w:leader="none" w:pos="4940"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4860-5770-6488, v. 2</w:t>
      </w:r>
    </w:p>
    <w:p>
      <w:pPr>
        <w:sectPr>
          <w:pgSz w:w="11900" w:h="16838" w:orient="portrait"/>
          <w:cols w:equalWidth="0" w:num="1">
            <w:col w:w="11240"/>
          </w:cols>
          <w:pgMar w:left="320" w:top="1399"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Amendment as of the date first written.</w:t>
      </w:r>
    </w:p>
    <w:p>
      <w:pPr>
        <w:spacing w:after="0" w:line="200" w:lineRule="exact"/>
        <w:rPr>
          <w:sz w:val="20"/>
          <w:szCs w:val="20"/>
          <w:color w:val="auto"/>
        </w:rPr>
      </w:pPr>
    </w:p>
    <w:p>
      <w:pPr>
        <w:spacing w:after="0" w:line="3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BUYER:</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Verano Holdings, LLC</w:t>
      </w:r>
    </w:p>
    <w:p>
      <w:pPr>
        <w:spacing w:after="0" w:line="200" w:lineRule="exact"/>
        <w:rPr>
          <w:sz w:val="20"/>
          <w:szCs w:val="20"/>
          <w:color w:val="auto"/>
        </w:rPr>
      </w:pPr>
    </w:p>
    <w:p>
      <w:pPr>
        <w:spacing w:after="0" w:line="299" w:lineRule="exact"/>
        <w:rPr>
          <w:sz w:val="20"/>
          <w:szCs w:val="20"/>
          <w:color w:val="auto"/>
        </w:rPr>
      </w:pPr>
    </w:p>
    <w:p>
      <w:pPr>
        <w:ind w:left="3900"/>
        <w:spacing w:after="0"/>
        <w:tabs>
          <w:tab w:leader="none" w:pos="43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George P.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-10795</wp:posOffset>
            </wp:positionV>
            <wp:extent cx="12820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George P. Archos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CANNABIST:</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The Cannabist Company Holdings Inc.</w:t>
      </w:r>
    </w:p>
    <w:p>
      <w:pPr>
        <w:spacing w:after="0" w:line="200" w:lineRule="exact"/>
        <w:rPr>
          <w:sz w:val="20"/>
          <w:szCs w:val="20"/>
          <w:color w:val="auto"/>
        </w:rPr>
      </w:pPr>
    </w:p>
    <w:p>
      <w:pPr>
        <w:spacing w:after="0" w:line="299" w:lineRule="exact"/>
        <w:rPr>
          <w:sz w:val="20"/>
          <w:szCs w:val="20"/>
          <w:color w:val="auto"/>
        </w:rPr>
      </w:pPr>
    </w:p>
    <w:p>
      <w:pPr>
        <w:ind w:left="3900"/>
        <w:spacing w:after="0"/>
        <w:tabs>
          <w:tab w:leader="none" w:pos="43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-10795</wp:posOffset>
            </wp:positionV>
            <wp:extent cx="9632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David Hart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131405909.1</w:t>
      </w:r>
    </w:p>
    <w:p>
      <w:pPr>
        <w:sectPr>
          <w:pgSz w:w="11900" w:h="16838" w:orient="portrait"/>
          <w:cols w:equalWidth="0" w:num="1">
            <w:col w:w="10139"/>
          </w:cols>
          <w:pgMar w:left="320" w:top="1409"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2"/>
          <w:szCs w:val="22"/>
          <w:b w:val="1"/>
          <w:bCs w:val="1"/>
          <w:color w:val="auto"/>
        </w:rPr>
        <w:t>WAIVER AND PARTIAL PAYOFF AGREEMENT</w:t>
      </w:r>
    </w:p>
    <w:p>
      <w:pPr>
        <w:spacing w:after="0" w:line="170" w:lineRule="exact"/>
        <w:rPr>
          <w:sz w:val="20"/>
          <w:szCs w:val="20"/>
          <w:color w:val="auto"/>
        </w:rPr>
      </w:pPr>
    </w:p>
    <w:p>
      <w:pPr>
        <w:jc w:val="both"/>
        <w:ind w:firstLine="315"/>
        <w:spacing w:after="0" w:line="265" w:lineRule="auto"/>
        <w:rPr>
          <w:sz w:val="20"/>
          <w:szCs w:val="20"/>
          <w:color w:val="auto"/>
        </w:rPr>
      </w:pPr>
      <w:r>
        <w:rPr>
          <w:rFonts w:ascii="Times New Roman" w:cs="Times New Roman" w:eastAsia="Times New Roman" w:hAnsi="Times New Roman"/>
          <w:sz w:val="22"/>
          <w:szCs w:val="22"/>
          <w:color w:val="auto"/>
        </w:rPr>
        <w:t>THIS WAIVER AND PARTIAL PAYOFF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May 27, 2025, by and among Verano Holdings, LLC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The Cannabist Company Holdings Inc., a British Columbia corporation (“</w:t>
      </w:r>
      <w:r>
        <w:rPr>
          <w:rFonts w:ascii="Times New Roman" w:cs="Times New Roman" w:eastAsia="Times New Roman" w:hAnsi="Times New Roman"/>
          <w:sz w:val="22"/>
          <w:szCs w:val="22"/>
          <w:u w:val="single" w:color="auto"/>
          <w:color w:val="auto"/>
        </w:rPr>
        <w:t>Cannabist</w:t>
      </w:r>
      <w:r>
        <w:rPr>
          <w:rFonts w:ascii="Times New Roman" w:cs="Times New Roman" w:eastAsia="Times New Roman" w:hAnsi="Times New Roman"/>
          <w:sz w:val="22"/>
          <w:szCs w:val="22"/>
          <w:color w:val="auto"/>
        </w:rPr>
        <w:t>”), and CC VA Holdco LLC, a Delaware limited liability company (“</w:t>
      </w:r>
      <w:r>
        <w:rPr>
          <w:rFonts w:ascii="Times New Roman" w:cs="Times New Roman" w:eastAsia="Times New Roman" w:hAnsi="Times New Roman"/>
          <w:sz w:val="22"/>
          <w:szCs w:val="22"/>
          <w:u w:val="single" w:color="auto"/>
          <w:color w:val="auto"/>
        </w:rPr>
        <w:t>CC VA</w:t>
      </w:r>
      <w:r>
        <w:rPr>
          <w:rFonts w:ascii="Times New Roman" w:cs="Times New Roman" w:eastAsia="Times New Roman" w:hAnsi="Times New Roman"/>
          <w:sz w:val="22"/>
          <w:szCs w:val="22"/>
          <w:color w:val="auto"/>
        </w:rPr>
        <w:t>”). Buyer, Cannabist and CC VA are referred to in this Agreement,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0" w:lineRule="exact"/>
        <w:rPr>
          <w:sz w:val="20"/>
          <w:szCs w:val="20"/>
          <w:color w:val="auto"/>
        </w:rPr>
      </w:pPr>
    </w:p>
    <w:p>
      <w:pPr>
        <w:jc w:val="both"/>
        <w:ind w:firstLine="257"/>
        <w:spacing w:after="0" w:line="263" w:lineRule="auto"/>
        <w:rPr>
          <w:sz w:val="20"/>
          <w:szCs w:val="20"/>
          <w:color w:val="auto"/>
        </w:rPr>
      </w:pPr>
      <w:r>
        <w:rPr>
          <w:rFonts w:ascii="Times New Roman" w:cs="Times New Roman" w:eastAsia="Times New Roman" w:hAnsi="Times New Roman"/>
          <w:sz w:val="22"/>
          <w:szCs w:val="22"/>
          <w:color w:val="auto"/>
        </w:rPr>
        <w:t>WHEREAS, the Parties are party, among others, to that certain Promissory Note, dated as of August 21, 2024 in the original principal amount of $26,700,000 (as amended or otherwise modified from time to time, the “</w:t>
      </w:r>
      <w:r>
        <w:rPr>
          <w:rFonts w:ascii="Times New Roman" w:cs="Times New Roman" w:eastAsia="Times New Roman" w:hAnsi="Times New Roman"/>
          <w:sz w:val="22"/>
          <w:szCs w:val="22"/>
          <w:u w:val="single" w:color="auto"/>
          <w:color w:val="auto"/>
        </w:rPr>
        <w:t>Promissory Note</w:t>
      </w:r>
      <w:r>
        <w:rPr>
          <w:rFonts w:ascii="Times New Roman" w:cs="Times New Roman" w:eastAsia="Times New Roman" w:hAnsi="Times New Roman"/>
          <w:sz w:val="22"/>
          <w:szCs w:val="22"/>
          <w:color w:val="auto"/>
        </w:rPr>
        <w:t>”), pursuant to which Buyer, as the borrower thereunder, is obligated to pay such principal amount, accrued interest thereon, and other amounts as set forth therein, to CC VA and the other Members party thereto (unless otherwise defined herein, each capitalized term used herein has the meaning assigned thereto in the Promissory Note);</w:t>
      </w:r>
    </w:p>
    <w:p>
      <w:pPr>
        <w:spacing w:after="0" w:line="11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Buyer may at any time voluntarily prepay in cash the principal outstanding under the Promissory Note in whole or in part, together with accrued and unpaid interest on the portion of principal so prepaid;</w:t>
      </w:r>
    </w:p>
    <w:p>
      <w:pPr>
        <w:spacing w:after="0" w:line="7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any prepayment made by Buyer must be paid to each of the Members in accordance with their respective Pro Rata Shares (the “</w:t>
      </w:r>
      <w:r>
        <w:rPr>
          <w:rFonts w:ascii="Times New Roman" w:cs="Times New Roman" w:eastAsia="Times New Roman" w:hAnsi="Times New Roman"/>
          <w:sz w:val="22"/>
          <w:szCs w:val="22"/>
          <w:u w:val="single" w:color="auto"/>
          <w:color w:val="auto"/>
        </w:rPr>
        <w:t>Pro Rata Payment Requirement</w:t>
      </w:r>
      <w:r>
        <w:rPr>
          <w:rFonts w:ascii="Times New Roman" w:cs="Times New Roman" w:eastAsia="Times New Roman" w:hAnsi="Times New Roman"/>
          <w:sz w:val="22"/>
          <w:szCs w:val="22"/>
          <w:color w:val="auto"/>
        </w:rPr>
        <w:t>”);</w:t>
      </w:r>
    </w:p>
    <w:p>
      <w:pPr>
        <w:spacing w:after="0" w:line="9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any provision of the Promissory Note may be amended, waived or modified upon the written consent of Buyer and Cannabist;</w:t>
      </w:r>
    </w:p>
    <w:p>
      <w:pPr>
        <w:spacing w:after="0" w:line="9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Buyer and Cannabist wish to modify the Promissory Note to waive the Pro Rata Payment Requirement with respect to the prepayment contemplated by this Agreement;</w:t>
      </w:r>
    </w:p>
    <w:p>
      <w:pPr>
        <w:spacing w:after="0" w:line="76"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as of May 27, 2025, the portion of the principal amount of the Promissory Note, accrued and unpaid interest thereon and all other amounts thereunder owing to CC VA is $13,931,001 (the “</w:t>
      </w:r>
      <w:r>
        <w:rPr>
          <w:rFonts w:ascii="Times New Roman" w:cs="Times New Roman" w:eastAsia="Times New Roman" w:hAnsi="Times New Roman"/>
          <w:sz w:val="22"/>
          <w:szCs w:val="22"/>
          <w:u w:val="single" w:color="auto"/>
          <w:color w:val="auto"/>
        </w:rPr>
        <w:t>CC VA Note Balance</w:t>
      </w:r>
      <w:r>
        <w:rPr>
          <w:rFonts w:ascii="Times New Roman" w:cs="Times New Roman" w:eastAsia="Times New Roman" w:hAnsi="Times New Roman"/>
          <w:sz w:val="22"/>
          <w:szCs w:val="22"/>
          <w:color w:val="auto"/>
        </w:rPr>
        <w:t>”);</w:t>
      </w:r>
    </w:p>
    <w:p>
      <w:pPr>
        <w:spacing w:after="0" w:line="90" w:lineRule="exact"/>
        <w:rPr>
          <w:sz w:val="20"/>
          <w:szCs w:val="20"/>
          <w:color w:val="auto"/>
        </w:rPr>
      </w:pPr>
    </w:p>
    <w:p>
      <w:pPr>
        <w:jc w:val="both"/>
        <w:ind w:firstLine="277"/>
        <w:spacing w:after="0" w:line="270" w:lineRule="auto"/>
        <w:rPr>
          <w:sz w:val="20"/>
          <w:szCs w:val="20"/>
          <w:color w:val="auto"/>
        </w:rPr>
      </w:pPr>
      <w:r>
        <w:rPr>
          <w:rFonts w:ascii="Times New Roman" w:cs="Times New Roman" w:eastAsia="Times New Roman" w:hAnsi="Times New Roman"/>
          <w:sz w:val="22"/>
          <w:szCs w:val="22"/>
          <w:color w:val="auto"/>
        </w:rPr>
        <w:t>WHEREAS, that Parties have agreed that it is in their mutual best interest for Buyer to voluntarily prepay the CC VA Note Balance to CC VA in full on the date hereof in exchange for a 25% discount, which discounted CC VA Note Balance is $10,448,250.75;</w:t>
      </w:r>
    </w:p>
    <w:p>
      <w:pPr>
        <w:spacing w:after="0" w:line="105" w:lineRule="exact"/>
        <w:rPr>
          <w:sz w:val="20"/>
          <w:szCs w:val="20"/>
          <w:color w:val="auto"/>
        </w:rPr>
      </w:pPr>
    </w:p>
    <w:p>
      <w:pPr>
        <w:jc w:val="both"/>
        <w:ind w:firstLine="236"/>
        <w:spacing w:after="0" w:line="271" w:lineRule="auto"/>
        <w:rPr>
          <w:sz w:val="20"/>
          <w:szCs w:val="20"/>
          <w:color w:val="auto"/>
        </w:rPr>
      </w:pPr>
      <w:r>
        <w:rPr>
          <w:rFonts w:ascii="Times New Roman" w:cs="Times New Roman" w:eastAsia="Times New Roman" w:hAnsi="Times New Roman"/>
          <w:sz w:val="21"/>
          <w:szCs w:val="21"/>
          <w:color w:val="auto"/>
        </w:rPr>
        <w:t>WHEREAS, the Parties desire for the CC VA Note Balance to be further reduced by (a) $94,582 pursuant to that certain Final Purchase Price Confirmation Agreement (the “</w:t>
      </w:r>
      <w:r>
        <w:rPr>
          <w:rFonts w:ascii="Times New Roman" w:cs="Times New Roman" w:eastAsia="Times New Roman" w:hAnsi="Times New Roman"/>
          <w:sz w:val="21"/>
          <w:szCs w:val="21"/>
          <w:u w:val="single" w:color="auto"/>
          <w:color w:val="auto"/>
        </w:rPr>
        <w:t>SWC True-Up</w:t>
      </w:r>
      <w:r>
        <w:rPr>
          <w:rFonts w:ascii="Times New Roman" w:cs="Times New Roman" w:eastAsia="Times New Roman" w:hAnsi="Times New Roman"/>
          <w:sz w:val="21"/>
          <w:szCs w:val="21"/>
          <w:color w:val="auto"/>
        </w:rPr>
        <w:t>”), dated as of the date hereof, by and between Verano Arizona, LLC, an Arizona limited liability company (“</w:t>
      </w:r>
      <w:r>
        <w:rPr>
          <w:rFonts w:ascii="Times New Roman" w:cs="Times New Roman" w:eastAsia="Times New Roman" w:hAnsi="Times New Roman"/>
          <w:sz w:val="21"/>
          <w:szCs w:val="21"/>
          <w:u w:val="single" w:color="auto"/>
          <w:color w:val="auto"/>
        </w:rPr>
        <w:t>Verano AZ</w:t>
      </w:r>
      <w:r>
        <w:rPr>
          <w:rFonts w:ascii="Times New Roman" w:cs="Times New Roman" w:eastAsia="Times New Roman" w:hAnsi="Times New Roman"/>
          <w:sz w:val="21"/>
          <w:szCs w:val="21"/>
          <w:color w:val="auto"/>
        </w:rPr>
        <w:t>), and Cannabist, (b) $351,300 pursuant to that certain Final Purchase Price Confirmation Agreement (the “</w:t>
      </w:r>
      <w:r>
        <w:rPr>
          <w:rFonts w:ascii="Times New Roman" w:cs="Times New Roman" w:eastAsia="Times New Roman" w:hAnsi="Times New Roman"/>
          <w:sz w:val="21"/>
          <w:szCs w:val="21"/>
          <w:u w:val="single" w:color="auto"/>
          <w:color w:val="auto"/>
        </w:rPr>
        <w:t>203 True-Up</w:t>
      </w:r>
      <w:r>
        <w:rPr>
          <w:rFonts w:ascii="Times New Roman" w:cs="Times New Roman" w:eastAsia="Times New Roman" w:hAnsi="Times New Roman"/>
          <w:sz w:val="21"/>
          <w:szCs w:val="21"/>
          <w:color w:val="auto"/>
        </w:rPr>
        <w:t>”), dated as of the date hereof, by and between Verano AZ and Cannabist and</w:t>
      </w:r>
    </w:p>
    <w:p>
      <w:pPr>
        <w:spacing w:after="0" w:line="2" w:lineRule="exact"/>
        <w:rPr>
          <w:sz w:val="20"/>
          <w:szCs w:val="20"/>
          <w:color w:val="auto"/>
        </w:rPr>
      </w:pPr>
    </w:p>
    <w:p>
      <w:pPr>
        <w:ind w:firstLine="8"/>
        <w:spacing w:after="0" w:line="272" w:lineRule="auto"/>
        <w:tabs>
          <w:tab w:leader="none" w:pos="30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$700,000, which amount reflects a partial payment of wholesale payables due from Cannabist and its Affiliates to Buyer and its Affiliates (the “</w:t>
      </w:r>
      <w:r>
        <w:rPr>
          <w:rFonts w:ascii="Times New Roman" w:cs="Times New Roman" w:eastAsia="Times New Roman" w:hAnsi="Times New Roman"/>
          <w:sz w:val="22"/>
          <w:szCs w:val="22"/>
          <w:u w:val="single" w:color="auto"/>
          <w:color w:val="auto"/>
        </w:rPr>
        <w:t>Wholesale Partial Payment</w:t>
      </w:r>
      <w:r>
        <w:rPr>
          <w:rFonts w:ascii="Times New Roman" w:cs="Times New Roman" w:eastAsia="Times New Roman" w:hAnsi="Times New Roman"/>
          <w:sz w:val="22"/>
          <w:szCs w:val="22"/>
          <w:color w:val="auto"/>
        </w:rPr>
        <w:t>”); and</w:t>
      </w:r>
    </w:p>
    <w:p>
      <w:pPr>
        <w:sectPr>
          <w:pgSz w:w="11900" w:h="16838" w:orient="portrait"/>
          <w:cols w:equalWidth="0" w:num="1">
            <w:col w:w="11240"/>
          </w:cols>
          <w:pgMar w:left="320" w:top="1418" w:right="339" w:bottom="1440" w:gutter="0" w:footer="0" w:header="0"/>
        </w:sectPr>
      </w:pPr>
    </w:p>
    <w:bookmarkStart w:id="46" w:name="page47"/>
    <w:bookmarkEnd w:id="46"/>
    <w:p>
      <w:pPr>
        <w:spacing w:after="0" w:line="131" w:lineRule="exact"/>
        <w:rPr>
          <w:sz w:val="20"/>
          <w:szCs w:val="20"/>
          <w:color w:val="auto"/>
        </w:rPr>
      </w:pPr>
    </w:p>
    <w:p>
      <w:pPr>
        <w:ind w:firstLine="306"/>
        <w:spacing w:after="0" w:line="284" w:lineRule="auto"/>
        <w:rPr>
          <w:sz w:val="20"/>
          <w:szCs w:val="20"/>
          <w:color w:val="auto"/>
        </w:rPr>
      </w:pPr>
      <w:r>
        <w:rPr>
          <w:rFonts w:ascii="Times New Roman" w:cs="Times New Roman" w:eastAsia="Times New Roman" w:hAnsi="Times New Roman"/>
          <w:sz w:val="22"/>
          <w:szCs w:val="22"/>
          <w:color w:val="auto"/>
        </w:rPr>
        <w:t>WHEREAS, in full satisfaction of Buyer’s obligations to CC VA under the Promissory Note, Buyer has agreed to make a payment of $9,302,368.75 (the “</w:t>
      </w:r>
      <w:r>
        <w:rPr>
          <w:rFonts w:ascii="Times New Roman" w:cs="Times New Roman" w:eastAsia="Times New Roman" w:hAnsi="Times New Roman"/>
          <w:sz w:val="22"/>
          <w:szCs w:val="22"/>
          <w:u w:val="single" w:color="auto"/>
          <w:color w:val="auto"/>
        </w:rPr>
        <w:t>Payoff Amount</w:t>
      </w:r>
      <w:r>
        <w:rPr>
          <w:rFonts w:ascii="Times New Roman" w:cs="Times New Roman" w:eastAsia="Times New Roman" w:hAnsi="Times New Roman"/>
          <w:sz w:val="22"/>
          <w:szCs w:val="22"/>
          <w:color w:val="auto"/>
        </w:rPr>
        <w:t>”) to CC VA on May 27, 2025.</w:t>
      </w:r>
    </w:p>
    <w:p>
      <w:pPr>
        <w:spacing w:after="0" w:line="76" w:lineRule="exact"/>
        <w:rPr>
          <w:sz w:val="20"/>
          <w:szCs w:val="20"/>
          <w:color w:val="auto"/>
        </w:rPr>
      </w:pPr>
    </w:p>
    <w:p>
      <w:pPr>
        <w:ind w:firstLine="316"/>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foregoing and the respective covenants and agreements set forth herein, and intending to be legally bound, subject to the conditions and other terms herein set forth, the Parties hereby agree as follows: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AGREEMENTS</w:t>
      </w:r>
    </w:p>
    <w:p>
      <w:pPr>
        <w:spacing w:after="0" w:line="170" w:lineRule="exact"/>
        <w:rPr>
          <w:sz w:val="20"/>
          <w:szCs w:val="20"/>
          <w:color w:val="auto"/>
        </w:rPr>
      </w:pPr>
    </w:p>
    <w:p>
      <w:pPr>
        <w:ind w:firstLine="656"/>
        <w:spacing w:after="0" w:line="284"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Promissory Note is hereby modified to waive the Pro Rata Payment Requirement with respect to the prepayment made by Buyer to CC VA in accordance with this Agreement.</w:t>
      </w:r>
    </w:p>
    <w:p>
      <w:pPr>
        <w:spacing w:after="0" w:line="184"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pay the Payoff Amount by wire transfer of immediately available funds to CC VA on May 27, 2025 in full satisfaction of (a) Buyer’s obligations to CC VA under the Promissory Note, (b) Cannabist’s obligations to Buyer and Verano AZ under the SWC True-Up and 203 True-Up, and (c) Cannabist’s and its Affiliates’ obligations to Buyer and its Affiliates for the Wholesale Partial Payment.</w:t>
      </w:r>
    </w:p>
    <w:p>
      <w:pPr>
        <w:jc w:val="both"/>
        <w:ind w:firstLine="656"/>
        <w:spacing w:after="0" w:line="264"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by CC VA of the Payoff Amount, all obligations of Buyer to CC VA under the Promissory Note, including principal, accrued interest, expenses and fees, shall be paid in full and any obligations of Buyer under the Promissory Note owing to CC VA and rights of CC VA thereunder shall be automatically terminated and released in full.</w:t>
      </w:r>
    </w:p>
    <w:p>
      <w:pPr>
        <w:spacing w:after="0" w:line="205"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by CC VA of the Payoff Amount, (a) all obligations of Cannabist and CC VA owing to Buyer and Verano AZ for the SWC True-Up and the 203 True-Up, and (b) all obligations of Cannabist and its Affiliates owing to Buyer and its Affiliates for the amount of the Wholesale Partial Payment, automatically shall be deemed paid in full and cancelled, and any obligations of Cannabist, CC Va and their Affiliates thereunder owing to Buyer and its Affiliates shall be automatically terminated and released in full.</w:t>
      </w:r>
    </w:p>
    <w:p>
      <w:pPr>
        <w:spacing w:after="0" w:line="206" w:lineRule="exact"/>
        <w:rPr>
          <w:rFonts w:ascii="Times New Roman" w:cs="Times New Roman" w:eastAsia="Times New Roman" w:hAnsi="Times New Roman"/>
          <w:sz w:val="22"/>
          <w:szCs w:val="22"/>
          <w:color w:val="auto"/>
        </w:rPr>
      </w:pPr>
    </w:p>
    <w:p>
      <w:pPr>
        <w:jc w:val="both"/>
        <w:ind w:firstLine="656"/>
        <w:spacing w:after="0" w:line="261"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payment of the Payoff Amount, CC VA and Cannabist shall execute and deliver to Buyer (or its designee), from time to time, all lien releases, termination statements, certificates, instruments, and documents reasonably requested by Buyer to evidence the payment in full of obligations of Buyer owing to CC VA under the Promissory Note, each in form and substance reasonably satisfactory to Buyer, and take (and hereby authorizes Buyer or any of its authorized designees to take) any other actions, as may be reasonably requested by Buyer to evidence the consummation of the payment in full of the CC VA Note Balance contemplated hereby.</w:t>
      </w:r>
    </w:p>
    <w:p>
      <w:pPr>
        <w:spacing w:after="0" w:line="212" w:lineRule="exact"/>
        <w:rPr>
          <w:rFonts w:ascii="Times New Roman" w:cs="Times New Roman" w:eastAsia="Times New Roman" w:hAnsi="Times New Roman"/>
          <w:sz w:val="22"/>
          <w:szCs w:val="22"/>
          <w:color w:val="auto"/>
        </w:rPr>
      </w:pPr>
    </w:p>
    <w:p>
      <w:pPr>
        <w:jc w:val="both"/>
        <w:ind w:firstLine="656"/>
        <w:spacing w:after="0" w:line="270"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acknowledges and agrees that (a) its obligations and liabilities under the Promissory Note owing to the other Members remain in full force and effect and have not been modified or reduced pursuant to this Agreement, except as it relates to the waiver of the Pro Rata</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Payment Requirement contemplated hereby and (b) its obligations and liabilities owing to CC VA under the Promissory Note shall be reinstated with full force and effect if, at any time on or after the date hereof, all or any portion of the Payoff Amount paid to CC VA is voided or rescinded or must otherwise be returned to Buyer or any other person upon the insolvency, bankruptcy or reorganization of Buyer or otherwise, all as though such payment had not been made.</w:t>
      </w:r>
    </w:p>
    <w:p>
      <w:pPr>
        <w:spacing w:after="0" w:line="206" w:lineRule="exact"/>
        <w:rPr>
          <w:sz w:val="20"/>
          <w:szCs w:val="20"/>
          <w:color w:val="auto"/>
        </w:rPr>
      </w:pPr>
    </w:p>
    <w:p>
      <w:pPr>
        <w:ind w:firstLine="656"/>
        <w:spacing w:after="0" w:line="284"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binding upon and inure to the benefit of the Parties and their respective successors and permitted assigns.</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 of the State of Delaware applicable to contracts to be carried out wholly within such State.</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simultaneously in multiple counterparts, and in separate counterparts, each of which shall be deemed an original, but both of which taken together shall constitute one and the same instrument.</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caused this Agreement to be executed and delivered as of the date first written above.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BUYER:</w:t>
      </w:r>
    </w:p>
    <w:p>
      <w:pPr>
        <w:spacing w:after="0" w:line="1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VERANO HOLDINGS, LLC</w:t>
      </w:r>
    </w:p>
    <w:p>
      <w:pPr>
        <w:spacing w:after="0" w:line="200" w:lineRule="exact"/>
        <w:rPr>
          <w:sz w:val="20"/>
          <w:szCs w:val="20"/>
          <w:color w:val="auto"/>
        </w:rPr>
      </w:pPr>
    </w:p>
    <w:p>
      <w:pPr>
        <w:spacing w:after="0" w:line="3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__/s/ George Archos</w:t>
      </w:r>
      <w:r>
        <w:rPr>
          <w:rFonts w:ascii="Times New Roman" w:cs="Times New Roman" w:eastAsia="Times New Roman" w:hAnsi="Times New Roman"/>
          <w:sz w:val="22"/>
          <w:szCs w:val="22"/>
          <w:color w:val="auto"/>
        </w:rPr>
        <w:t xml:space="preserve"> __</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George Archos</w:t>
      </w:r>
    </w:p>
    <w:p>
      <w:pPr>
        <w:spacing w:after="0" w:line="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CANNABIST:</w:t>
      </w:r>
    </w:p>
    <w:p>
      <w:pPr>
        <w:spacing w:after="0" w:line="1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b w:val="1"/>
          <w:bCs w:val="1"/>
          <w:color w:val="auto"/>
        </w:rPr>
        <w:t>THE CANNABIST COMPANY HOLDINGS INC.</w:t>
      </w:r>
    </w:p>
    <w:p>
      <w:pPr>
        <w:spacing w:after="0" w:line="200" w:lineRule="exact"/>
        <w:rPr>
          <w:sz w:val="20"/>
          <w:szCs w:val="20"/>
          <w:color w:val="auto"/>
        </w:r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 _</w:t>
      </w:r>
      <w:r>
        <w:rPr>
          <w:rFonts w:ascii="Times New Roman" w:cs="Times New Roman" w:eastAsia="Times New Roman" w:hAnsi="Times New Roman"/>
          <w:sz w:val="22"/>
          <w:szCs w:val="22"/>
          <w:u w:val="single" w:color="auto"/>
          <w:color w:val="auto"/>
        </w:rPr>
        <w:t>/s/ David Hart __________</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David Hart</w:t>
      </w:r>
    </w:p>
    <w:p>
      <w:pPr>
        <w:spacing w:after="0" w:line="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CC VA:</w:t>
      </w:r>
    </w:p>
    <w:p>
      <w:pPr>
        <w:spacing w:after="0" w:line="1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CC VA HOLDCO LLC</w:t>
      </w:r>
    </w:p>
    <w:p>
      <w:pPr>
        <w:spacing w:after="0" w:line="200" w:lineRule="exact"/>
        <w:rPr>
          <w:sz w:val="20"/>
          <w:szCs w:val="20"/>
          <w:color w:val="auto"/>
        </w:r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 __</w:t>
      </w:r>
      <w:r>
        <w:rPr>
          <w:rFonts w:ascii="Times New Roman" w:cs="Times New Roman" w:eastAsia="Times New Roman" w:hAnsi="Times New Roman"/>
          <w:sz w:val="22"/>
          <w:szCs w:val="22"/>
          <w:u w:val="single" w:color="auto"/>
          <w:color w:val="auto"/>
        </w:rPr>
        <w:t>/s/ David Hart __________</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David Hart</w:t>
      </w:r>
    </w:p>
    <w:p>
      <w:pPr>
        <w:spacing w:after="0" w:line="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President</w:t>
      </w:r>
    </w:p>
    <w:p>
      <w:pPr>
        <w:sectPr>
          <w:pgSz w:w="11900" w:h="16838" w:orient="portrait"/>
          <w:cols w:equalWidth="0" w:num="1">
            <w:col w:w="11220"/>
          </w:cols>
          <w:pgMar w:left="320" w:top="1440" w:right="359" w:bottom="1440" w:gutter="0" w:footer="0" w:header="0"/>
          <w:type w:val="continuous"/>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Cannabist Company Holdings Inc. Transaction Bonus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16, 2025 (the “Effective Date”), the Compensation Committee of the Board of Directors (the “Board”) of The Cannabist Company Holdings Inc. (the “Company”) approved a Transaction Bonus Plan (the “Bonus Plan”). Under the Bonus Plan, the Company will establish a bonus pool (the “Bonus Pool”). The size of the Bonus Pool will be 1.50% of the transaction value, as defined and determined by the Compensation Committee, for divestitures or other strategic transactions, not previously approved by the Board, that are closed while the Bonus Plan is in effect. The Bonus Pool, if qualifying divestitures or strategic transactions are completed, will be funded directly from funds available for general corporate purposes and will be capped at $5,000,000. Certain key employees of the Company who are designated as participants will be eligible to be paid a bonus or bonuses based on individual allocations of the Bonus Pool, as determined by the Compensation Committee. Payments will be made to participants as follows: one-third of the individual’s Bonus Pool allocation payable as soon as practicable following each transaction close, one-third of the individual’s Bonus Pool allocation payable 60 days post-close and one-third of the individual’s Bonus Pool allocation payable 90 days post-close.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Unpaid bonuses will be forfeited upon voluntary termination or termination for cause of an eligible employee following the closing of a qualifying transaction. In the event of involuntary termination without cause following the closing of a qualifying transaction, the eligible employee will receive any unpaid bonuses, subject to the execution of a standard release agreement. In the event of involuntary termination without cause prior to the closing of a qualifying transaction, the eligible employee will be ineligible for a bonus with respect to any transaction that has not yet closed as of the termination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the Bonus Plan commences on the Effective Date and shall continue until otherwise determined by the Compensation Committee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4925-8981-4875\1</w:t>
      </w:r>
    </w:p>
    <w:p>
      <w:pPr>
        <w:sectPr>
          <w:pgSz w:w="11900" w:h="16838" w:orient="portrait"/>
          <w:cols w:equalWidth="0" w:num="1">
            <w:col w:w="11240"/>
          </w:cols>
          <w:pgMar w:left="320" w:top="1413"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AMENDED AND RESTATED AT-WILL EMPLOYMENT AGREEMENT</w:t>
      </w:r>
    </w:p>
    <w:p>
      <w:pPr>
        <w:spacing w:after="0" w:line="260" w:lineRule="exact"/>
        <w:rPr>
          <w:sz w:val="20"/>
          <w:szCs w:val="20"/>
          <w:color w:val="auto"/>
        </w:rPr>
      </w:pPr>
    </w:p>
    <w:p>
      <w:pPr>
        <w:jc w:val="both"/>
        <w:ind w:left="20"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THIS SECOND AMENDED AND RESTATED AT-WILL EMPLOYMENT AGREEMENT </w:t>
      </w:r>
      <w:r>
        <w:rPr>
          <w:rFonts w:ascii="Times New Roman" w:cs="Times New Roman" w:eastAsia="Times New Roman" w:hAnsi="Times New Roman"/>
          <w:sz w:val="22"/>
          <w:szCs w:val="22"/>
          <w:color w:val="auto"/>
        </w:rPr>
        <w:t>(the "Agreement"),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and entered into as of the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July, 2025 (the "Effective Date"), between The Cannabist Company Holdings Inc. (f/k/a Columbia Care Inc.), a British Columbia corporation with a principal place of business at 680 Fifth Avenue, New York, NY 10019 (which hereinafter includes any successor, parent, subsidiary and affiliate, and is collectively referred to as the "Company"), and Jesse Channon, an individual (hereinafter referred to as "Employee" or ''you"). The Employee and the Company previously entered into an At-Will Employment Agreement, as amended (the “Original Agreement”), dated November 26, 2019 (the “Original Effective Date”) and an Amended and Restated At-Will Employment Agreement, dated March 11, 2024. The Employee and the Company now desire to amend and restate the Original Agreement and the Amended and Restated At-Will Employment Agreement on the terms and conditions set forth herein. In consideration of the promises and the mutual covenants herein, and for other good and valuable consideration, the receipt and sufficiency of which are hereby acknowledged, the parties hereto mutually agree as follows:</w:t>
      </w:r>
    </w:p>
    <w:p>
      <w:pPr>
        <w:spacing w:after="0" w:line="214" w:lineRule="exact"/>
        <w:rPr>
          <w:sz w:val="20"/>
          <w:szCs w:val="20"/>
          <w:color w:val="auto"/>
        </w:rPr>
      </w:pPr>
    </w:p>
    <w:p>
      <w:pPr>
        <w:jc w:val="both"/>
        <w:ind w:left="20" w:right="20" w:hanging="3"/>
        <w:spacing w:after="0" w:line="253" w:lineRule="auto"/>
        <w:tabs>
          <w:tab w:leader="none" w:pos="55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Eligibility For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Immigration Reform and Control Act requires all employees of U.S. companies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evidence of identity and authorization to work in the U.S. Employee represents and warrants that Employee has such authorization and will provide the Company with evidence thereof on or before the Effective Date of this Agreement. Employee further acknowledges that the Company may perform a background check on Employee.</w:t>
      </w:r>
    </w:p>
    <w:p>
      <w:pPr>
        <w:spacing w:after="0" w:line="202" w:lineRule="exact"/>
        <w:rPr>
          <w:rFonts w:ascii="Times New Roman" w:cs="Times New Roman" w:eastAsia="Times New Roman" w:hAnsi="Times New Roman"/>
          <w:sz w:val="22"/>
          <w:szCs w:val="22"/>
          <w:color w:val="auto"/>
        </w:rPr>
      </w:pPr>
    </w:p>
    <w:p>
      <w:pPr>
        <w:jc w:val="both"/>
        <w:ind w:right="20" w:firstLine="12"/>
        <w:spacing w:after="0" w:line="254" w:lineRule="auto"/>
        <w:tabs>
          <w:tab w:leader="none" w:pos="54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At-Will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employment hereunder shall be at-will and can be terminated at any time, for any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reason, and with or without cause. Employee's employment pursuant to this Agreement will be effective on July 17, 2025 and shall continue until terminated by either party hereunder. The period of time during which Employee is employed as an at-will employee shall be referred to herein as the "Employment Period." The date on which Employee's employment terminates shall be referred to herein as the "Termination Date."</w:t>
      </w:r>
    </w:p>
    <w:p>
      <w:pPr>
        <w:spacing w:after="0" w:line="200" w:lineRule="exact"/>
        <w:rPr>
          <w:rFonts w:ascii="Times New Roman" w:cs="Times New Roman" w:eastAsia="Times New Roman" w:hAnsi="Times New Roman"/>
          <w:sz w:val="22"/>
          <w:szCs w:val="22"/>
          <w:color w:val="auto"/>
        </w:rPr>
      </w:pPr>
    </w:p>
    <w:p>
      <w:pPr>
        <w:jc w:val="both"/>
        <w:ind w:right="20" w:firstLine="9"/>
        <w:spacing w:after="0" w:line="244" w:lineRule="auto"/>
        <w:tabs>
          <w:tab w:leader="none" w:pos="5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 Period Duties.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Employment Period following the Effective Date, the Employee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employed by and serve as President of the Company on a full-time basis reporting directly to Chief Executive Officer or any other individual designated by Chief Executive Officer to supervise Employee. The Employee shall perform such duties as are normally associated with the position and such duties as are assigned to Employee from time to time. The Company reserves the right from time to time to change the nature and scope of Employee's duties. Employee hereby agrees and understands that the primary place of work is the Employee’s home office in Milton, Georgia, and that Employee may also be required to travel, including travel outside of the United States of America, in furtherance of the duties of the position.</w:t>
      </w:r>
    </w:p>
    <w:p>
      <w:pPr>
        <w:spacing w:after="0" w:line="224" w:lineRule="exact"/>
        <w:rPr>
          <w:rFonts w:ascii="Times New Roman" w:cs="Times New Roman" w:eastAsia="Times New Roman" w:hAnsi="Times New Roman"/>
          <w:sz w:val="22"/>
          <w:szCs w:val="22"/>
          <w:color w:val="auto"/>
        </w:rPr>
      </w:pPr>
    </w:p>
    <w:p>
      <w:pPr>
        <w:jc w:val="both"/>
        <w:ind w:left="20" w:right="20" w:hanging="9"/>
        <w:spacing w:after="0" w:line="254" w:lineRule="auto"/>
        <w:tabs>
          <w:tab w:leader="none" w:pos="5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Exclusive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hereby agrees to devote all of his reasonable efforts and business time, attention,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energies to the performance of his duties under this Agreement and to the Company; provided that Employee may serve on the board of directors of purely philanthropic or civic organizations or on the board of directors of one other company that is not competitive with the business of the Company ("Corporate Boards"), in each case only to the extent that such service or participation does not interfere with Employee's employment with the</w:t>
      </w:r>
    </w:p>
    <w:p>
      <w:pPr>
        <w:sectPr>
          <w:pgSz w:w="11900" w:h="16838" w:orient="portrait"/>
          <w:cols w:equalWidth="0" w:num="1">
            <w:col w:w="11040"/>
          </w:cols>
          <w:pgMar w:left="420" w:top="1350" w:right="439" w:bottom="1440" w:gutter="0" w:footer="0" w:header="0"/>
        </w:sectPr>
      </w:pPr>
    </w:p>
    <w:bookmarkStart w:id="51" w:name="page52"/>
    <w:bookmarkEnd w:id="51"/>
    <w:p>
      <w:pPr>
        <w:spacing w:after="0" w:line="90" w:lineRule="exact"/>
        <w:rPr>
          <w:sz w:val="20"/>
          <w:szCs w:val="20"/>
          <w:color w:val="auto"/>
        </w:rPr>
      </w:pPr>
    </w:p>
    <w:p>
      <w:pPr>
        <w:jc w:val="both"/>
        <w:ind w:left="20" w:right="20"/>
        <w:spacing w:after="0" w:line="253" w:lineRule="auto"/>
        <w:rPr>
          <w:sz w:val="20"/>
          <w:szCs w:val="20"/>
          <w:color w:val="auto"/>
        </w:rPr>
      </w:pPr>
      <w:r>
        <w:rPr>
          <w:rFonts w:ascii="Times New Roman" w:cs="Times New Roman" w:eastAsia="Times New Roman" w:hAnsi="Times New Roman"/>
          <w:sz w:val="22"/>
          <w:szCs w:val="22"/>
          <w:color w:val="auto"/>
        </w:rPr>
        <w:t>Company or duties under this Agreement. Employee may serve on the board of directors of additional companies that are not competitive with the business of the Company to the extent that such service or participation does not interfere with Employee's employment with the Company or duties under this Agreement and Employee has advised the Company prior to commencing, and the Company has consented (which consent shall not be unreasonably withheld) to such additional Corporate Board service.</w:t>
      </w:r>
    </w:p>
    <w:p>
      <w:pPr>
        <w:spacing w:after="0" w:line="185" w:lineRule="exact"/>
        <w:rPr>
          <w:sz w:val="20"/>
          <w:szCs w:val="20"/>
          <w:color w:val="auto"/>
        </w:rPr>
      </w:pPr>
    </w:p>
    <w:p>
      <w:pPr>
        <w:ind w:left="1300" w:hanging="641"/>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Restrictive Covenants.</w:t>
      </w:r>
    </w:p>
    <w:p>
      <w:pPr>
        <w:spacing w:after="0" w:line="240" w:lineRule="exact"/>
        <w:rPr>
          <w:sz w:val="20"/>
          <w:szCs w:val="20"/>
          <w:color w:val="auto"/>
        </w:rPr>
      </w:pPr>
    </w:p>
    <w:p>
      <w:pPr>
        <w:jc w:val="both"/>
        <w:ind w:firstLine="650"/>
        <w:spacing w:after="0" w:line="245" w:lineRule="auto"/>
        <w:rPr>
          <w:sz w:val="20"/>
          <w:szCs w:val="20"/>
          <w:color w:val="auto"/>
        </w:rPr>
      </w:pPr>
      <w:r>
        <w:rPr>
          <w:rFonts w:ascii="Times New Roman" w:cs="Times New Roman" w:eastAsia="Times New Roman" w:hAnsi="Times New Roman"/>
          <w:sz w:val="22"/>
          <w:szCs w:val="22"/>
          <w:color w:val="auto"/>
        </w:rPr>
        <w:t>5.1 Employee understands that the Company has spent considerable time, effort and expense developing proprietary information and has taken reasonable measures to protect its secrecy. Therefore, as a condition of employment with the Company, Employee shall execute the Non-Competition, Non-Solicitation and Non-Disclosure, which is attached to the Original Agreement as Exhibit A and incorporated by reference herein (the "NDA" or "Exhibit A"). The NDA is intended to survive and does survive the termination or expiration of this Agreement. The obligations, duties and liabilities of the Employee pursuant to Exhibit A are continuing, absolute and unconditional, and shall remain in full force and effect, despite any termination of this Agreement for any reason whatsoever, with or without Cause.</w:t>
      </w:r>
    </w:p>
    <w:p>
      <w:pPr>
        <w:spacing w:after="0" w:line="204" w:lineRule="exact"/>
        <w:rPr>
          <w:sz w:val="20"/>
          <w:szCs w:val="20"/>
          <w:color w:val="auto"/>
        </w:rPr>
      </w:pPr>
    </w:p>
    <w:p>
      <w:pPr>
        <w:jc w:val="both"/>
        <w:ind w:right="20" w:firstLine="650"/>
        <w:spacing w:after="0" w:line="252" w:lineRule="auto"/>
        <w:rPr>
          <w:sz w:val="20"/>
          <w:szCs w:val="20"/>
          <w:color w:val="auto"/>
        </w:rPr>
      </w:pPr>
      <w:r>
        <w:rPr>
          <w:rFonts w:ascii="Times New Roman" w:cs="Times New Roman" w:eastAsia="Times New Roman" w:hAnsi="Times New Roman"/>
          <w:sz w:val="22"/>
          <w:szCs w:val="22"/>
          <w:color w:val="auto"/>
        </w:rPr>
        <w:t>5.2 Employee has carefully read and considers this Section 5 and the NDA to be fair, reasonable and reasonably required for the protection of the interests of the Company. These provisions may be waived only by a written amendment signed by the parties. In the event Employee breaches any of the covenants in the NDA, any entitlement Employee may have to severance payments pursuant to Section 7 shall be forfeited.</w:t>
      </w:r>
    </w:p>
    <w:p>
      <w:pPr>
        <w:spacing w:after="0" w:line="193" w:lineRule="exact"/>
        <w:rPr>
          <w:sz w:val="20"/>
          <w:szCs w:val="20"/>
          <w:color w:val="auto"/>
        </w:rPr>
      </w:pPr>
    </w:p>
    <w:p>
      <w:pPr>
        <w:ind w:right="20" w:firstLine="4"/>
        <w:spacing w:after="0" w:line="284" w:lineRule="auto"/>
        <w:tabs>
          <w:tab w:leader="none" w:pos="54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Compensation and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compensation for the services to be performed by the Employee under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agrees to pay the Employee, and the Employee agrees to accept the following:</w:t>
      </w:r>
    </w:p>
    <w:p>
      <w:pPr>
        <w:spacing w:after="0" w:line="157" w:lineRule="exact"/>
        <w:rPr>
          <w:sz w:val="20"/>
          <w:szCs w:val="20"/>
          <w:color w:val="auto"/>
        </w:rPr>
      </w:pPr>
    </w:p>
    <w:p>
      <w:pPr>
        <w:jc w:val="both"/>
        <w:ind w:right="20" w:firstLine="647"/>
        <w:spacing w:after="0" w:line="252"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0"/>
          <w:szCs w:val="20"/>
          <w:b w:val="1"/>
          <w:bCs w:val="1"/>
          <w:u w:val="single" w:color="auto"/>
          <w:color w:val="auto"/>
        </w:rPr>
        <w:t>Salary.</w:t>
      </w:r>
      <w:r>
        <w:rPr>
          <w:rFonts w:ascii="Times New Roman" w:cs="Times New Roman" w:eastAsia="Times New Roman" w:hAnsi="Times New Roman"/>
          <w:sz w:val="22"/>
          <w:szCs w:val="22"/>
          <w:color w:val="auto"/>
        </w:rPr>
        <w:t xml:space="preserve"> The Company shall pay to the Employee an annual base salary of Four Hundred and Ten Thousand US Dollars ($410,000.00) (the "Base Salary") commencing on the Effective Date of this Agreement, which shall be payable in equal installments, not less frequently than bi-weekly, in accordance with the Company's payroll practices; shall be subject to customary and required deductions and withholdings.</w:t>
      </w:r>
    </w:p>
    <w:p>
      <w:pPr>
        <w:spacing w:after="0" w:line="206" w:lineRule="exact"/>
        <w:rPr>
          <w:sz w:val="20"/>
          <w:szCs w:val="20"/>
          <w:color w:val="auto"/>
        </w:rPr>
      </w:pPr>
    </w:p>
    <w:p>
      <w:pPr>
        <w:jc w:val="both"/>
        <w:ind w:right="20" w:firstLine="650"/>
        <w:spacing w:after="0" w:line="250"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0"/>
          <w:szCs w:val="20"/>
          <w:b w:val="1"/>
          <w:bCs w:val="1"/>
          <w:u w:val="single" w:color="auto"/>
          <w:color w:val="auto"/>
        </w:rPr>
        <w:t>Discretionary Bonus.</w:t>
      </w:r>
      <w:r>
        <w:rPr>
          <w:rFonts w:ascii="Times New Roman" w:cs="Times New Roman" w:eastAsia="Times New Roman" w:hAnsi="Times New Roman"/>
          <w:sz w:val="22"/>
          <w:szCs w:val="22"/>
          <w:color w:val="auto"/>
        </w:rPr>
        <w:t xml:space="preserve"> Employee will be eligible to participate in Company's annual bonus plan, subject to its terms and conditions, with the potential to earn a short-term cash bonus under the Company's annual management incentive plan or other similar bonus plan, equivalent to a target percentage of eighty-five percent (85%) of Employee's Base Salary ("Bonus"), based upon achievement of corporate and individual goals. The Company shall pay the Bonus for a calendar year, if at all, on or after January 1st, but by no later than March 15th, of the following calendar year, and Employee must be employed by the Company on the payment date in order to have earned the Bonus. No annual Bonus is guaranteed, and its payment rests in the sole discretion of the Company. The Company may, in its sole discretion, also pay Employee additional bonuses as a result of the achievement of key deliverables.</w:t>
      </w:r>
    </w:p>
    <w:p>
      <w:pPr>
        <w:spacing w:after="0" w:line="214"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0"/>
          <w:szCs w:val="20"/>
          <w:b w:val="1"/>
          <w:bCs w:val="1"/>
          <w:u w:val="single" w:color="auto"/>
          <w:color w:val="auto"/>
        </w:rPr>
        <w:t>Reserved.</w:t>
      </w:r>
    </w:p>
    <w:p>
      <w:pPr>
        <w:sectPr>
          <w:pgSz w:w="11900" w:h="16838" w:orient="portrait"/>
          <w:cols w:equalWidth="0" w:num="1">
            <w:col w:w="11040"/>
          </w:cols>
          <w:pgMar w:left="420" w:top="1440" w:right="439" w:bottom="1440" w:gutter="0" w:footer="0" w:header="0"/>
        </w:sectPr>
      </w:pPr>
    </w:p>
    <w:bookmarkStart w:id="52" w:name="page53"/>
    <w:bookmarkEnd w:id="52"/>
    <w:p>
      <w:pPr>
        <w:jc w:val="both"/>
        <w:ind w:right="20" w:firstLine="647"/>
        <w:spacing w:after="0" w:line="255"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0"/>
          <w:szCs w:val="20"/>
          <w:b w:val="1"/>
          <w:bCs w:val="1"/>
          <w:u w:val="single" w:color="auto"/>
          <w:color w:val="auto"/>
        </w:rPr>
        <w:t>Incentive Equity Grants.</w:t>
      </w:r>
      <w:r>
        <w:rPr>
          <w:rFonts w:ascii="Times New Roman" w:cs="Times New Roman" w:eastAsia="Times New Roman" w:hAnsi="Times New Roman"/>
          <w:sz w:val="22"/>
          <w:szCs w:val="22"/>
          <w:color w:val="auto"/>
        </w:rPr>
        <w:t xml:space="preserve"> Employee shall be eligible to receive discretionary equity grants ("Equity Grants") under the Company’s Omnibus Long-Term Incentive Plan, as may be amended from time to time ("Omnibus Plan"), based upon achievement of corporate and individual goals. Such Equity Grants are subject to all of the terms and conditions of </w:t>
      </w:r>
      <w:r>
        <w:rPr>
          <w:rFonts w:ascii="Times New Roman" w:cs="Times New Roman" w:eastAsia="Times New Roman" w:hAnsi="Times New Roman"/>
          <w:sz w:val="19"/>
          <w:szCs w:val="19"/>
          <w:color w:val="auto"/>
        </w:rPr>
        <w:t>the</w:t>
      </w:r>
    </w:p>
    <w:p>
      <w:pPr>
        <w:spacing w:after="0" w:line="3"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Omnibus Plan and any applicable award documents. The vesting schedule, exercise timing and price per unit (as defined in the applicable award agreement) will be determined in accordance with the Omnibus Plan and any applicable award documents. Employee should consult with a tax advisor concerning the tax risks associated with accepting the Equity Grants. The Employee’s target annual Equity Grant as of the Effective Date is One Million Three Hundred Thousand US Dollars ($1,300.000).</w:t>
      </w:r>
    </w:p>
    <w:p>
      <w:pPr>
        <w:spacing w:after="0" w:line="219" w:lineRule="exact"/>
        <w:rPr>
          <w:sz w:val="20"/>
          <w:szCs w:val="20"/>
          <w:color w:val="auto"/>
        </w:rPr>
      </w:pPr>
    </w:p>
    <w:p>
      <w:pPr>
        <w:jc w:val="both"/>
        <w:ind w:left="20" w:right="20" w:firstLine="653"/>
        <w:spacing w:after="0" w:line="248"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0"/>
          <w:szCs w:val="20"/>
          <w:b w:val="1"/>
          <w:bCs w:val="1"/>
          <w:u w:val="single" w:color="auto"/>
          <w:color w:val="auto"/>
        </w:rPr>
        <w:t>Benefits.</w:t>
      </w:r>
      <w:r>
        <w:rPr>
          <w:rFonts w:ascii="Times New Roman" w:cs="Times New Roman" w:eastAsia="Times New Roman" w:hAnsi="Times New Roman"/>
          <w:sz w:val="22"/>
          <w:szCs w:val="22"/>
          <w:color w:val="auto"/>
        </w:rPr>
        <w:t xml:space="preserve"> The Employee shall be entitled to participate in the Company's benefit plans, including but not limited to, medical, dental, vision, life and disability insurance plans, subject to the eligibility and contribution requirements, enrollment criteria and the other terms and conditions of such plans. The Company reserves the right to modify, amend and eliminate any such plans, in its sole and absolute discretion.</w:t>
      </w:r>
    </w:p>
    <w:p>
      <w:pPr>
        <w:spacing w:after="0" w:line="223" w:lineRule="exact"/>
        <w:rPr>
          <w:sz w:val="20"/>
          <w:szCs w:val="20"/>
          <w:color w:val="auto"/>
        </w:rPr>
      </w:pPr>
    </w:p>
    <w:p>
      <w:pPr>
        <w:jc w:val="both"/>
        <w:ind w:left="20" w:firstLine="650"/>
        <w:spacing w:after="0" w:line="253"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0"/>
          <w:szCs w:val="20"/>
          <w:b w:val="1"/>
          <w:bCs w:val="1"/>
          <w:u w:val="single" w:color="auto"/>
          <w:color w:val="auto"/>
        </w:rPr>
        <w:t>Paid Time Off.</w:t>
      </w:r>
      <w:r>
        <w:rPr>
          <w:rFonts w:ascii="Times New Roman" w:cs="Times New Roman" w:eastAsia="Times New Roman" w:hAnsi="Times New Roman"/>
          <w:sz w:val="22"/>
          <w:szCs w:val="22"/>
          <w:color w:val="auto"/>
        </w:rPr>
        <w:t xml:space="preserve"> Employee shall be entitled to paid vacation and holidays pursuant to the terms of the Company's vacation policy as may exist and be amended from time to time in the sole and absolute discretion of the Company, and in accordance with any applicable laws. Employee shall also be eligible for paid sick days, pursuant to the Company's applicable policy as may exist and be amended from time to time in the sole and absolute discretion of the Company, and in accordance with any applicable laws.</w:t>
      </w:r>
    </w:p>
    <w:p>
      <w:pPr>
        <w:spacing w:after="0" w:line="219" w:lineRule="exact"/>
        <w:rPr>
          <w:sz w:val="20"/>
          <w:szCs w:val="20"/>
          <w:color w:val="auto"/>
        </w:rPr>
      </w:pPr>
    </w:p>
    <w:p>
      <w:pPr>
        <w:jc w:val="both"/>
        <w:ind w:right="20" w:firstLine="652"/>
        <w:spacing w:after="0" w:line="253"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0"/>
          <w:szCs w:val="20"/>
          <w:b w:val="1"/>
          <w:bCs w:val="1"/>
          <w:u w:val="single" w:color="auto"/>
          <w:color w:val="auto"/>
        </w:rPr>
        <w:t>Expense Reimbursement.</w:t>
      </w:r>
      <w:r>
        <w:rPr>
          <w:rFonts w:ascii="Times New Roman" w:cs="Times New Roman" w:eastAsia="Times New Roman" w:hAnsi="Times New Roman"/>
          <w:sz w:val="22"/>
          <w:szCs w:val="22"/>
          <w:color w:val="auto"/>
        </w:rPr>
        <w:t xml:space="preserve"> The Company shall reimburse the Employee for any reasonable out-of-pocket business expenses, including for travel, marketing, entertaining or other similar business expenses, incurred by the Employee during the Employment Period in the discharge of the position duties under this Agreement ("Expense"); provided that for each Expense, such Expense was incurred and the related reimbursement request was made, in compliance with the Company's expense reimbursement policy in effect and supported by relevant documentation.</w:t>
      </w:r>
    </w:p>
    <w:p>
      <w:pPr>
        <w:spacing w:after="0" w:line="219" w:lineRule="exact"/>
        <w:rPr>
          <w:sz w:val="20"/>
          <w:szCs w:val="20"/>
          <w:color w:val="auto"/>
        </w:rPr>
      </w:pPr>
    </w:p>
    <w:p>
      <w:pPr>
        <w:jc w:val="both"/>
        <w:ind w:right="20" w:firstLine="8"/>
        <w:spacing w:after="0" w:line="264" w:lineRule="auto"/>
        <w:tabs>
          <w:tab w:leader="none" w:pos="5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Termination.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 other provision of this Agreement, the employment relationship between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Employee shall be an at-will employment relationship. Either party may terminate Employee's employment under this Agreement at any time with or without Cause (as defined in Section 7.2). Upon termination of employment pursuant to this Section 7, the Employee shall receive payment of any accrued but unpaid Base Salary through the Termination Date, reimbursement for any unpaid and approved expenses incurred through the Termination Date, and any accrued but unused vacation. On or prior to the Termination Date, Employee shall return to the Company any and all Proprietary Information (as defined in Exhibit A) in the Employee's possession, together with any and all other property of the Company.</w:t>
      </w:r>
    </w:p>
    <w:p>
      <w:pPr>
        <w:spacing w:after="0" w:line="207" w:lineRule="exact"/>
        <w:rPr>
          <w:sz w:val="20"/>
          <w:szCs w:val="20"/>
          <w:color w:val="auto"/>
        </w:rPr>
      </w:pPr>
    </w:p>
    <w:p>
      <w:pPr>
        <w:jc w:val="both"/>
        <w:ind w:right="20" w:firstLine="649"/>
        <w:spacing w:after="0" w:line="250"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0"/>
          <w:szCs w:val="20"/>
          <w:b w:val="1"/>
          <w:bCs w:val="1"/>
          <w:u w:val="single" w:color="auto"/>
          <w:color w:val="auto"/>
        </w:rPr>
        <w:t>Termination Upon Death or Disability.</w:t>
      </w:r>
      <w:r>
        <w:rPr>
          <w:rFonts w:ascii="Times New Roman" w:cs="Times New Roman" w:eastAsia="Times New Roman" w:hAnsi="Times New Roman"/>
          <w:sz w:val="22"/>
          <w:szCs w:val="22"/>
          <w:color w:val="auto"/>
        </w:rPr>
        <w:t xml:space="preserve"> In the event of Employee's death or the termination of the Employee by the Company because of his incapacity due to Disability (as defined herein) during the Employment Period, reimbursement for any unpaid and approved expenses incurred through the Termination Date, and any accrued but unused vacation. In the event of Employee's death, those payments will be made to the estate or legal representative of Employee and any death benefits payable and due to the death of Employee under Company</w:t>
      </w:r>
    </w:p>
    <w:p>
      <w:pPr>
        <w:sectPr>
          <w:pgSz w:w="11900" w:h="16838" w:orient="portrait"/>
          <w:cols w:equalWidth="0" w:num="1">
            <w:col w:w="11040"/>
          </w:cols>
          <w:pgMar w:left="420" w:top="1287" w:right="4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22"/>
          <w:szCs w:val="22"/>
          <w:color w:val="auto"/>
        </w:rPr>
        <w:t>benefit plans or programs will also be paid. For the purpose of this Section 7.1, Disability means a mental or physical condition which, in the opinion of the Company as supported by competent medical evidence and after consideration and compliance with its obligations under the Americans with Disabilities Act, and all applicable state and local laws, renders Employee</w:t>
      </w:r>
    </w:p>
    <w:p>
      <w:pPr>
        <w:sectPr>
          <w:pgSz w:w="11900" w:h="16838" w:orient="portrait"/>
          <w:cols w:equalWidth="0" w:num="1">
            <w:col w:w="11020"/>
          </w:cols>
          <w:pgMar w:left="420" w:top="1287" w:right="4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David Hart</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1220" w:hanging="1212"/>
        <w:spacing w:after="0"/>
        <w:tabs>
          <w:tab w:leader="none" w:pos="1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Cannabist Company Holdings Inc.;</w:t>
      </w:r>
    </w:p>
    <w:p>
      <w:pPr>
        <w:spacing w:after="0" w:line="117" w:lineRule="exact"/>
        <w:rPr>
          <w:rFonts w:ascii="Times New Roman" w:cs="Times New Roman" w:eastAsia="Times New Roman" w:hAnsi="Times New Roman"/>
          <w:sz w:val="18"/>
          <w:szCs w:val="18"/>
          <w:color w:val="auto"/>
        </w:rPr>
      </w:pPr>
    </w:p>
    <w:p>
      <w:pPr>
        <w:ind w:left="1220" w:right="20" w:hanging="1212"/>
        <w:spacing w:after="0" w:line="266" w:lineRule="auto"/>
        <w:tabs>
          <w:tab w:leader="none" w:pos="1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220" w:right="300" w:hanging="1212"/>
        <w:spacing w:after="0" w:line="312" w:lineRule="auto"/>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220" w:right="180" w:hanging="1212"/>
        <w:spacing w:after="0" w:line="276" w:lineRule="auto"/>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360" w:right="60" w:hanging="1137"/>
        <w:spacing w:after="0" w:line="266" w:lineRule="auto"/>
        <w:tabs>
          <w:tab w:leader="none" w:pos="23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360" w:right="360" w:hanging="1137"/>
        <w:spacing w:after="0" w:line="289" w:lineRule="auto"/>
        <w:tabs>
          <w:tab w:leader="none" w:pos="2354"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60" w:right="240" w:hanging="1137"/>
        <w:spacing w:after="0" w:line="266" w:lineRule="auto"/>
        <w:tabs>
          <w:tab w:leader="none" w:pos="23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60" w:right="60" w:hanging="1137"/>
        <w:spacing w:after="0" w:line="289" w:lineRule="auto"/>
        <w:tabs>
          <w:tab w:leader="none" w:pos="2354"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220" w:right="260" w:hanging="1212"/>
        <w:spacing w:after="0" w:line="266" w:lineRule="auto"/>
        <w:tabs>
          <w:tab w:leader="none" w:pos="1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360" w:right="160" w:hanging="1137"/>
        <w:spacing w:after="0" w:line="266" w:lineRule="auto"/>
        <w:tabs>
          <w:tab w:leader="none" w:pos="23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60" w:right="540" w:hanging="1137"/>
        <w:spacing w:after="0" w:line="282" w:lineRule="auto"/>
        <w:tabs>
          <w:tab w:leader="none" w:pos="23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380" w:val="left"/>
          <w:tab w:leader="none" w:pos="806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9"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Name: David Hart</w:t>
      </w:r>
    </w:p>
    <w:p>
      <w:pPr>
        <w:spacing w:after="0" w:line="50"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035"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Derek Watson</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1220" w:hanging="1212"/>
        <w:spacing w:after="0"/>
        <w:tabs>
          <w:tab w:leader="none" w:pos="1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Cannabist Company Holdings Inc.;</w:t>
      </w:r>
    </w:p>
    <w:p>
      <w:pPr>
        <w:spacing w:after="0" w:line="117" w:lineRule="exact"/>
        <w:rPr>
          <w:rFonts w:ascii="Times New Roman" w:cs="Times New Roman" w:eastAsia="Times New Roman" w:hAnsi="Times New Roman"/>
          <w:sz w:val="18"/>
          <w:szCs w:val="18"/>
          <w:color w:val="auto"/>
        </w:rPr>
      </w:pPr>
    </w:p>
    <w:p>
      <w:pPr>
        <w:ind w:left="1220" w:right="20" w:hanging="1212"/>
        <w:spacing w:after="0" w:line="266" w:lineRule="auto"/>
        <w:tabs>
          <w:tab w:leader="none" w:pos="1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220" w:right="300" w:hanging="1212"/>
        <w:spacing w:after="0" w:line="312" w:lineRule="auto"/>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220" w:right="180" w:hanging="1212"/>
        <w:spacing w:after="0" w:line="276" w:lineRule="auto"/>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360" w:right="60" w:hanging="1137"/>
        <w:spacing w:after="0" w:line="266" w:lineRule="auto"/>
        <w:tabs>
          <w:tab w:leader="none" w:pos="23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360" w:right="360" w:hanging="1137"/>
        <w:spacing w:after="0" w:line="289" w:lineRule="auto"/>
        <w:tabs>
          <w:tab w:leader="none" w:pos="2354"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60" w:right="240" w:hanging="1137"/>
        <w:spacing w:after="0" w:line="266" w:lineRule="auto"/>
        <w:tabs>
          <w:tab w:leader="none" w:pos="23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60" w:right="60" w:hanging="1137"/>
        <w:spacing w:after="0" w:line="289" w:lineRule="auto"/>
        <w:tabs>
          <w:tab w:leader="none" w:pos="2354"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220" w:right="260" w:hanging="1212"/>
        <w:spacing w:after="0" w:line="266" w:lineRule="auto"/>
        <w:tabs>
          <w:tab w:leader="none" w:pos="1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360" w:right="160" w:hanging="1137"/>
        <w:spacing w:after="0" w:line="266" w:lineRule="auto"/>
        <w:tabs>
          <w:tab w:leader="none" w:pos="23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60" w:right="540" w:hanging="1137"/>
        <w:spacing w:after="0" w:line="282" w:lineRule="auto"/>
        <w:tabs>
          <w:tab w:leader="none" w:pos="235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380" w:val="left"/>
          <w:tab w:leader="none" w:pos="796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6"/>
          <w:szCs w:val="16"/>
          <w:b w:val="1"/>
          <w:bCs w:val="1"/>
          <w:color w:val="auto"/>
        </w:rPr>
        <w:t>Derek Watson</w:t>
      </w:r>
    </w:p>
    <w:p>
      <w:pPr>
        <w:spacing w:after="0" w:line="6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035"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Cannabist Company Holdings Inc. (the “Company”) on Form 10-Q for the period ending June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2360" w:hanging="1218"/>
        <w:spacing w:after="0"/>
        <w:tabs>
          <w:tab w:leader="none" w:pos="2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360" w:right="560" w:hanging="1218"/>
        <w:spacing w:after="0" w:line="282" w:lineRule="auto"/>
        <w:tabs>
          <w:tab w:leader="none" w:pos="23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440" w:val="left"/>
          <w:tab w:leader="none" w:pos="804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2"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6"/>
          <w:szCs w:val="16"/>
          <w:b w:val="1"/>
          <w:bCs w:val="1"/>
          <w:color w:val="auto"/>
        </w:rPr>
        <w:t>David Hart</w:t>
      </w:r>
    </w:p>
    <w:p>
      <w:pPr>
        <w:spacing w:after="0" w:line="6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035"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Cannabist Company Holdings Inc. (the “Company”) on Form 10-Q for the period ending June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2360" w:hanging="1218"/>
        <w:spacing w:after="0"/>
        <w:tabs>
          <w:tab w:leader="none" w:pos="2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360" w:right="560" w:hanging="1218"/>
        <w:spacing w:after="0" w:line="282" w:lineRule="auto"/>
        <w:tabs>
          <w:tab w:leader="none" w:pos="23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440" w:val="left"/>
          <w:tab w:leader="none" w:pos="794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2"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6"/>
          <w:szCs w:val="16"/>
          <w:b w:val="1"/>
          <w:bCs w:val="1"/>
          <w:color w:val="auto"/>
        </w:rPr>
        <w:t>Derek Watson</w:t>
      </w:r>
    </w:p>
    <w:p>
      <w:pPr>
        <w:spacing w:after="0" w:line="66"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4"/>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9"/>
    </w:lvl>
    <w:lvl w:ilvl="1">
      <w:lvlJc w:val="left"/>
      <w:lvlText w:val="•"/>
      <w:numFmt w:val="bullet"/>
      <w:start w:val="1"/>
    </w:lvl>
  </w:abstractNum>
  <w:abstractNum w:abstractNumId="10">
    <w:nsid w:val="333AB105"/>
    <w:multiLevelType w:val="hybridMultilevel"/>
    <w:lvl w:ilvl="0">
      <w:lvlJc w:val="left"/>
      <w:lvlText w:val="%1."/>
      <w:numFmt w:val="decimal"/>
      <w:start w:val="11"/>
    </w:lvl>
  </w:abstractNum>
  <w:abstractNum w:abstractNumId="11">
    <w:nsid w:val="721DA317"/>
    <w:multiLevelType w:val="hybridMultilevel"/>
    <w:lvl w:ilvl="0">
      <w:lvlJc w:val="left"/>
      <w:lvlText w:val="%1."/>
      <w:numFmt w:val="decimal"/>
      <w:start w:val="12"/>
    </w:lvl>
  </w:abstractNum>
  <w:abstractNum w:abstractNumId="12">
    <w:nsid w:val="2443A858"/>
    <w:multiLevelType w:val="hybridMultilevel"/>
    <w:lvl w:ilvl="0">
      <w:lvlJc w:val="left"/>
      <w:lvlText w:val="%1."/>
      <w:numFmt w:val="decimal"/>
      <w:start w:val="13"/>
    </w:lvl>
  </w:abstractNum>
  <w:abstractNum w:abstractNumId="13">
    <w:nsid w:val="2D1D5AE9"/>
    <w:multiLevelType w:val="hybridMultilevel"/>
    <w:lvl w:ilvl="0">
      <w:lvlJc w:val="left"/>
      <w:lvlText w:val="%1."/>
      <w:numFmt w:val="decimal"/>
      <w:start w:val="15"/>
    </w:lvl>
  </w:abstractNum>
  <w:abstractNum w:abstractNumId="14">
    <w:nsid w:val="6763845E"/>
    <w:multiLevelType w:val="hybridMultilevel"/>
    <w:lvl w:ilvl="0">
      <w:lvlJc w:val="left"/>
      <w:lvlText w:val="%1."/>
      <w:numFmt w:val="decimal"/>
      <w:start w:val="18"/>
    </w:lvl>
  </w:abstractNum>
  <w:abstractNum w:abstractNumId="15">
    <w:nsid w:val="75A2A8D4"/>
    <w:multiLevelType w:val="hybridMultilevel"/>
    <w:lvl w:ilvl="0">
      <w:lvlJc w:val="left"/>
      <w:lvlText w:val="%1."/>
      <w:numFmt w:val="decimal"/>
      <w:start w:val="19"/>
    </w:lvl>
    <w:lvl w:ilvl="1">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lowerRoman"/>
      <w:start w:val="3"/>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abstractNum>
  <w:abstractNum w:abstractNumId="21">
    <w:nsid w:val="54E49EB4"/>
    <w:multiLevelType w:val="hybridMultilevel"/>
    <w:lvl w:ilvl="0">
      <w:lvlJc w:val="left"/>
      <w:lvlText w:val="(%1)"/>
      <w:numFmt w:val="lowerLetter"/>
      <w:start w:val="3"/>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7"/>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5"/>
    </w:lvl>
  </w:abstractNum>
  <w:abstractNum w:abstractNumId="26">
    <w:nsid w:val="3A95F874"/>
    <w:multiLevelType w:val="hybridMultilevel"/>
    <w:lvl w:ilvl="0">
      <w:lvlJc w:val="left"/>
      <w:lvlText w:val="%1."/>
      <w:numFmt w:val="decimal"/>
      <w:start w:val="6"/>
    </w:lvl>
  </w:abstractNum>
  <w:abstractNum w:abstractNumId="27">
    <w:nsid w:val="8138641"/>
    <w:multiLevelType w:val="hybridMultilevel"/>
    <w:lvl w:ilvl="0">
      <w:lvlJc w:val="left"/>
      <w:lvlText w:val="%1."/>
      <w:numFmt w:val="decimal"/>
      <w:start w:val="7"/>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6"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72" Type="http://schemas.openxmlformats.org/officeDocument/2006/relationships/hyperlink" Target="https://www.sec.gov/Archives/edgar/data/1776738/000119312522088069/d292116dex21.htm" TargetMode="External"/><Relationship Id="rId73" Type="http://schemas.openxmlformats.org/officeDocument/2006/relationships/hyperlink" Target="https://www.sec.gov/Archives/edgar/data/1776738/000119312523054004/d469358dex21.htm" TargetMode="External"/><Relationship Id="rId74" Type="http://schemas.openxmlformats.org/officeDocument/2006/relationships/hyperlink" Target="https://www.sec.gov/Archives/edgar/data/1776738/000119312521356939/d252333dex31.htm" TargetMode="External"/><Relationship Id="rId75" Type="http://schemas.openxmlformats.org/officeDocument/2006/relationships/hyperlink" Target="https://www.sec.gov/Archives/edgar/data/1776738/000119312523239776/d471022dex32.htm" TargetMode="External"/><Relationship Id="rId77" Type="http://schemas.openxmlformats.org/officeDocument/2006/relationships/hyperlink" Target="https://www.sec.gov/Archives/edgar/data/1776738/000119312521356939/d252333dex41.htm" TargetMode="External"/><Relationship Id="rId78" Type="http://schemas.openxmlformats.org/officeDocument/2006/relationships/hyperlink" Target="https://www.sec.gov/Archives/edgar/data/1776738/000119312521356939/d252333dex42.htm" TargetMode="External"/><Relationship Id="rId79" Type="http://schemas.openxmlformats.org/officeDocument/2006/relationships/hyperlink" Target="https://www.sec.gov/Archives/edgar/data/1776738/000119312521356939/d252333dex43.htm" TargetMode="External"/><Relationship Id="rId80" Type="http://schemas.openxmlformats.org/officeDocument/2006/relationships/hyperlink" Target="https://www.sec.gov/Archives/edgar/data/1776738/000119312521356939/d252333dex44.htm" TargetMode="External"/><Relationship Id="rId81" Type="http://schemas.openxmlformats.org/officeDocument/2006/relationships/hyperlink" Target="https://www.sec.gov/Archives/edgar/data/1776738/000119312521356939/d252333dex46.htm" TargetMode="External"/><Relationship Id="rId82" Type="http://schemas.openxmlformats.org/officeDocument/2006/relationships/hyperlink" Target="https://www.sec.gov/Archives/edgar/data/1776738/000119312521356939/d252333dex48.htm" TargetMode="External"/><Relationship Id="rId83" Type="http://schemas.openxmlformats.org/officeDocument/2006/relationships/hyperlink" Target="https://www.sec.gov/Archives/edgar/data/1776738/000119312521356939/d252333dex49.htm" TargetMode="External"/><Relationship Id="rId84" Type="http://schemas.openxmlformats.org/officeDocument/2006/relationships/hyperlink" Target="https://www.sec.gov/Archives/edgar/data/1776738/000095017023010606/cchwf-ex4_14.htm" TargetMode="External"/><Relationship Id="rId85" Type="http://schemas.openxmlformats.org/officeDocument/2006/relationships/hyperlink" Target="https://www.sec.gov/ix?doc=/Archives/edgar/data/0001776738/000110465925056402/tm2517085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2025-08-07T12:38:55Z</dcterms:created>
  <dcterms:modified xsi:type="dcterms:W3CDTF">2025-08-07T12:38:55Z</dcterms:modified>
</cp:coreProperties>
</file>