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820" w:right="1620" w:hanging="3812"/>
        <w:spacing w:after="0" w:line="367"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160" w:right="1620" w:hanging="4152"/>
        <w:spacing w:after="0" w:line="375" w:lineRule="auto"/>
        <w:tabs>
          <w:tab w:leader="none" w:pos="46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__to 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000-56294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111760</wp:posOffset>
            </wp:positionV>
            <wp:extent cx="1560195" cy="771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6019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2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3"/>
              </w:rPr>
              <w:t>British Columbia</w:t>
            </w:r>
          </w:p>
        </w:tc>
        <w:tc>
          <w:tcPr>
            <w:tcW w:w="1520" w:type="dxa"/>
            <w:vAlign w:val="bottom"/>
          </w:tcPr>
          <w:p>
            <w:pPr>
              <w:spacing w:after="0"/>
              <w:rPr>
                <w:sz w:val="18"/>
                <w:szCs w:val="18"/>
                <w:color w:val="auto"/>
              </w:rPr>
            </w:pPr>
          </w:p>
        </w:tc>
        <w:tc>
          <w:tcPr>
            <w:tcW w:w="4500" w:type="dxa"/>
            <w:vAlign w:val="bottom"/>
            <w:gridSpan w:val="3"/>
          </w:tcPr>
          <w:p>
            <w:pPr>
              <w:jc w:val="right"/>
              <w:ind w:right="2290"/>
              <w:spacing w:after="0"/>
              <w:rPr>
                <w:sz w:val="20"/>
                <w:szCs w:val="20"/>
                <w:color w:val="auto"/>
              </w:rPr>
            </w:pPr>
            <w:r>
              <w:rPr>
                <w:rFonts w:ascii="Arial" w:cs="Arial" w:eastAsia="Arial" w:hAnsi="Arial"/>
                <w:sz w:val="18"/>
                <w:szCs w:val="18"/>
                <w:b w:val="1"/>
                <w:bCs w:val="1"/>
                <w:color w:val="auto"/>
              </w:rPr>
              <w:t>98-1488978</w:t>
            </w:r>
          </w:p>
        </w:tc>
      </w:tr>
      <w:tr>
        <w:trPr>
          <w:trHeight w:val="216"/>
        </w:trPr>
        <w:tc>
          <w:tcPr>
            <w:tcW w:w="52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1"/>
              </w:rPr>
              <w:t>( State or other jurisdiction of</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4"/>
              </w:rPr>
              <w:t>(I.R.S. Employer</w:t>
            </w:r>
          </w:p>
        </w:tc>
      </w:tr>
      <w:tr>
        <w:trPr>
          <w:trHeight w:val="203"/>
        </w:trPr>
        <w:tc>
          <w:tcPr>
            <w:tcW w:w="5220" w:type="dxa"/>
            <w:vAlign w:val="bottom"/>
            <w:gridSpan w:val="4"/>
          </w:tcPr>
          <w:p>
            <w:pPr>
              <w:jc w:val="center"/>
              <w:ind w:left="330"/>
              <w:spacing w:after="0" w:line="202" w:lineRule="exact"/>
              <w:rPr>
                <w:sz w:val="20"/>
                <w:szCs w:val="20"/>
                <w:color w:val="auto"/>
              </w:rPr>
            </w:pPr>
            <w:r>
              <w:rPr>
                <w:rFonts w:ascii="Arial" w:cs="Arial" w:eastAsia="Arial" w:hAnsi="Arial"/>
                <w:sz w:val="18"/>
                <w:szCs w:val="18"/>
                <w:b w:val="1"/>
                <w:bCs w:val="1"/>
                <w:color w:val="auto"/>
                <w:w w:val="91"/>
              </w:rPr>
              <w:t>incorporation or organization)</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Pr>
          <w:p>
            <w:pPr>
              <w:jc w:val="center"/>
              <w:ind w:right="1170"/>
              <w:spacing w:after="0" w:line="202" w:lineRule="exact"/>
              <w:rPr>
                <w:sz w:val="20"/>
                <w:szCs w:val="20"/>
                <w:color w:val="auto"/>
              </w:rPr>
            </w:pPr>
            <w:r>
              <w:rPr>
                <w:rFonts w:ascii="Arial" w:cs="Arial" w:eastAsia="Arial" w:hAnsi="Arial"/>
                <w:sz w:val="18"/>
                <w:szCs w:val="18"/>
                <w:b w:val="1"/>
                <w:bCs w:val="1"/>
                <w:color w:val="auto"/>
                <w:w w:val="93"/>
              </w:rPr>
              <w:t>Identification No.)</w:t>
            </w:r>
          </w:p>
        </w:tc>
      </w:tr>
      <w:tr>
        <w:trPr>
          <w:trHeight w:val="216"/>
        </w:trPr>
        <w:tc>
          <w:tcPr>
            <w:tcW w:w="5220" w:type="dxa"/>
            <w:vAlign w:val="bottom"/>
            <w:gridSpan w:val="4"/>
          </w:tcPr>
          <w:p>
            <w:pPr>
              <w:ind w:left="1880"/>
              <w:spacing w:after="0"/>
              <w:rPr>
                <w:sz w:val="20"/>
                <w:szCs w:val="20"/>
                <w:color w:val="auto"/>
              </w:rPr>
            </w:pPr>
            <w:r>
              <w:rPr>
                <w:rFonts w:ascii="Arial" w:cs="Arial" w:eastAsia="Arial" w:hAnsi="Arial"/>
                <w:sz w:val="18"/>
                <w:szCs w:val="18"/>
                <w:b w:val="1"/>
                <w:bCs w:val="1"/>
                <w:color w:val="auto"/>
              </w:rPr>
              <w:t>680 Fifth Ave., 24th Floor</w:t>
            </w:r>
          </w:p>
        </w:tc>
        <w:tc>
          <w:tcPr>
            <w:tcW w:w="1520" w:type="dxa"/>
            <w:vAlign w:val="bottom"/>
          </w:tcPr>
          <w:p>
            <w:pPr>
              <w:spacing w:after="0"/>
              <w:rPr>
                <w:sz w:val="18"/>
                <w:szCs w:val="18"/>
                <w:color w:val="auto"/>
              </w:rPr>
            </w:pPr>
          </w:p>
        </w:tc>
        <w:tc>
          <w:tcPr>
            <w:tcW w:w="4500" w:type="dxa"/>
            <w:vAlign w:val="bottom"/>
            <w:gridSpan w:val="3"/>
          </w:tcPr>
          <w:p>
            <w:pPr>
              <w:jc w:val="right"/>
              <w:ind w:right="2490"/>
              <w:spacing w:after="0"/>
              <w:rPr>
                <w:sz w:val="20"/>
                <w:szCs w:val="20"/>
                <w:color w:val="auto"/>
              </w:rPr>
            </w:pPr>
            <w:r>
              <w:rPr>
                <w:rFonts w:ascii="Arial" w:cs="Arial" w:eastAsia="Arial" w:hAnsi="Arial"/>
                <w:sz w:val="18"/>
                <w:szCs w:val="18"/>
                <w:b w:val="1"/>
                <w:bCs w:val="1"/>
                <w:color w:val="auto"/>
              </w:rPr>
              <w:t>10019</w:t>
            </w:r>
          </w:p>
        </w:tc>
      </w:tr>
      <w:tr>
        <w:trPr>
          <w:trHeight w:val="203"/>
        </w:trPr>
        <w:tc>
          <w:tcPr>
            <w:tcW w:w="5220" w:type="dxa"/>
            <w:vAlign w:val="bottom"/>
            <w:gridSpan w:val="4"/>
          </w:tcPr>
          <w:p>
            <w:pPr>
              <w:jc w:val="center"/>
              <w:ind w:left="310"/>
              <w:spacing w:after="0" w:line="202" w:lineRule="exact"/>
              <w:rPr>
                <w:sz w:val="20"/>
                <w:szCs w:val="20"/>
                <w:color w:val="auto"/>
              </w:rPr>
            </w:pPr>
            <w:r>
              <w:rPr>
                <w:rFonts w:ascii="Arial" w:cs="Arial" w:eastAsia="Arial" w:hAnsi="Arial"/>
                <w:sz w:val="18"/>
                <w:szCs w:val="18"/>
                <w:b w:val="1"/>
                <w:bCs w:val="1"/>
                <w:color w:val="auto"/>
                <w:w w:val="93"/>
              </w:rPr>
              <w:t>New York, New York</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234"/>
        </w:trPr>
        <w:tc>
          <w:tcPr>
            <w:tcW w:w="52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2"/>
              </w:rPr>
              <w:t>(Zip Code)</w:t>
            </w:r>
          </w:p>
        </w:tc>
      </w:tr>
      <w:tr>
        <w:trPr>
          <w:trHeight w:val="283"/>
        </w:trPr>
        <w:tc>
          <w:tcPr>
            <w:tcW w:w="11240" w:type="dxa"/>
            <w:vAlign w:val="bottom"/>
            <w:gridSpan w:val="8"/>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(212) 634-7100</w:t>
            </w:r>
          </w:p>
        </w:tc>
      </w:tr>
      <w:tr>
        <w:trPr>
          <w:trHeight w:val="148"/>
        </w:trPr>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60" w:type="dxa"/>
            <w:vAlign w:val="bottom"/>
          </w:tcPr>
          <w:p>
            <w:pPr>
              <w:spacing w:after="0"/>
              <w:rPr>
                <w:sz w:val="12"/>
                <w:szCs w:val="12"/>
                <w:color w:val="auto"/>
              </w:rPr>
            </w:pPr>
          </w:p>
        </w:tc>
      </w:tr>
      <w:tr>
        <w:trPr>
          <w:trHeight w:val="318"/>
        </w:trPr>
        <w:tc>
          <w:tcPr>
            <w:tcW w:w="5220" w:type="dxa"/>
            <w:vAlign w:val="bottom"/>
            <w:gridSpan w:val="4"/>
          </w:tcPr>
          <w:p>
            <w:pPr>
              <w:ind w:left="600"/>
              <w:spacing w:after="0"/>
              <w:rPr>
                <w:sz w:val="20"/>
                <w:szCs w:val="20"/>
                <w:color w:val="auto"/>
              </w:rPr>
            </w:pPr>
            <w:r>
              <w:rPr>
                <w:rFonts w:ascii="Arial" w:cs="Arial" w:eastAsia="Arial" w:hAnsi="Arial"/>
                <w:sz w:val="18"/>
                <w:szCs w:val="18"/>
                <w:color w:val="auto"/>
                <w:w w:val="91"/>
              </w:rPr>
              <w:t>Securities registered pursuant to Section 12(b) of the Act: None</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414"/>
        </w:trPr>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jc w:val="center"/>
              <w:ind w:right="610"/>
              <w:spacing w:after="0"/>
              <w:rPr>
                <w:sz w:val="20"/>
                <w:szCs w:val="20"/>
                <w:color w:val="auto"/>
              </w:rPr>
            </w:pPr>
            <w:r>
              <w:rPr>
                <w:rFonts w:ascii="Arial" w:cs="Arial" w:eastAsia="Arial" w:hAnsi="Arial"/>
                <w:sz w:val="18"/>
                <w:szCs w:val="18"/>
                <w:b w:val="1"/>
                <w:bCs w:val="1"/>
                <w:color w:val="auto"/>
                <w:w w:val="93"/>
              </w:rPr>
              <w:t>Trading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34"/>
        </w:trPr>
        <w:tc>
          <w:tcPr>
            <w:tcW w:w="438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Title of each class</w:t>
            </w:r>
          </w:p>
        </w:tc>
        <w:tc>
          <w:tcPr>
            <w:tcW w:w="140" w:type="dxa"/>
            <w:vAlign w:val="bottom"/>
            <w:gridSpan w:val="2"/>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87"/>
              </w:rPr>
              <w:t>Symbol(s)</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w w:val="99"/>
              </w:rPr>
              <w:t>Name of each exchange on which registered]</w:t>
            </w:r>
          </w:p>
        </w:tc>
      </w:tr>
    </w:tbl>
    <w:p>
      <w:pPr>
        <w:spacing w:after="0" w:line="310" w:lineRule="exact"/>
        <w:rPr>
          <w:sz w:val="24"/>
          <w:szCs w:val="24"/>
          <w:color w:val="auto"/>
        </w:rPr>
      </w:pPr>
    </w:p>
    <w:p>
      <w:pPr>
        <w:jc w:val="both"/>
        <w:ind w:right="60" w:firstLine="59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60" w:firstLine="59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60" w:firstLine="59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82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820"/>
              <w:spacing w:after="0"/>
              <w:rPr>
                <w:sz w:val="20"/>
                <w:szCs w:val="20"/>
                <w:color w:val="auto"/>
              </w:rPr>
            </w:pPr>
            <w:r>
              <w:rPr>
                <w:rFonts w:ascii="Arial" w:cs="Arial" w:eastAsia="Arial" w:hAnsi="Arial"/>
                <w:sz w:val="18"/>
                <w:szCs w:val="18"/>
                <w:color w:val="auto"/>
                <w:w w:val="99"/>
              </w:rPr>
              <w:t>Smaller reporting company</w:t>
            </w:r>
          </w:p>
        </w:tc>
        <w:tc>
          <w:tcPr>
            <w:tcW w:w="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649"/>
        </w:trPr>
        <w:tc>
          <w:tcPr>
            <w:tcW w:w="24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 w:name="page2"/>
    <w:bookmarkEnd w:id="1"/>
    <w:p>
      <w:pPr>
        <w:ind w:right="80" w:firstLine="59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0"/>
          <w:szCs w:val="20"/>
          <w:color w:val="auto"/>
        </w:rPr>
      </w:pPr>
    </w:p>
    <w:p>
      <w:pPr>
        <w:ind w:left="60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23" w:lineRule="exact"/>
        <w:rPr>
          <w:sz w:val="20"/>
          <w:szCs w:val="20"/>
          <w:color w:val="auto"/>
        </w:rPr>
      </w:pPr>
    </w:p>
    <w:p>
      <w:pPr>
        <w:ind w:firstLine="599"/>
        <w:spacing w:after="0" w:line="233"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May 10, 2022, there were 384,943,683 , of common stock, no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790575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0" w:type="dxa"/>
            <w:vAlign w:val="bottom"/>
            <w:gridSpan w:val="6"/>
          </w:tcPr>
          <w:p>
            <w:pPr>
              <w:ind w:left="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0000EE"/>
            </w:tcBorders>
            <w:gridSpan w:val="8"/>
          </w:tcPr>
          <w:p>
            <w:pPr>
              <w:spacing w:after="0" w:line="182"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FORWARD-LOOKING STATEMENTS</w:t>
              </w:r>
            </w:hyperlink>
          </w:p>
        </w:tc>
        <w:tc>
          <w:tcPr>
            <w:tcW w:w="7520" w:type="dxa"/>
            <w:vAlign w:val="bottom"/>
            <w:gridSpan w:val="1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7"/>
          </w:tcPr>
          <w:p>
            <w:pPr>
              <w:spacing w:after="0"/>
              <w:rPr>
                <w:sz w:val="20"/>
                <w:szCs w:val="20"/>
                <w:color w:val="auto"/>
              </w:rPr>
            </w:pPr>
            <w:r>
              <w:rPr>
                <w:rFonts w:ascii="Arial" w:cs="Arial" w:eastAsia="Arial" w:hAnsi="Arial"/>
                <w:sz w:val="18"/>
                <w:szCs w:val="18"/>
                <w:color w:val="auto"/>
              </w:rPr>
              <w:t>FINANCIAL INFORMATION</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7"/>
          </w:tcPr>
          <w:p>
            <w:pPr>
              <w:spacing w:after="0"/>
              <w:rPr>
                <w:sz w:val="20"/>
                <w:szCs w:val="20"/>
                <w:color w:val="auto"/>
              </w:rPr>
            </w:pPr>
            <w:r>
              <w:rPr>
                <w:rFonts w:ascii="Arial" w:cs="Arial" w:eastAsia="Arial" w:hAnsi="Arial"/>
                <w:sz w:val="18"/>
                <w:szCs w:val="18"/>
                <w:color w:val="auto"/>
              </w:rPr>
              <w:t>Financial Statements (Unaudited)</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Operations</w:t>
              </w:r>
            </w:hyperlink>
          </w:p>
        </w:tc>
        <w:tc>
          <w:tcPr>
            <w:tcW w:w="56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Comprehensive Loss</w:t>
              </w:r>
            </w:hyperlink>
          </w:p>
        </w:tc>
        <w:tc>
          <w:tcPr>
            <w:tcW w:w="49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49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29">
              <w:r>
                <w:rPr>
                  <w:rFonts w:ascii="Arial" w:cs="Arial" w:eastAsia="Arial" w:hAnsi="Arial"/>
                  <w:sz w:val="18"/>
                  <w:szCs w:val="18"/>
                  <w:color w:val="0000EE"/>
                  <w:w w:val="95"/>
                </w:rPr>
                <w:t>OTHER INFORMATION</w:t>
              </w:r>
            </w:hyperlink>
          </w:p>
        </w:tc>
        <w:tc>
          <w:tcPr>
            <w:tcW w:w="742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798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4"/>
          </w:tcPr>
          <w:p>
            <w:pPr>
              <w:spacing w:after="0"/>
              <w:rPr>
                <w:sz w:val="18"/>
                <w:szCs w:val="18"/>
                <w:color w:val="auto"/>
              </w:rPr>
            </w:pPr>
          </w:p>
        </w:tc>
        <w:tc>
          <w:tcPr>
            <w:tcW w:w="49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754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80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This Quarterly Report on Form 10-Q contains “forward-looking statements” regarding Columbia Care Inc. and its subsidiaries (collectively referred to as “Columbia Care,” “we,” “us,” “our,” or the “Company”). We make forward-looking statements related to future expectations, estimates, and projections that are uncertain and often contain words such as, but not limited to, “may”, “would”, “could”, “should”, “will”, “intend”, “plan”, “anticipate”, “believe”, “estimate”, “expect”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86"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satisfaction of the conditions precedent to the closing of the Cresco Transaction (as defined herein);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receipt of any necessary regulatory approvals in connection with Cresco Transaction (as defined herein);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Cresco Transaction (as defined herein) on the Company’s current and future operations, financial condition and prospects;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value of the Cresco Labs Shares (as defined herein);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costs of the Cresco Transaction (as defined herein) and potential payment of a termination fee in connection with the Cresco Transaction (as defined herein);</w:t>
      </w:r>
    </w:p>
    <w:p>
      <w:pPr>
        <w:spacing w:after="0" w:line="138" w:lineRule="exact"/>
        <w:rPr>
          <w:rFonts w:ascii="Arial" w:cs="Arial" w:eastAsia="Arial" w:hAnsi="Arial"/>
          <w:sz w:val="15"/>
          <w:szCs w:val="15"/>
          <w:color w:val="auto"/>
        </w:rPr>
      </w:pPr>
    </w:p>
    <w:p>
      <w:pPr>
        <w:ind w:left="380" w:right="420" w:hanging="372"/>
        <w:spacing w:after="0" w:line="293"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to successfully integrate with the operations of Cresco Labs (as defined herein) and realize the expected benefits of the Cresco Transaction (as defined herein);</w:t>
      </w:r>
    </w:p>
    <w:p>
      <w:pPr>
        <w:spacing w:after="0" w:line="63"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fact that marijuana remains illegal under federal law;</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application of anti-money laundering laws and regulations to the Company;</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legal, regulatory, or political change to the cannabis industry;</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access to the services of banks;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access to public and private capital;</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unfavorable publicity or consumer perception of the cannabis industry;</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expansion to the adult-use market;</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laws, regulations, and guidelines;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Section 280E of the Internal Revenue Code;</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state laws pertaining to the cannabis industry;</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reliance on key inputs, suppliers and skilled labor;</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difficulty of forecasting the Company’s sales;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constraints on marketing products;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cyber-attacks and security breaches;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operating loss and other tax attribute limitations;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changes in tax laws;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volatility of the market price of the Common Shares;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reliance on management;</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litigation;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future results and financial projections; and</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global financial conditions</w:t>
      </w:r>
    </w:p>
    <w:p>
      <w:pPr>
        <w:spacing w:after="0" w:line="15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list of factors above is illustrative and by no means exhaustive. Additional information regarding these risks and other risks and uncertainties we face is contained in this Quarterly Report on Form 10-Q, our Annual Report on Form 10-K for the year ended December 31, 2021, and our Form 10, dated May 9, 2022. Although the Company has attempted to identify important factors that could cause actual results to differ materially from those contained in forward-looking information, there may be other factors that cause results not to be as anticipated, estimated, or intended.</w:t>
      </w:r>
    </w:p>
    <w:p>
      <w:pPr>
        <w:spacing w:after="0" w:line="121"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 w:name="page5"/>
    <w:bookmarkEnd w:id="4"/>
    <w:p>
      <w:pPr>
        <w:jc w:val="center"/>
        <w:ind w:right="-459"/>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(Expressed in thousands of U.S. dollars,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14"/>
                <w:szCs w:val="14"/>
                <w:color w:val="auto"/>
              </w:rPr>
            </w:pPr>
          </w:p>
        </w:tc>
        <w:tc>
          <w:tcPr>
            <w:tcW w:w="1480" w:type="dxa"/>
            <w:vAlign w:val="bottom"/>
          </w:tcPr>
          <w:p>
            <w:pPr>
              <w:jc w:val="right"/>
              <w:ind w:right="208"/>
              <w:spacing w:after="0"/>
              <w:rPr>
                <w:sz w:val="20"/>
                <w:szCs w:val="20"/>
                <w:color w:val="auto"/>
              </w:rPr>
            </w:pPr>
            <w:r>
              <w:rPr>
                <w:rFonts w:ascii="Arial" w:cs="Arial" w:eastAsia="Arial" w:hAnsi="Arial"/>
                <w:sz w:val="14"/>
                <w:szCs w:val="14"/>
                <w:b w:val="1"/>
                <w:bCs w:val="1"/>
                <w:color w:val="auto"/>
                <w:w w:val="93"/>
              </w:rPr>
              <w:t>December 31, 2021</w:t>
            </w:r>
          </w:p>
        </w:tc>
      </w:tr>
      <w:tr>
        <w:trPr>
          <w:trHeight w:val="156"/>
        </w:trPr>
        <w:tc>
          <w:tcPr>
            <w:tcW w:w="74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r>
      <w:tr>
        <w:trPr>
          <w:trHeight w:val="162"/>
        </w:trPr>
        <w:tc>
          <w:tcPr>
            <w:tcW w:w="7460" w:type="dxa"/>
            <w:vAlign w:val="bottom"/>
          </w:tcPr>
          <w:p>
            <w:pPr>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7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168,424</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82,198</w:t>
            </w:r>
          </w:p>
        </w:tc>
      </w:tr>
      <w:tr>
        <w:trPr>
          <w:trHeight w:val="162"/>
        </w:trPr>
        <w:tc>
          <w:tcPr>
            <w:tcW w:w="7460" w:type="dxa"/>
            <w:vAlign w:val="bottom"/>
          </w:tcPr>
          <w:p>
            <w:pPr>
              <w:ind w:left="260"/>
              <w:spacing w:after="0"/>
              <w:rPr>
                <w:sz w:val="20"/>
                <w:szCs w:val="20"/>
                <w:color w:val="auto"/>
              </w:rPr>
            </w:pPr>
            <w:r>
              <w:rPr>
                <w:rFonts w:ascii="Arial" w:cs="Arial" w:eastAsia="Arial" w:hAnsi="Arial"/>
                <w:sz w:val="14"/>
                <w:szCs w:val="14"/>
                <w:color w:val="auto"/>
              </w:rPr>
              <w:t>Accounts receivable, net of allowances of $2,528 and, $2,542, respectively</w:t>
            </w:r>
          </w:p>
        </w:tc>
        <w:tc>
          <w:tcPr>
            <w:tcW w:w="16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16,550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18,302</w:t>
            </w:r>
          </w:p>
        </w:tc>
      </w:tr>
      <w:tr>
        <w:trPr>
          <w:trHeight w:val="162"/>
        </w:trPr>
        <w:tc>
          <w:tcPr>
            <w:tcW w:w="7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Inventory</w:t>
            </w: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109,263</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94,567</w:t>
            </w:r>
          </w:p>
        </w:tc>
      </w:tr>
      <w:tr>
        <w:trPr>
          <w:trHeight w:val="162"/>
        </w:trPr>
        <w:tc>
          <w:tcPr>
            <w:tcW w:w="746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27,526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29,252</w:t>
            </w:r>
          </w:p>
        </w:tc>
      </w:tr>
      <w:tr>
        <w:trPr>
          <w:trHeight w:val="162"/>
        </w:trPr>
        <w:tc>
          <w:tcPr>
            <w:tcW w:w="7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Assets held for sale</w:t>
            </w:r>
          </w:p>
        </w:tc>
        <w:tc>
          <w:tcPr>
            <w:tcW w:w="16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2,120</w:t>
            </w:r>
          </w:p>
        </w:tc>
        <w:tc>
          <w:tcPr>
            <w:tcW w:w="1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2,120</w:t>
            </w:r>
          </w:p>
        </w:tc>
      </w:tr>
      <w:tr>
        <w:trPr>
          <w:trHeight w:val="156"/>
        </w:trPr>
        <w:tc>
          <w:tcPr>
            <w:tcW w:w="746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323,883</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226,439</w:t>
            </w:r>
          </w:p>
        </w:tc>
      </w:tr>
      <w:tr>
        <w:trPr>
          <w:trHeight w:val="155"/>
        </w:trPr>
        <w:tc>
          <w:tcPr>
            <w:tcW w:w="7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r>
      <w:tr>
        <w:trPr>
          <w:trHeight w:val="162"/>
        </w:trPr>
        <w:tc>
          <w:tcPr>
            <w:tcW w:w="74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355,968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339,692</w:t>
            </w:r>
          </w:p>
        </w:tc>
      </w:tr>
      <w:tr>
        <w:trPr>
          <w:trHeight w:val="162"/>
        </w:trPr>
        <w:tc>
          <w:tcPr>
            <w:tcW w:w="7460" w:type="dxa"/>
            <w:vAlign w:val="bottom"/>
            <w:shd w:val="clear" w:color="auto" w:fill="CFF0FC"/>
          </w:tcPr>
          <w:p>
            <w:pPr>
              <w:spacing w:after="0"/>
              <w:rPr>
                <w:sz w:val="20"/>
                <w:szCs w:val="20"/>
                <w:color w:val="auto"/>
              </w:rPr>
            </w:pPr>
            <w:r>
              <w:rPr>
                <w:rFonts w:ascii="Arial" w:cs="Arial" w:eastAsia="Arial" w:hAnsi="Arial"/>
                <w:sz w:val="14"/>
                <w:szCs w:val="14"/>
                <w:color w:val="auto"/>
              </w:rPr>
              <w:t>Right of use assets - operating leases, net</w:t>
            </w: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184,218</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179,099</w:t>
            </w:r>
          </w:p>
        </w:tc>
      </w:tr>
      <w:tr>
        <w:trPr>
          <w:trHeight w:val="162"/>
        </w:trPr>
        <w:tc>
          <w:tcPr>
            <w:tcW w:w="7460" w:type="dxa"/>
            <w:vAlign w:val="bottom"/>
          </w:tcPr>
          <w:p>
            <w:pPr>
              <w:spacing w:after="0"/>
              <w:rPr>
                <w:sz w:val="20"/>
                <w:szCs w:val="20"/>
                <w:color w:val="auto"/>
              </w:rPr>
            </w:pPr>
            <w:r>
              <w:rPr>
                <w:rFonts w:ascii="Arial" w:cs="Arial" w:eastAsia="Arial" w:hAnsi="Arial"/>
                <w:sz w:val="14"/>
                <w:szCs w:val="14"/>
                <w:color w:val="auto"/>
              </w:rPr>
              <w:t>Right of use assets - finance leases, net</w:t>
            </w:r>
          </w:p>
        </w:tc>
        <w:tc>
          <w:tcPr>
            <w:tcW w:w="16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66,195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66,442</w:t>
            </w:r>
          </w:p>
        </w:tc>
      </w:tr>
      <w:tr>
        <w:trPr>
          <w:trHeight w:val="162"/>
        </w:trPr>
        <w:tc>
          <w:tcPr>
            <w:tcW w:w="7460" w:type="dxa"/>
            <w:vAlign w:val="bottom"/>
            <w:shd w:val="clear" w:color="auto" w:fill="CFF0FC"/>
          </w:tcPr>
          <w:p>
            <w:pPr>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184,018</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184,018</w:t>
            </w:r>
          </w:p>
        </w:tc>
      </w:tr>
      <w:tr>
        <w:trPr>
          <w:trHeight w:val="162"/>
        </w:trPr>
        <w:tc>
          <w:tcPr>
            <w:tcW w:w="7460" w:type="dxa"/>
            <w:vAlign w:val="bottom"/>
          </w:tcPr>
          <w:p>
            <w:pPr>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355,583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367,787</w:t>
            </w:r>
          </w:p>
        </w:tc>
      </w:tr>
      <w:tr>
        <w:trPr>
          <w:trHeight w:val="162"/>
        </w:trPr>
        <w:tc>
          <w:tcPr>
            <w:tcW w:w="7460" w:type="dxa"/>
            <w:vAlign w:val="bottom"/>
            <w:shd w:val="clear" w:color="auto" w:fill="CFF0FC"/>
          </w:tcPr>
          <w:p>
            <w:pPr>
              <w:spacing w:after="0"/>
              <w:rPr>
                <w:sz w:val="20"/>
                <w:szCs w:val="20"/>
                <w:color w:val="auto"/>
              </w:rPr>
            </w:pPr>
            <w:r>
              <w:rPr>
                <w:rFonts w:ascii="Arial" w:cs="Arial" w:eastAsia="Arial" w:hAnsi="Arial"/>
                <w:sz w:val="14"/>
                <w:szCs w:val="14"/>
                <w:color w:val="auto"/>
              </w:rPr>
              <w:t>Other non-current assets</w:t>
            </w:r>
          </w:p>
        </w:tc>
        <w:tc>
          <w:tcPr>
            <w:tcW w:w="16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12,578</w:t>
            </w:r>
          </w:p>
        </w:tc>
        <w:tc>
          <w:tcPr>
            <w:tcW w:w="1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13,035</w:t>
            </w:r>
          </w:p>
        </w:tc>
      </w:tr>
      <w:tr>
        <w:trPr>
          <w:trHeight w:val="196"/>
        </w:trPr>
        <w:tc>
          <w:tcPr>
            <w:tcW w:w="74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1,482,443</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1,376,512</w:t>
            </w:r>
          </w:p>
        </w:tc>
      </w:tr>
      <w:tr>
        <w:trPr>
          <w:trHeight w:val="143"/>
        </w:trPr>
        <w:tc>
          <w:tcPr>
            <w:tcW w:w="7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r>
      <w:tr>
        <w:trPr>
          <w:trHeight w:val="162"/>
        </w:trPr>
        <w:tc>
          <w:tcPr>
            <w:tcW w:w="7460" w:type="dxa"/>
            <w:vAlign w:val="bottom"/>
          </w:tcPr>
          <w:p>
            <w:pPr>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746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r>
      <w:tr>
        <w:trPr>
          <w:trHeight w:val="162"/>
        </w:trPr>
        <w:tc>
          <w:tcPr>
            <w:tcW w:w="746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26,130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44,007</w:t>
            </w:r>
          </w:p>
        </w:tc>
      </w:tr>
      <w:tr>
        <w:trPr>
          <w:trHeight w:val="162"/>
        </w:trPr>
        <w:tc>
          <w:tcPr>
            <w:tcW w:w="7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expenses and other current liabilities</w:t>
            </w: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118,315</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126,954</w:t>
            </w:r>
          </w:p>
        </w:tc>
      </w:tr>
      <w:tr>
        <w:trPr>
          <w:trHeight w:val="162"/>
        </w:trPr>
        <w:tc>
          <w:tcPr>
            <w:tcW w:w="7460" w:type="dxa"/>
            <w:vAlign w:val="bottom"/>
          </w:tcPr>
          <w:p>
            <w:pPr>
              <w:ind w:left="260"/>
              <w:spacing w:after="0"/>
              <w:rPr>
                <w:sz w:val="20"/>
                <w:szCs w:val="20"/>
                <w:color w:val="auto"/>
              </w:rPr>
            </w:pPr>
            <w:r>
              <w:rPr>
                <w:rFonts w:ascii="Arial" w:cs="Arial" w:eastAsia="Arial" w:hAnsi="Arial"/>
                <w:sz w:val="14"/>
                <w:szCs w:val="14"/>
                <w:color w:val="auto"/>
              </w:rPr>
              <w:t>Income tax payable</w:t>
            </w:r>
          </w:p>
        </w:tc>
        <w:tc>
          <w:tcPr>
            <w:tcW w:w="16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31,709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26,537</w:t>
            </w:r>
          </w:p>
        </w:tc>
      </w:tr>
      <w:tr>
        <w:trPr>
          <w:trHeight w:val="162"/>
        </w:trPr>
        <w:tc>
          <w:tcPr>
            <w:tcW w:w="7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Contingent consideration</w:t>
            </w: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29,345</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29,345</w:t>
            </w:r>
          </w:p>
        </w:tc>
      </w:tr>
      <w:tr>
        <w:trPr>
          <w:trHeight w:val="162"/>
        </w:trPr>
        <w:tc>
          <w:tcPr>
            <w:tcW w:w="7460" w:type="dxa"/>
            <w:vAlign w:val="bottom"/>
          </w:tcPr>
          <w:p>
            <w:pPr>
              <w:ind w:left="260"/>
              <w:spacing w:after="0"/>
              <w:rPr>
                <w:sz w:val="20"/>
                <w:szCs w:val="20"/>
                <w:color w:val="auto"/>
              </w:rPr>
            </w:pPr>
            <w:r>
              <w:rPr>
                <w:rFonts w:ascii="Arial" w:cs="Arial" w:eastAsia="Arial" w:hAnsi="Arial"/>
                <w:sz w:val="14"/>
                <w:szCs w:val="14"/>
                <w:color w:val="auto"/>
              </w:rPr>
              <w:t>Current portion of lease liability - operating leases</w:t>
            </w:r>
          </w:p>
        </w:tc>
        <w:tc>
          <w:tcPr>
            <w:tcW w:w="16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9,008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9,056</w:t>
            </w:r>
          </w:p>
        </w:tc>
      </w:tr>
      <w:tr>
        <w:trPr>
          <w:trHeight w:val="162"/>
        </w:trPr>
        <w:tc>
          <w:tcPr>
            <w:tcW w:w="7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Current portion of lease liability - finance leases</w:t>
            </w: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5,509</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5,092</w:t>
            </w:r>
          </w:p>
        </w:tc>
      </w:tr>
      <w:tr>
        <w:trPr>
          <w:trHeight w:val="162"/>
        </w:trPr>
        <w:tc>
          <w:tcPr>
            <w:tcW w:w="7460" w:type="dxa"/>
            <w:vAlign w:val="bottom"/>
          </w:tcPr>
          <w:p>
            <w:pPr>
              <w:ind w:left="260"/>
              <w:spacing w:after="0"/>
              <w:rPr>
                <w:sz w:val="20"/>
                <w:szCs w:val="20"/>
                <w:color w:val="auto"/>
              </w:rPr>
            </w:pPr>
            <w:r>
              <w:rPr>
                <w:rFonts w:ascii="Arial" w:cs="Arial" w:eastAsia="Arial" w:hAnsi="Arial"/>
                <w:sz w:val="14"/>
                <w:szCs w:val="14"/>
                <w:color w:val="auto"/>
              </w:rPr>
              <w:t>Current portion of long-term debt, net</w:t>
            </w:r>
          </w:p>
        </w:tc>
        <w:tc>
          <w:tcPr>
            <w:tcW w:w="16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1,697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1,884</w:t>
            </w:r>
          </w:p>
        </w:tc>
      </w:tr>
      <w:tr>
        <w:trPr>
          <w:trHeight w:val="162"/>
        </w:trPr>
        <w:tc>
          <w:tcPr>
            <w:tcW w:w="7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Derivative liability</w:t>
            </w:r>
          </w:p>
        </w:tc>
        <w:tc>
          <w:tcPr>
            <w:tcW w:w="16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74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Liabilities held for sale</w:t>
            </w: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1,122</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1,122</w:t>
            </w:r>
          </w:p>
        </w:tc>
      </w:tr>
      <w:tr>
        <w:trPr>
          <w:trHeight w:val="156"/>
        </w:trPr>
        <w:tc>
          <w:tcPr>
            <w:tcW w:w="746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222,835</w:t>
            </w:r>
          </w:p>
        </w:tc>
        <w:tc>
          <w:tcPr>
            <w:tcW w:w="1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243,997</w:t>
            </w:r>
          </w:p>
        </w:tc>
      </w:tr>
      <w:tr>
        <w:trPr>
          <w:trHeight w:val="155"/>
        </w:trPr>
        <w:tc>
          <w:tcPr>
            <w:tcW w:w="7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62"/>
        </w:trPr>
        <w:tc>
          <w:tcPr>
            <w:tcW w:w="7460" w:type="dxa"/>
            <w:vAlign w:val="bottom"/>
            <w:shd w:val="clear" w:color="auto" w:fill="CFF0FC"/>
          </w:tcPr>
          <w:p>
            <w:pPr>
              <w:spacing w:after="0"/>
              <w:rPr>
                <w:sz w:val="20"/>
                <w:szCs w:val="20"/>
                <w:color w:val="auto"/>
              </w:rPr>
            </w:pPr>
            <w:r>
              <w:rPr>
                <w:rFonts w:ascii="Arial" w:cs="Arial" w:eastAsia="Arial" w:hAnsi="Arial"/>
                <w:sz w:val="14"/>
                <w:szCs w:val="14"/>
                <w:color w:val="auto"/>
              </w:rPr>
              <w:t>Long-term debt, net</w:t>
            </w: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306,387</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159,017</w:t>
            </w:r>
          </w:p>
        </w:tc>
      </w:tr>
      <w:tr>
        <w:trPr>
          <w:trHeight w:val="162"/>
        </w:trPr>
        <w:tc>
          <w:tcPr>
            <w:tcW w:w="7460" w:type="dxa"/>
            <w:vAlign w:val="bottom"/>
          </w:tcPr>
          <w:p>
            <w:pPr>
              <w:spacing w:after="0"/>
              <w:rPr>
                <w:sz w:val="20"/>
                <w:szCs w:val="20"/>
                <w:color w:val="auto"/>
              </w:rPr>
            </w:pPr>
            <w:r>
              <w:rPr>
                <w:rFonts w:ascii="Arial" w:cs="Arial" w:eastAsia="Arial" w:hAnsi="Arial"/>
                <w:sz w:val="14"/>
                <w:szCs w:val="14"/>
                <w:color w:val="auto"/>
              </w:rPr>
              <w:t>Deferred taxes</w:t>
            </w:r>
          </w:p>
        </w:tc>
        <w:tc>
          <w:tcPr>
            <w:tcW w:w="16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74,917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79,477</w:t>
            </w:r>
          </w:p>
        </w:tc>
      </w:tr>
      <w:tr>
        <w:trPr>
          <w:trHeight w:val="162"/>
        </w:trPr>
        <w:tc>
          <w:tcPr>
            <w:tcW w:w="7460" w:type="dxa"/>
            <w:vAlign w:val="bottom"/>
            <w:shd w:val="clear" w:color="auto" w:fill="CFF0FC"/>
          </w:tcPr>
          <w:p>
            <w:pPr>
              <w:spacing w:after="0"/>
              <w:rPr>
                <w:sz w:val="20"/>
                <w:szCs w:val="20"/>
                <w:color w:val="auto"/>
              </w:rPr>
            </w:pPr>
            <w:r>
              <w:rPr>
                <w:rFonts w:ascii="Arial" w:cs="Arial" w:eastAsia="Arial" w:hAnsi="Arial"/>
                <w:sz w:val="14"/>
                <w:szCs w:val="14"/>
                <w:color w:val="auto"/>
              </w:rPr>
              <w:t>Long-term lease liability - operating leases</w:t>
            </w: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181,718</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176,004</w:t>
            </w:r>
          </w:p>
        </w:tc>
      </w:tr>
      <w:tr>
        <w:trPr>
          <w:trHeight w:val="162"/>
        </w:trPr>
        <w:tc>
          <w:tcPr>
            <w:tcW w:w="7460" w:type="dxa"/>
            <w:vAlign w:val="bottom"/>
          </w:tcPr>
          <w:p>
            <w:pPr>
              <w:spacing w:after="0"/>
              <w:rPr>
                <w:sz w:val="20"/>
                <w:szCs w:val="20"/>
                <w:color w:val="auto"/>
              </w:rPr>
            </w:pPr>
            <w:r>
              <w:rPr>
                <w:rFonts w:ascii="Arial" w:cs="Arial" w:eastAsia="Arial" w:hAnsi="Arial"/>
                <w:sz w:val="14"/>
                <w:szCs w:val="14"/>
                <w:color w:val="auto"/>
              </w:rPr>
              <w:t>Long-term lease liability - finance leases</w:t>
            </w:r>
          </w:p>
        </w:tc>
        <w:tc>
          <w:tcPr>
            <w:tcW w:w="16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69,801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70,268</w:t>
            </w:r>
          </w:p>
        </w:tc>
      </w:tr>
      <w:tr>
        <w:trPr>
          <w:trHeight w:val="162"/>
        </w:trPr>
        <w:tc>
          <w:tcPr>
            <w:tcW w:w="7460" w:type="dxa"/>
            <w:vAlign w:val="bottom"/>
            <w:shd w:val="clear" w:color="auto" w:fill="CFF0FC"/>
          </w:tcPr>
          <w:p>
            <w:pPr>
              <w:spacing w:after="0"/>
              <w:rPr>
                <w:sz w:val="20"/>
                <w:szCs w:val="20"/>
                <w:color w:val="auto"/>
              </w:rPr>
            </w:pPr>
            <w:r>
              <w:rPr>
                <w:rFonts w:ascii="Arial" w:cs="Arial" w:eastAsia="Arial" w:hAnsi="Arial"/>
                <w:sz w:val="14"/>
                <w:szCs w:val="14"/>
                <w:color w:val="auto"/>
              </w:rPr>
              <w:t>Contingent consideration</w:t>
            </w: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11,680</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11,596</w:t>
            </w:r>
          </w:p>
        </w:tc>
      </w:tr>
      <w:tr>
        <w:trPr>
          <w:trHeight w:val="162"/>
        </w:trPr>
        <w:tc>
          <w:tcPr>
            <w:tcW w:w="7460" w:type="dxa"/>
            <w:vAlign w:val="bottom"/>
          </w:tcPr>
          <w:p>
            <w:pPr>
              <w:spacing w:after="0"/>
              <w:rPr>
                <w:sz w:val="20"/>
                <w:szCs w:val="20"/>
                <w:color w:val="auto"/>
              </w:rPr>
            </w:pPr>
            <w:r>
              <w:rPr>
                <w:rFonts w:ascii="Arial" w:cs="Arial" w:eastAsia="Arial" w:hAnsi="Arial"/>
                <w:sz w:val="14"/>
                <w:szCs w:val="14"/>
                <w:color w:val="auto"/>
              </w:rPr>
              <w:t>Derivative liability</w:t>
            </w:r>
          </w:p>
        </w:tc>
        <w:tc>
          <w:tcPr>
            <w:tcW w:w="16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7,478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6,795</w:t>
            </w:r>
          </w:p>
        </w:tc>
      </w:tr>
      <w:tr>
        <w:trPr>
          <w:trHeight w:val="162"/>
        </w:trPr>
        <w:tc>
          <w:tcPr>
            <w:tcW w:w="7460" w:type="dxa"/>
            <w:vAlign w:val="bottom"/>
            <w:shd w:val="clear" w:color="auto" w:fill="CFF0FC"/>
          </w:tcPr>
          <w:p>
            <w:pPr>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77,927</w:t>
            </w:r>
          </w:p>
        </w:tc>
        <w:tc>
          <w:tcPr>
            <w:tcW w:w="1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78,535</w:t>
            </w:r>
          </w:p>
        </w:tc>
      </w:tr>
      <w:tr>
        <w:trPr>
          <w:trHeight w:val="155"/>
        </w:trPr>
        <w:tc>
          <w:tcPr>
            <w:tcW w:w="74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952,743</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825,689</w:t>
            </w:r>
          </w:p>
        </w:tc>
      </w:tr>
      <w:tr>
        <w:trPr>
          <w:trHeight w:val="155"/>
        </w:trPr>
        <w:tc>
          <w:tcPr>
            <w:tcW w:w="74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Commitments and contingencies</w:t>
            </w:r>
          </w:p>
        </w:tc>
        <w:tc>
          <w:tcPr>
            <w:tcW w:w="1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r>
      <w:tr>
        <w:trPr>
          <w:trHeight w:val="162"/>
        </w:trPr>
        <w:tc>
          <w:tcPr>
            <w:tcW w:w="7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7460" w:type="dxa"/>
            <w:vAlign w:val="bottom"/>
            <w:shd w:val="clear" w:color="auto" w:fill="CFF0FC"/>
          </w:tcPr>
          <w:p>
            <w:pPr>
              <w:spacing w:after="0"/>
              <w:rPr>
                <w:sz w:val="20"/>
                <w:szCs w:val="20"/>
                <w:color w:val="auto"/>
              </w:rPr>
            </w:pPr>
            <w:r>
              <w:rPr>
                <w:rFonts w:ascii="Arial" w:cs="Arial" w:eastAsia="Arial" w:hAnsi="Arial"/>
                <w:sz w:val="14"/>
                <w:szCs w:val="14"/>
                <w:color w:val="auto"/>
              </w:rPr>
              <w:t>Stockholders' Equity:</w:t>
            </w: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r>
      <w:tr>
        <w:trPr>
          <w:trHeight w:val="143"/>
        </w:trPr>
        <w:tc>
          <w:tcPr>
            <w:tcW w:w="7460" w:type="dxa"/>
            <w:vAlign w:val="bottom"/>
          </w:tcPr>
          <w:p>
            <w:pPr>
              <w:ind w:left="260"/>
              <w:spacing w:after="0" w:line="143" w:lineRule="exact"/>
              <w:rPr>
                <w:sz w:val="20"/>
                <w:szCs w:val="20"/>
                <w:color w:val="auto"/>
              </w:rPr>
            </w:pPr>
            <w:r>
              <w:rPr>
                <w:rFonts w:ascii="Arial" w:cs="Arial" w:eastAsia="Arial" w:hAnsi="Arial"/>
                <w:sz w:val="14"/>
                <w:szCs w:val="14"/>
                <w:color w:val="auto"/>
                <w:w w:val="97"/>
              </w:rPr>
              <w:t>Common Stock, no par value, unlimited shares authorized as of March 31, 2022 and December 31, 2021, respectively,</w:t>
            </w: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67"/>
        </w:trPr>
        <w:tc>
          <w:tcPr>
            <w:tcW w:w="7460" w:type="dxa"/>
            <w:vAlign w:val="bottom"/>
          </w:tcPr>
          <w:p>
            <w:pPr>
              <w:ind w:left="260"/>
              <w:spacing w:after="0"/>
              <w:rPr>
                <w:sz w:val="20"/>
                <w:szCs w:val="20"/>
                <w:color w:val="auto"/>
              </w:rPr>
            </w:pPr>
            <w:r>
              <w:rPr>
                <w:rFonts w:ascii="Arial" w:cs="Arial" w:eastAsia="Arial" w:hAnsi="Arial"/>
                <w:sz w:val="14"/>
                <w:szCs w:val="14"/>
                <w:color w:val="auto"/>
                <w:w w:val="95"/>
              </w:rPr>
              <w:t>361,840,756 and 361,423,270 shares issued and outstanding as of March 31, 2022 and December 31, 2021, respectively</w:t>
            </w:r>
          </w:p>
        </w:tc>
        <w:tc>
          <w:tcPr>
            <w:tcW w:w="160" w:type="dxa"/>
            <w:vAlign w:val="bottom"/>
          </w:tcPr>
          <w:p>
            <w:pPr>
              <w:spacing w:after="0"/>
              <w:rPr>
                <w:sz w:val="14"/>
                <w:szCs w:val="14"/>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43"/>
        </w:trPr>
        <w:tc>
          <w:tcPr>
            <w:tcW w:w="74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7"/>
              </w:rPr>
              <w:t>Preferred Stock, no par value, unlimited shares authorized as of March 31, 2022 and December 31, 2021, respectively,</w:t>
            </w:r>
          </w:p>
        </w:tc>
        <w:tc>
          <w:tcPr>
            <w:tcW w:w="1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r>
      <w:tr>
        <w:trPr>
          <w:trHeight w:val="167"/>
        </w:trPr>
        <w:tc>
          <w:tcPr>
            <w:tcW w:w="7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none issued and outstanding as of March 31, 2022 and December 31, 2021</w:t>
            </w:r>
          </w:p>
        </w:tc>
        <w:tc>
          <w:tcPr>
            <w:tcW w:w="16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43"/>
        </w:trPr>
        <w:tc>
          <w:tcPr>
            <w:tcW w:w="7460" w:type="dxa"/>
            <w:vAlign w:val="bottom"/>
          </w:tcPr>
          <w:p>
            <w:pPr>
              <w:ind w:left="260"/>
              <w:spacing w:after="0" w:line="143" w:lineRule="exact"/>
              <w:rPr>
                <w:sz w:val="20"/>
                <w:szCs w:val="20"/>
                <w:color w:val="auto"/>
              </w:rPr>
            </w:pPr>
            <w:r>
              <w:rPr>
                <w:rFonts w:ascii="Arial" w:cs="Arial" w:eastAsia="Arial" w:hAnsi="Arial"/>
                <w:sz w:val="14"/>
                <w:szCs w:val="14"/>
                <w:color w:val="auto"/>
                <w:w w:val="98"/>
              </w:rPr>
              <w:t>Proportionate voting shares, no par value, unlimited shares authorized as of March 31, 2022 and December 31, 2021,</w:t>
            </w: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8"/>
        </w:trPr>
        <w:tc>
          <w:tcPr>
            <w:tcW w:w="7460" w:type="dxa"/>
            <w:vAlign w:val="bottom"/>
          </w:tcPr>
          <w:p>
            <w:pPr>
              <w:ind w:left="260"/>
              <w:spacing w:after="0" w:line="149" w:lineRule="exact"/>
              <w:rPr>
                <w:sz w:val="20"/>
                <w:szCs w:val="20"/>
                <w:color w:val="auto"/>
              </w:rPr>
            </w:pPr>
            <w:r>
              <w:rPr>
                <w:rFonts w:ascii="Arial" w:cs="Arial" w:eastAsia="Arial" w:hAnsi="Arial"/>
                <w:sz w:val="14"/>
                <w:szCs w:val="14"/>
                <w:color w:val="auto"/>
                <w:w w:val="97"/>
              </w:rPr>
              <w:t>respectively; 14,729,636 and 14,729,636 shares issued and outstanding as of March 31, 2022 and December 31, 2021,</w:t>
            </w: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67"/>
        </w:trPr>
        <w:tc>
          <w:tcPr>
            <w:tcW w:w="7460" w:type="dxa"/>
            <w:vAlign w:val="bottom"/>
          </w:tcPr>
          <w:p>
            <w:pPr>
              <w:ind w:left="260"/>
              <w:spacing w:after="0"/>
              <w:rPr>
                <w:sz w:val="20"/>
                <w:szCs w:val="20"/>
                <w:color w:val="auto"/>
              </w:rPr>
            </w:pPr>
            <w:r>
              <w:rPr>
                <w:rFonts w:ascii="Arial" w:cs="Arial" w:eastAsia="Arial" w:hAnsi="Arial"/>
                <w:sz w:val="14"/>
                <w:szCs w:val="14"/>
                <w:color w:val="auto"/>
              </w:rPr>
              <w:t>respectively</w:t>
            </w:r>
          </w:p>
        </w:tc>
        <w:tc>
          <w:tcPr>
            <w:tcW w:w="160" w:type="dxa"/>
            <w:vAlign w:val="bottom"/>
          </w:tcPr>
          <w:p>
            <w:pPr>
              <w:spacing w:after="0"/>
              <w:rPr>
                <w:sz w:val="14"/>
                <w:szCs w:val="14"/>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7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Additional paid-in-capital</w:t>
            </w: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1,046,509</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1,039,726</w:t>
            </w:r>
          </w:p>
        </w:tc>
      </w:tr>
      <w:tr>
        <w:trPr>
          <w:trHeight w:val="162"/>
        </w:trPr>
        <w:tc>
          <w:tcPr>
            <w:tcW w:w="74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(494,971)</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(468,335)</w:t>
            </w:r>
          </w:p>
        </w:tc>
      </w:tr>
      <w:tr>
        <w:trPr>
          <w:trHeight w:val="156"/>
        </w:trPr>
        <w:tc>
          <w:tcPr>
            <w:tcW w:w="746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Equity attributable to Columbia Care Inc.</w:t>
            </w:r>
          </w:p>
        </w:tc>
        <w:tc>
          <w:tcPr>
            <w:tcW w:w="16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551,538</w:t>
            </w:r>
          </w:p>
        </w:tc>
        <w:tc>
          <w:tcPr>
            <w:tcW w:w="1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571,391</w:t>
            </w:r>
          </w:p>
        </w:tc>
      </w:tr>
      <w:tr>
        <w:trPr>
          <w:trHeight w:val="155"/>
        </w:trPr>
        <w:tc>
          <w:tcPr>
            <w:tcW w:w="746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Non-controlling interest</w:t>
            </w: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(21,838)</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(20,568)</w:t>
            </w:r>
          </w:p>
        </w:tc>
      </w:tr>
      <w:tr>
        <w:trPr>
          <w:trHeight w:val="155"/>
        </w:trPr>
        <w:tc>
          <w:tcPr>
            <w:tcW w:w="746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equity</w:t>
            </w:r>
          </w:p>
        </w:tc>
        <w:tc>
          <w:tcPr>
            <w:tcW w:w="160" w:type="dxa"/>
            <w:vAlign w:val="bottom"/>
            <w:tcBorders>
              <w:bottom w:val="single" w:sz="8" w:color="auto"/>
            </w:tcBorders>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529,700</w:t>
            </w:r>
          </w:p>
        </w:tc>
        <w:tc>
          <w:tcPr>
            <w:tcW w:w="1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550,823</w:t>
            </w:r>
          </w:p>
        </w:tc>
      </w:tr>
      <w:tr>
        <w:trPr>
          <w:trHeight w:val="155"/>
        </w:trPr>
        <w:tc>
          <w:tcPr>
            <w:tcW w:w="7460" w:type="dxa"/>
            <w:vAlign w:val="bottom"/>
          </w:tcPr>
          <w:p>
            <w:pPr>
              <w:ind w:left="260"/>
              <w:spacing w:after="0" w:line="155" w:lineRule="exact"/>
              <w:rPr>
                <w:sz w:val="20"/>
                <w:szCs w:val="20"/>
                <w:color w:val="auto"/>
              </w:rPr>
            </w:pPr>
            <w:r>
              <w:rPr>
                <w:rFonts w:ascii="Arial" w:cs="Arial" w:eastAsia="Arial" w:hAnsi="Arial"/>
                <w:sz w:val="14"/>
                <w:szCs w:val="14"/>
                <w:color w:val="auto"/>
              </w:rPr>
              <w:t>Total liabilities and equity</w:t>
            </w: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1,482,443</w:t>
            </w:r>
          </w:p>
        </w:tc>
        <w:tc>
          <w:tcPr>
            <w:tcW w:w="1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1,376,512</w:t>
            </w:r>
          </w:p>
        </w:tc>
      </w:tr>
      <w:tr>
        <w:trPr>
          <w:trHeight w:val="20"/>
        </w:trPr>
        <w:tc>
          <w:tcPr>
            <w:tcW w:w="7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accompanying notes are an integral part of these condensed interim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553" w:right="7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for number of shares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5"/>
          </w:tcPr>
          <w:p>
            <w:pPr>
              <w:ind w:left="1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tcPr>
          <w:p>
            <w:pPr>
              <w:jc w:val="right"/>
              <w:ind w:right="610"/>
              <w:spacing w:after="0"/>
              <w:rPr>
                <w:sz w:val="20"/>
                <w:szCs w:val="20"/>
                <w:color w:val="auto"/>
              </w:rPr>
            </w:pPr>
            <w:r>
              <w:rPr>
                <w:rFonts w:ascii="Arial" w:cs="Arial" w:eastAsia="Arial" w:hAnsi="Arial"/>
                <w:sz w:val="18"/>
                <w:szCs w:val="18"/>
                <w:b w:val="1"/>
                <w:bCs w:val="1"/>
                <w:color w:val="auto"/>
              </w:rPr>
              <w:t>March 31, 2022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gridSpan w:val="2"/>
          </w:tcPr>
          <w:p>
            <w:pPr>
              <w:ind w:left="260"/>
              <w:spacing w:after="0"/>
              <w:rPr>
                <w:sz w:val="20"/>
                <w:szCs w:val="20"/>
                <w:color w:val="auto"/>
              </w:rPr>
            </w:pPr>
            <w:r>
              <w:rPr>
                <w:rFonts w:ascii="Arial" w:cs="Arial" w:eastAsia="Arial" w:hAnsi="Arial"/>
                <w:sz w:val="18"/>
                <w:szCs w:val="18"/>
                <w:b w:val="1"/>
                <w:bCs w:val="1"/>
                <w:color w:val="auto"/>
              </w:rPr>
              <w:t>March 31, 2021</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123,087</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86,095</w:t>
            </w: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Cost of sales related to inventory production</w:t>
            </w:r>
          </w:p>
        </w:tc>
        <w:tc>
          <w:tcPr>
            <w:tcW w:w="3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(66,460)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(52,307)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Cost of sales related to business combination fair value adjustments to</w:t>
            </w:r>
          </w:p>
        </w:tc>
        <w:tc>
          <w:tcPr>
            <w:tcW w:w="34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340" w:type="dxa"/>
            <w:vAlign w:val="bottom"/>
            <w:tcBorders>
              <w:bottom w:val="single" w:sz="8" w:color="auto"/>
            </w:tcBorders>
            <w:shd w:val="clear" w:color="auto" w:fill="CFF0FC"/>
          </w:tcPr>
          <w:p>
            <w:pPr>
              <w:spacing w:after="0"/>
              <w:rPr>
                <w:sz w:val="20"/>
                <w:szCs w:val="20"/>
                <w:color w:val="auto"/>
              </w:rPr>
            </w:pPr>
          </w:p>
        </w:tc>
        <w:tc>
          <w:tcPr>
            <w:tcW w:w="2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56,627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33,648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shd w:val="clear" w:color="auto" w:fill="CFF0FC"/>
          </w:tcPr>
          <w:p>
            <w:pPr>
              <w:spacing w:after="0"/>
              <w:rPr>
                <w:sz w:val="19"/>
                <w:szCs w:val="19"/>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(71,292)</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(48,034)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(14,665)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(14,386)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34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Interest (expense) income on leases, net</w:t>
            </w:r>
          </w:p>
        </w:tc>
        <w:tc>
          <w:tcPr>
            <w:tcW w:w="3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(1,426)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income, net</w:t>
            </w:r>
          </w:p>
        </w:tc>
        <w:tc>
          <w:tcPr>
            <w:tcW w:w="34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(11,244)</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(3,856)</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expense</w:t>
            </w:r>
          </w:p>
        </w:tc>
        <w:tc>
          <w:tcPr>
            <w:tcW w:w="340" w:type="dxa"/>
            <w:vAlign w:val="bottom"/>
            <w:tcBorders>
              <w:bottom w:val="single" w:sz="8" w:color="auto"/>
            </w:tcBorders>
            <w:shd w:val="clear" w:color="auto" w:fill="CFF0FC"/>
          </w:tcPr>
          <w:p>
            <w:pPr>
              <w:spacing w:after="0"/>
              <w:rPr>
                <w:sz w:val="19"/>
                <w:szCs w:val="19"/>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(12,609)</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(5,259)</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(27,274)</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(19,645)</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(9,518)</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34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(27,906)</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(29,163)</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loss attributable to non-controlling interests</w:t>
            </w:r>
          </w:p>
        </w:tc>
        <w:tc>
          <w:tcPr>
            <w:tcW w:w="3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shareholders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(26,636)</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(28,782)</w:t>
            </w:r>
          </w:p>
        </w:tc>
        <w:tc>
          <w:tcPr>
            <w:tcW w:w="2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w w:val="96"/>
              </w:rPr>
              <w:t>Weighted-average number of shares used in earnings per share - basic and</w:t>
            </w:r>
          </w:p>
        </w:tc>
        <w:tc>
          <w:tcPr>
            <w:tcW w:w="34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FF0FC"/>
          </w:tcPr>
          <w:p>
            <w:pPr>
              <w:spacing w:after="0"/>
              <w:rPr>
                <w:sz w:val="20"/>
                <w:szCs w:val="20"/>
                <w:color w:val="auto"/>
              </w:rPr>
            </w:pPr>
          </w:p>
        </w:tc>
        <w:tc>
          <w:tcPr>
            <w:tcW w:w="2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376,397,260</w:t>
            </w:r>
          </w:p>
        </w:tc>
        <w:tc>
          <w:tcPr>
            <w:tcW w:w="2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2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294,815,943</w:t>
            </w:r>
          </w:p>
        </w:tc>
        <w:tc>
          <w:tcPr>
            <w:tcW w:w="2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Loss attributable to shares (basic and diluted)</w:t>
            </w: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40" w:type="dxa"/>
            <w:vAlign w:val="bottom"/>
            <w:vMerge w:val="continue"/>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interim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3"/>
          <w:szCs w:val="13"/>
          <w:b w:val="1"/>
          <w:bCs w:val="1"/>
          <w:color w:val="auto"/>
        </w:rPr>
        <w:t>COLUMBIA CARE INC.</w:t>
      </w:r>
    </w:p>
    <w:p>
      <w:pPr>
        <w:jc w:val="center"/>
        <w:spacing w:after="0" w:line="216" w:lineRule="auto"/>
        <w:rPr>
          <w:sz w:val="20"/>
          <w:szCs w:val="20"/>
          <w:color w:val="auto"/>
        </w:rPr>
      </w:pPr>
      <w:r>
        <w:rPr>
          <w:rFonts w:ascii="Arial" w:cs="Arial" w:eastAsia="Arial" w:hAnsi="Arial"/>
          <w:sz w:val="13"/>
          <w:szCs w:val="13"/>
          <w:color w:val="auto"/>
        </w:rPr>
        <w:t>CONDENSED CONSOLIDATED STATEMENTS OF CHANGES IN EQUITY</w:t>
      </w:r>
    </w:p>
    <w:p>
      <w:pPr>
        <w:jc w:val="center"/>
        <w:spacing w:after="0" w:line="217" w:lineRule="auto"/>
        <w:rPr>
          <w:sz w:val="20"/>
          <w:szCs w:val="20"/>
          <w:color w:val="auto"/>
        </w:rPr>
      </w:pPr>
      <w:r>
        <w:rPr>
          <w:rFonts w:ascii="Arial" w:cs="Arial" w:eastAsia="Arial" w:hAnsi="Arial"/>
          <w:sz w:val="13"/>
          <w:szCs w:val="13"/>
          <w:color w:val="auto"/>
        </w:rPr>
        <w:t>(Unaudited)</w:t>
      </w:r>
    </w:p>
    <w:p>
      <w:pPr>
        <w:jc w:val="center"/>
        <w:spacing w:after="0"/>
        <w:rPr>
          <w:sz w:val="20"/>
          <w:szCs w:val="20"/>
          <w:color w:val="auto"/>
        </w:rPr>
      </w:pPr>
      <w:r>
        <w:rPr>
          <w:rFonts w:ascii="Arial" w:cs="Arial" w:eastAsia="Arial" w:hAnsi="Arial"/>
          <w:sz w:val="13"/>
          <w:szCs w:val="13"/>
          <w:color w:val="auto"/>
        </w:rPr>
        <w:t>(Expressed in thousands of U.S. dollars, except for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ind w:right="117"/>
              <w:spacing w:after="0"/>
              <w:rPr>
                <w:sz w:val="20"/>
                <w:szCs w:val="20"/>
                <w:color w:val="auto"/>
              </w:rPr>
            </w:pPr>
            <w:r>
              <w:rPr>
                <w:rFonts w:ascii="Arial" w:cs="Arial" w:eastAsia="Arial" w:hAnsi="Arial"/>
                <w:sz w:val="13"/>
                <w:szCs w:val="13"/>
                <w:b w:val="1"/>
                <w:bCs w:val="1"/>
                <w:color w:val="auto"/>
                <w:w w:val="90"/>
              </w:rPr>
              <w:t>Total Columbia Care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8"/>
        </w:trPr>
        <w:tc>
          <w:tcPr>
            <w:tcW w:w="2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Proportionate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2"/>
                <w:szCs w:val="12"/>
                <w:color w:val="auto"/>
              </w:rPr>
            </w:pPr>
          </w:p>
        </w:tc>
        <w:tc>
          <w:tcPr>
            <w:tcW w:w="1360" w:type="dxa"/>
            <w:vAlign w:val="bottom"/>
          </w:tcPr>
          <w:p>
            <w:pPr>
              <w:jc w:val="center"/>
              <w:ind w:right="137"/>
              <w:spacing w:after="0"/>
              <w:rPr>
                <w:sz w:val="20"/>
                <w:szCs w:val="20"/>
                <w:color w:val="auto"/>
              </w:rPr>
            </w:pPr>
            <w:r>
              <w:rPr>
                <w:rFonts w:ascii="Arial" w:cs="Arial" w:eastAsia="Arial" w:hAnsi="Arial"/>
                <w:sz w:val="13"/>
                <w:szCs w:val="13"/>
                <w:b w:val="1"/>
                <w:bCs w:val="1"/>
                <w:color w:val="auto"/>
                <w:w w:val="89"/>
              </w:rPr>
              <w:t>Inc.</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12"/>
                <w:szCs w:val="12"/>
                <w:color w:val="auto"/>
              </w:rPr>
            </w:pPr>
          </w:p>
        </w:tc>
        <w:tc>
          <w:tcPr>
            <w:tcW w:w="800" w:type="dxa"/>
            <w:vAlign w:val="bottom"/>
          </w:tcPr>
          <w:p>
            <w:pPr>
              <w:jc w:val="center"/>
              <w:ind w:right="217"/>
              <w:spacing w:after="0"/>
              <w:rPr>
                <w:sz w:val="20"/>
                <w:szCs w:val="20"/>
                <w:color w:val="auto"/>
              </w:rPr>
            </w:pPr>
            <w:r>
              <w:rPr>
                <w:rFonts w:ascii="Arial" w:cs="Arial" w:eastAsia="Arial" w:hAnsi="Arial"/>
                <w:sz w:val="13"/>
                <w:szCs w:val="13"/>
                <w:b w:val="1"/>
                <w:bCs w:val="1"/>
                <w:color w:val="auto"/>
                <w:w w:val="89"/>
              </w:rPr>
              <w:t>Total</w:t>
            </w:r>
          </w:p>
        </w:tc>
      </w:tr>
      <w:tr>
        <w:trPr>
          <w:trHeight w:val="153"/>
        </w:trPr>
        <w:tc>
          <w:tcPr>
            <w:tcW w:w="2720" w:type="dxa"/>
            <w:vAlign w:val="bottom"/>
          </w:tcPr>
          <w:p>
            <w:pPr>
              <w:spacing w:after="0"/>
              <w:rPr>
                <w:sz w:val="13"/>
                <w:szCs w:val="13"/>
                <w:color w:val="auto"/>
              </w:rPr>
            </w:pPr>
          </w:p>
        </w:tc>
        <w:tc>
          <w:tcPr>
            <w:tcW w:w="1380" w:type="dxa"/>
            <w:vAlign w:val="bottom"/>
            <w:gridSpan w:val="2"/>
          </w:tcPr>
          <w:p>
            <w:pPr>
              <w:ind w:left="380"/>
              <w:spacing w:after="0"/>
              <w:rPr>
                <w:sz w:val="20"/>
                <w:szCs w:val="20"/>
                <w:color w:val="auto"/>
              </w:rPr>
            </w:pPr>
            <w:r>
              <w:rPr>
                <w:rFonts w:ascii="Arial" w:cs="Arial" w:eastAsia="Arial" w:hAnsi="Arial"/>
                <w:sz w:val="13"/>
                <w:szCs w:val="13"/>
                <w:b w:val="1"/>
                <w:bCs w:val="1"/>
                <w:color w:val="auto"/>
              </w:rPr>
              <w:t>Shares</w:t>
            </w:r>
          </w:p>
        </w:tc>
        <w:tc>
          <w:tcPr>
            <w:tcW w:w="1040" w:type="dxa"/>
            <w:vAlign w:val="bottom"/>
          </w:tcPr>
          <w:p>
            <w:pPr>
              <w:jc w:val="right"/>
              <w:ind w:right="137"/>
              <w:spacing w:after="0"/>
              <w:rPr>
                <w:sz w:val="20"/>
                <w:szCs w:val="20"/>
                <w:color w:val="auto"/>
              </w:rPr>
            </w:pPr>
            <w:r>
              <w:rPr>
                <w:rFonts w:ascii="Arial" w:cs="Arial" w:eastAsia="Arial" w:hAnsi="Arial"/>
                <w:sz w:val="13"/>
                <w:szCs w:val="13"/>
                <w:b w:val="1"/>
                <w:bCs w:val="1"/>
                <w:color w:val="auto"/>
                <w:w w:val="93"/>
              </w:rPr>
              <w:t>Voting Shares</w:t>
            </w:r>
          </w:p>
        </w:tc>
        <w:tc>
          <w:tcPr>
            <w:tcW w:w="140" w:type="dxa"/>
            <w:vAlign w:val="bottom"/>
          </w:tcPr>
          <w:p>
            <w:pPr>
              <w:spacing w:after="0"/>
              <w:rPr>
                <w:sz w:val="13"/>
                <w:szCs w:val="13"/>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0"/>
              </w:rPr>
              <w:t>Paid-in Capital</w:t>
            </w:r>
          </w:p>
        </w:tc>
        <w:tc>
          <w:tcPr>
            <w:tcW w:w="8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3"/>
                <w:szCs w:val="13"/>
                <w:color w:val="auto"/>
              </w:rPr>
            </w:pPr>
          </w:p>
        </w:tc>
        <w:tc>
          <w:tcPr>
            <w:tcW w:w="1360" w:type="dxa"/>
            <w:vAlign w:val="bottom"/>
          </w:tcPr>
          <w:p>
            <w:pPr>
              <w:jc w:val="center"/>
              <w:ind w:right="117"/>
              <w:spacing w:after="0"/>
              <w:rPr>
                <w:sz w:val="20"/>
                <w:szCs w:val="20"/>
                <w:color w:val="auto"/>
              </w:rPr>
            </w:pPr>
            <w:r>
              <w:rPr>
                <w:rFonts w:ascii="Arial" w:cs="Arial" w:eastAsia="Arial" w:hAnsi="Arial"/>
                <w:sz w:val="13"/>
                <w:szCs w:val="13"/>
                <w:b w:val="1"/>
                <w:bCs w:val="1"/>
                <w:color w:val="auto"/>
                <w:w w:val="87"/>
              </w:rPr>
              <w:t>Shareholders' Equity</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3"/>
                <w:szCs w:val="13"/>
                <w:color w:val="auto"/>
              </w:rPr>
            </w:pPr>
          </w:p>
        </w:tc>
        <w:tc>
          <w:tcPr>
            <w:tcW w:w="800" w:type="dxa"/>
            <w:vAlign w:val="bottom"/>
          </w:tcPr>
          <w:p>
            <w:pPr>
              <w:jc w:val="center"/>
              <w:ind w:right="217"/>
              <w:spacing w:after="0"/>
              <w:rPr>
                <w:sz w:val="20"/>
                <w:szCs w:val="20"/>
                <w:color w:val="auto"/>
              </w:rPr>
            </w:pPr>
            <w:r>
              <w:rPr>
                <w:rFonts w:ascii="Arial" w:cs="Arial" w:eastAsia="Arial" w:hAnsi="Arial"/>
                <w:sz w:val="13"/>
                <w:szCs w:val="13"/>
                <w:b w:val="1"/>
                <w:bCs w:val="1"/>
                <w:color w:val="auto"/>
                <w:w w:val="90"/>
              </w:rPr>
              <w:t>Equity</w:t>
            </w:r>
          </w:p>
        </w:tc>
      </w:tr>
      <w:tr>
        <w:trPr>
          <w:trHeight w:val="142"/>
        </w:trPr>
        <w:tc>
          <w:tcPr>
            <w:tcW w:w="272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December 31, 2021</w:t>
            </w:r>
          </w:p>
        </w:tc>
        <w:tc>
          <w:tcPr>
            <w:tcW w:w="1220" w:type="dxa"/>
            <w:vAlign w:val="bottom"/>
            <w:tcBorders>
              <w:top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b w:val="1"/>
                <w:bCs w:val="1"/>
                <w:color w:val="auto"/>
              </w:rPr>
              <w:t>361,423,270</w:t>
            </w:r>
          </w:p>
        </w:tc>
        <w:tc>
          <w:tcPr>
            <w:tcW w:w="16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b w:val="1"/>
                <w:bCs w:val="1"/>
                <w:color w:val="auto"/>
              </w:rPr>
              <w:t>14,729,636</w:t>
            </w: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b w:val="1"/>
                <w:bCs w:val="1"/>
                <w:color w:val="auto"/>
              </w:rPr>
              <w:t>1,039,726</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(468,335)</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1360" w:type="dxa"/>
            <w:vAlign w:val="bottom"/>
            <w:tcBorders>
              <w:top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b w:val="1"/>
                <w:bCs w:val="1"/>
                <w:color w:val="auto"/>
              </w:rPr>
              <w:t>571,391</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(20,568)</w:t>
            </w: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FF0FC"/>
          </w:tcPr>
          <w:p>
            <w:pPr>
              <w:jc w:val="right"/>
              <w:ind w:right="77"/>
              <w:spacing w:after="0" w:line="142" w:lineRule="exact"/>
              <w:rPr>
                <w:sz w:val="20"/>
                <w:szCs w:val="20"/>
                <w:color w:val="auto"/>
              </w:rPr>
            </w:pPr>
            <w:r>
              <w:rPr>
                <w:rFonts w:ascii="Arial" w:cs="Arial" w:eastAsia="Arial" w:hAnsi="Arial"/>
                <w:sz w:val="13"/>
                <w:szCs w:val="13"/>
                <w:b w:val="1"/>
                <w:bCs w:val="1"/>
                <w:color w:val="auto"/>
              </w:rPr>
              <w:t>550,823</w:t>
            </w:r>
          </w:p>
        </w:tc>
      </w:tr>
      <w:tr>
        <w:trPr>
          <w:trHeight w:val="148"/>
        </w:trPr>
        <w:tc>
          <w:tcPr>
            <w:tcW w:w="2720" w:type="dxa"/>
            <w:vAlign w:val="bottom"/>
          </w:tcPr>
          <w:p>
            <w:pPr>
              <w:spacing w:after="0"/>
              <w:rPr>
                <w:sz w:val="20"/>
                <w:szCs w:val="20"/>
                <w:color w:val="auto"/>
              </w:rPr>
            </w:pPr>
            <w:r>
              <w:rPr>
                <w:rFonts w:ascii="Arial" w:cs="Arial" w:eastAsia="Arial" w:hAnsi="Arial"/>
                <w:sz w:val="13"/>
                <w:szCs w:val="13"/>
                <w:color w:val="auto"/>
              </w:rPr>
              <w:t xml:space="preserve">Equity-based compensation </w:t>
            </w:r>
            <w:r>
              <w:rPr>
                <w:rFonts w:ascii="Arial" w:cs="Arial" w:eastAsia="Arial" w:hAnsi="Arial"/>
                <w:sz w:val="10"/>
                <w:szCs w:val="10"/>
                <w:color w:val="auto"/>
              </w:rPr>
              <w:t>(1)</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237,486</w:t>
            </w:r>
          </w:p>
        </w:tc>
        <w:tc>
          <w:tcPr>
            <w:tcW w:w="160" w:type="dxa"/>
            <w:vAlign w:val="bottom"/>
          </w:tcPr>
          <w:p>
            <w:pPr>
              <w:spacing w:after="0"/>
              <w:rPr>
                <w:sz w:val="12"/>
                <w:szCs w:val="1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6,358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6,358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6,358</w:t>
            </w:r>
          </w:p>
        </w:tc>
      </w:tr>
      <w:tr>
        <w:trPr>
          <w:trHeight w:val="148"/>
        </w:trPr>
        <w:tc>
          <w:tcPr>
            <w:tcW w:w="2720" w:type="dxa"/>
            <w:vAlign w:val="bottom"/>
            <w:shd w:val="clear" w:color="auto" w:fill="CFF0FC"/>
          </w:tcPr>
          <w:p>
            <w:pPr>
              <w:spacing w:after="0"/>
              <w:rPr>
                <w:sz w:val="20"/>
                <w:szCs w:val="20"/>
                <w:color w:val="auto"/>
              </w:rPr>
            </w:pPr>
            <w:r>
              <w:rPr>
                <w:rFonts w:ascii="Arial" w:cs="Arial" w:eastAsia="Arial" w:hAnsi="Arial"/>
                <w:sz w:val="13"/>
                <w:szCs w:val="13"/>
                <w:color w:val="auto"/>
              </w:rPr>
              <w:t>Warrants exercised</w:t>
            </w:r>
          </w:p>
        </w:tc>
        <w:tc>
          <w:tcPr>
            <w:tcW w:w="12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180,000</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425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425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425</w:t>
            </w:r>
          </w:p>
        </w:tc>
      </w:tr>
      <w:tr>
        <w:trPr>
          <w:trHeight w:val="149"/>
        </w:trPr>
        <w:tc>
          <w:tcPr>
            <w:tcW w:w="2720" w:type="dxa"/>
            <w:vAlign w:val="bottom"/>
          </w:tcPr>
          <w:p>
            <w:pPr>
              <w:spacing w:after="0"/>
              <w:rPr>
                <w:sz w:val="20"/>
                <w:szCs w:val="20"/>
                <w:color w:val="auto"/>
              </w:rPr>
            </w:pPr>
            <w:r>
              <w:rPr>
                <w:rFonts w:ascii="Arial" w:cs="Arial" w:eastAsia="Arial" w:hAnsi="Arial"/>
                <w:sz w:val="13"/>
                <w:szCs w:val="13"/>
                <w:color w:val="auto"/>
              </w:rPr>
              <w:t>Net loss</w:t>
            </w:r>
          </w:p>
        </w:tc>
        <w:tc>
          <w:tcPr>
            <w:tcW w:w="13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(26,636)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(26,636)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(1,270)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(27,906)</w:t>
            </w:r>
          </w:p>
        </w:tc>
      </w:tr>
      <w:tr>
        <w:trPr>
          <w:trHeight w:val="142"/>
        </w:trPr>
        <w:tc>
          <w:tcPr>
            <w:tcW w:w="272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March 31, 2022</w:t>
            </w:r>
          </w:p>
        </w:tc>
        <w:tc>
          <w:tcPr>
            <w:tcW w:w="122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b w:val="1"/>
                <w:bCs w:val="1"/>
                <w:color w:val="auto"/>
              </w:rPr>
              <w:t>361,840,756</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b w:val="1"/>
                <w:bCs w:val="1"/>
                <w:color w:val="auto"/>
              </w:rPr>
              <w:t>14,729,636</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b w:val="1"/>
                <w:bCs w:val="1"/>
                <w:color w:val="auto"/>
              </w:rPr>
              <w:t>1,046,509</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(494,971)</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136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b w:val="1"/>
                <w:bCs w:val="1"/>
                <w:color w:val="auto"/>
              </w:rPr>
              <w:t>551,538</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(21,838)</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FF0FC"/>
          </w:tcPr>
          <w:p>
            <w:pPr>
              <w:jc w:val="right"/>
              <w:ind w:right="77"/>
              <w:spacing w:after="0" w:line="142" w:lineRule="exact"/>
              <w:rPr>
                <w:sz w:val="20"/>
                <w:szCs w:val="20"/>
                <w:color w:val="auto"/>
              </w:rPr>
            </w:pPr>
            <w:r>
              <w:rPr>
                <w:rFonts w:ascii="Arial" w:cs="Arial" w:eastAsia="Arial" w:hAnsi="Arial"/>
                <w:sz w:val="13"/>
                <w:szCs w:val="13"/>
                <w:b w:val="1"/>
                <w:bCs w:val="1"/>
                <w:color w:val="auto"/>
              </w:rPr>
              <w:t>529,700</w:t>
            </w:r>
          </w:p>
        </w:tc>
      </w:tr>
      <w:tr>
        <w:trPr>
          <w:trHeight w:val="20"/>
        </w:trPr>
        <w:tc>
          <w:tcPr>
            <w:tcW w:w="2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6"/>
        </w:trPr>
        <w:tc>
          <w:tcPr>
            <w:tcW w:w="27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jc w:val="center"/>
              <w:ind w:right="117"/>
              <w:spacing w:after="0"/>
              <w:rPr>
                <w:sz w:val="20"/>
                <w:szCs w:val="20"/>
                <w:color w:val="auto"/>
              </w:rPr>
            </w:pPr>
            <w:r>
              <w:rPr>
                <w:rFonts w:ascii="Arial" w:cs="Arial" w:eastAsia="Arial" w:hAnsi="Arial"/>
                <w:sz w:val="13"/>
                <w:szCs w:val="13"/>
                <w:b w:val="1"/>
                <w:bCs w:val="1"/>
                <w:color w:val="auto"/>
                <w:w w:val="90"/>
              </w:rPr>
              <w:t>Total Columbia Care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48"/>
        </w:trPr>
        <w:tc>
          <w:tcPr>
            <w:tcW w:w="2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Proportionate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2"/>
                <w:szCs w:val="12"/>
                <w:color w:val="auto"/>
              </w:rPr>
            </w:pPr>
          </w:p>
        </w:tc>
        <w:tc>
          <w:tcPr>
            <w:tcW w:w="1360" w:type="dxa"/>
            <w:vAlign w:val="bottom"/>
          </w:tcPr>
          <w:p>
            <w:pPr>
              <w:jc w:val="center"/>
              <w:ind w:right="137"/>
              <w:spacing w:after="0"/>
              <w:rPr>
                <w:sz w:val="20"/>
                <w:szCs w:val="20"/>
                <w:color w:val="auto"/>
              </w:rPr>
            </w:pPr>
            <w:r>
              <w:rPr>
                <w:rFonts w:ascii="Arial" w:cs="Arial" w:eastAsia="Arial" w:hAnsi="Arial"/>
                <w:sz w:val="13"/>
                <w:szCs w:val="13"/>
                <w:b w:val="1"/>
                <w:bCs w:val="1"/>
                <w:color w:val="auto"/>
                <w:w w:val="89"/>
              </w:rPr>
              <w:t>Inc.</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12"/>
                <w:szCs w:val="12"/>
                <w:color w:val="auto"/>
              </w:rPr>
            </w:pPr>
          </w:p>
        </w:tc>
        <w:tc>
          <w:tcPr>
            <w:tcW w:w="800" w:type="dxa"/>
            <w:vAlign w:val="bottom"/>
          </w:tcPr>
          <w:p>
            <w:pPr>
              <w:jc w:val="center"/>
              <w:ind w:right="217"/>
              <w:spacing w:after="0"/>
              <w:rPr>
                <w:sz w:val="20"/>
                <w:szCs w:val="20"/>
                <w:color w:val="auto"/>
              </w:rPr>
            </w:pPr>
            <w:r>
              <w:rPr>
                <w:rFonts w:ascii="Arial" w:cs="Arial" w:eastAsia="Arial" w:hAnsi="Arial"/>
                <w:sz w:val="13"/>
                <w:szCs w:val="13"/>
                <w:b w:val="1"/>
                <w:bCs w:val="1"/>
                <w:color w:val="auto"/>
                <w:w w:val="89"/>
              </w:rPr>
              <w:t>Total</w:t>
            </w:r>
          </w:p>
        </w:tc>
      </w:tr>
      <w:tr>
        <w:trPr>
          <w:trHeight w:val="153"/>
        </w:trPr>
        <w:tc>
          <w:tcPr>
            <w:tcW w:w="2720" w:type="dxa"/>
            <w:vAlign w:val="bottom"/>
          </w:tcPr>
          <w:p>
            <w:pPr>
              <w:spacing w:after="0"/>
              <w:rPr>
                <w:sz w:val="13"/>
                <w:szCs w:val="13"/>
                <w:color w:val="auto"/>
              </w:rPr>
            </w:pPr>
          </w:p>
        </w:tc>
        <w:tc>
          <w:tcPr>
            <w:tcW w:w="1380" w:type="dxa"/>
            <w:vAlign w:val="bottom"/>
            <w:gridSpan w:val="2"/>
          </w:tcPr>
          <w:p>
            <w:pPr>
              <w:ind w:left="380"/>
              <w:spacing w:after="0"/>
              <w:rPr>
                <w:sz w:val="20"/>
                <w:szCs w:val="20"/>
                <w:color w:val="auto"/>
              </w:rPr>
            </w:pPr>
            <w:r>
              <w:rPr>
                <w:rFonts w:ascii="Arial" w:cs="Arial" w:eastAsia="Arial" w:hAnsi="Arial"/>
                <w:sz w:val="13"/>
                <w:szCs w:val="13"/>
                <w:b w:val="1"/>
                <w:bCs w:val="1"/>
                <w:color w:val="auto"/>
              </w:rPr>
              <w:t>Shares</w:t>
            </w:r>
          </w:p>
        </w:tc>
        <w:tc>
          <w:tcPr>
            <w:tcW w:w="1040" w:type="dxa"/>
            <w:vAlign w:val="bottom"/>
          </w:tcPr>
          <w:p>
            <w:pPr>
              <w:jc w:val="right"/>
              <w:ind w:right="137"/>
              <w:spacing w:after="0"/>
              <w:rPr>
                <w:sz w:val="20"/>
                <w:szCs w:val="20"/>
                <w:color w:val="auto"/>
              </w:rPr>
            </w:pPr>
            <w:r>
              <w:rPr>
                <w:rFonts w:ascii="Arial" w:cs="Arial" w:eastAsia="Arial" w:hAnsi="Arial"/>
                <w:sz w:val="13"/>
                <w:szCs w:val="13"/>
                <w:b w:val="1"/>
                <w:bCs w:val="1"/>
                <w:color w:val="auto"/>
                <w:w w:val="93"/>
              </w:rPr>
              <w:t>Voting Shares</w:t>
            </w:r>
          </w:p>
        </w:tc>
        <w:tc>
          <w:tcPr>
            <w:tcW w:w="140" w:type="dxa"/>
            <w:vAlign w:val="bottom"/>
          </w:tcPr>
          <w:p>
            <w:pPr>
              <w:spacing w:after="0"/>
              <w:rPr>
                <w:sz w:val="13"/>
                <w:szCs w:val="13"/>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0"/>
              </w:rPr>
              <w:t>Paid-in Capital</w:t>
            </w:r>
          </w:p>
        </w:tc>
        <w:tc>
          <w:tcPr>
            <w:tcW w:w="8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3"/>
                <w:szCs w:val="13"/>
                <w:color w:val="auto"/>
              </w:rPr>
            </w:pPr>
          </w:p>
        </w:tc>
        <w:tc>
          <w:tcPr>
            <w:tcW w:w="1360" w:type="dxa"/>
            <w:vAlign w:val="bottom"/>
          </w:tcPr>
          <w:p>
            <w:pPr>
              <w:jc w:val="center"/>
              <w:ind w:right="117"/>
              <w:spacing w:after="0"/>
              <w:rPr>
                <w:sz w:val="20"/>
                <w:szCs w:val="20"/>
                <w:color w:val="auto"/>
              </w:rPr>
            </w:pPr>
            <w:r>
              <w:rPr>
                <w:rFonts w:ascii="Arial" w:cs="Arial" w:eastAsia="Arial" w:hAnsi="Arial"/>
                <w:sz w:val="13"/>
                <w:szCs w:val="13"/>
                <w:b w:val="1"/>
                <w:bCs w:val="1"/>
                <w:color w:val="auto"/>
                <w:w w:val="87"/>
              </w:rPr>
              <w:t>Shareholders' Equity</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3"/>
                <w:szCs w:val="13"/>
                <w:color w:val="auto"/>
              </w:rPr>
            </w:pPr>
          </w:p>
        </w:tc>
        <w:tc>
          <w:tcPr>
            <w:tcW w:w="800" w:type="dxa"/>
            <w:vAlign w:val="bottom"/>
          </w:tcPr>
          <w:p>
            <w:pPr>
              <w:jc w:val="center"/>
              <w:ind w:right="217"/>
              <w:spacing w:after="0"/>
              <w:rPr>
                <w:sz w:val="20"/>
                <w:szCs w:val="20"/>
                <w:color w:val="auto"/>
              </w:rPr>
            </w:pPr>
            <w:r>
              <w:rPr>
                <w:rFonts w:ascii="Arial" w:cs="Arial" w:eastAsia="Arial" w:hAnsi="Arial"/>
                <w:sz w:val="13"/>
                <w:szCs w:val="13"/>
                <w:b w:val="1"/>
                <w:bCs w:val="1"/>
                <w:color w:val="auto"/>
                <w:w w:val="90"/>
              </w:rPr>
              <w:t>Equity</w:t>
            </w:r>
          </w:p>
        </w:tc>
      </w:tr>
      <w:tr>
        <w:trPr>
          <w:trHeight w:val="142"/>
        </w:trPr>
        <w:tc>
          <w:tcPr>
            <w:tcW w:w="272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December 31, 2020</w:t>
            </w:r>
          </w:p>
        </w:tc>
        <w:tc>
          <w:tcPr>
            <w:tcW w:w="1220" w:type="dxa"/>
            <w:vAlign w:val="bottom"/>
            <w:tcBorders>
              <w:top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b w:val="1"/>
                <w:bCs w:val="1"/>
                <w:color w:val="auto"/>
              </w:rPr>
              <w:t>250,003,917</w:t>
            </w:r>
          </w:p>
        </w:tc>
        <w:tc>
          <w:tcPr>
            <w:tcW w:w="16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b w:val="1"/>
                <w:bCs w:val="1"/>
                <w:color w:val="auto"/>
              </w:rPr>
              <w:t>26,507,914</w:t>
            </w: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b w:val="1"/>
                <w:bCs w:val="1"/>
                <w:color w:val="auto"/>
              </w:rPr>
              <w:t>632,062</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(325,238)</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1360" w:type="dxa"/>
            <w:vAlign w:val="bottom"/>
            <w:tcBorders>
              <w:top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b w:val="1"/>
                <w:bCs w:val="1"/>
                <w:color w:val="auto"/>
              </w:rPr>
              <w:t>306,824</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(19,875)</w:t>
            </w: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FF0FC"/>
          </w:tcPr>
          <w:p>
            <w:pPr>
              <w:jc w:val="right"/>
              <w:ind w:right="77"/>
              <w:spacing w:after="0" w:line="142" w:lineRule="exact"/>
              <w:rPr>
                <w:sz w:val="20"/>
                <w:szCs w:val="20"/>
                <w:color w:val="auto"/>
              </w:rPr>
            </w:pPr>
            <w:r>
              <w:rPr>
                <w:rFonts w:ascii="Arial" w:cs="Arial" w:eastAsia="Arial" w:hAnsi="Arial"/>
                <w:sz w:val="13"/>
                <w:szCs w:val="13"/>
                <w:b w:val="1"/>
                <w:bCs w:val="1"/>
                <w:color w:val="auto"/>
              </w:rPr>
              <w:t>286,949</w:t>
            </w:r>
          </w:p>
        </w:tc>
      </w:tr>
      <w:tr>
        <w:trPr>
          <w:trHeight w:val="149"/>
        </w:trPr>
        <w:tc>
          <w:tcPr>
            <w:tcW w:w="2720" w:type="dxa"/>
            <w:vAlign w:val="bottom"/>
          </w:tcPr>
          <w:p>
            <w:pPr>
              <w:spacing w:after="0"/>
              <w:rPr>
                <w:sz w:val="20"/>
                <w:szCs w:val="20"/>
                <w:color w:val="auto"/>
              </w:rPr>
            </w:pPr>
            <w:r>
              <w:rPr>
                <w:rFonts w:ascii="Arial" w:cs="Arial" w:eastAsia="Arial" w:hAnsi="Arial"/>
                <w:sz w:val="13"/>
                <w:szCs w:val="13"/>
                <w:color w:val="auto"/>
              </w:rPr>
              <w:t>Equity-based compensation (1)</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190,925</w:t>
            </w:r>
          </w:p>
        </w:tc>
        <w:tc>
          <w:tcPr>
            <w:tcW w:w="160" w:type="dxa"/>
            <w:vAlign w:val="bottom"/>
          </w:tcPr>
          <w:p>
            <w:pPr>
              <w:spacing w:after="0"/>
              <w:rPr>
                <w:sz w:val="12"/>
                <w:szCs w:val="1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7,792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7,792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7,792</w:t>
            </w:r>
          </w:p>
        </w:tc>
      </w:tr>
      <w:tr>
        <w:trPr>
          <w:trHeight w:val="148"/>
        </w:trPr>
        <w:tc>
          <w:tcPr>
            <w:tcW w:w="2720" w:type="dxa"/>
            <w:vAlign w:val="bottom"/>
            <w:shd w:val="clear" w:color="auto" w:fill="CFF0FC"/>
          </w:tcPr>
          <w:p>
            <w:pPr>
              <w:spacing w:after="0"/>
              <w:rPr>
                <w:sz w:val="20"/>
                <w:szCs w:val="20"/>
                <w:color w:val="auto"/>
              </w:rPr>
            </w:pPr>
            <w:r>
              <w:rPr>
                <w:rFonts w:ascii="Arial" w:cs="Arial" w:eastAsia="Arial" w:hAnsi="Arial"/>
                <w:sz w:val="13"/>
                <w:szCs w:val="13"/>
                <w:color w:val="auto"/>
              </w:rPr>
              <w:t>Issuance of shares, net</w:t>
            </w:r>
          </w:p>
        </w:tc>
        <w:tc>
          <w:tcPr>
            <w:tcW w:w="12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21,792,500</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133,151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133,151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133,151</w:t>
            </w:r>
          </w:p>
        </w:tc>
      </w:tr>
      <w:tr>
        <w:trPr>
          <w:trHeight w:val="148"/>
        </w:trPr>
        <w:tc>
          <w:tcPr>
            <w:tcW w:w="2720" w:type="dxa"/>
            <w:vAlign w:val="bottom"/>
          </w:tcPr>
          <w:p>
            <w:pPr>
              <w:spacing w:after="0"/>
              <w:rPr>
                <w:sz w:val="20"/>
                <w:szCs w:val="20"/>
                <w:color w:val="auto"/>
              </w:rPr>
            </w:pPr>
            <w:r>
              <w:rPr>
                <w:rFonts w:ascii="Arial" w:cs="Arial" w:eastAsia="Arial" w:hAnsi="Arial"/>
                <w:sz w:val="13"/>
                <w:szCs w:val="13"/>
                <w:color w:val="auto"/>
                <w:w w:val="93"/>
              </w:rPr>
              <w:t>Issuance of shares in connection with acquisitions</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971,541</w:t>
            </w:r>
          </w:p>
        </w:tc>
        <w:tc>
          <w:tcPr>
            <w:tcW w:w="160" w:type="dxa"/>
            <w:vAlign w:val="bottom"/>
          </w:tcPr>
          <w:p>
            <w:pPr>
              <w:spacing w:after="0"/>
              <w:rPr>
                <w:sz w:val="12"/>
                <w:szCs w:val="1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4,972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4,972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4,972</w:t>
            </w:r>
          </w:p>
        </w:tc>
      </w:tr>
      <w:tr>
        <w:trPr>
          <w:trHeight w:val="148"/>
        </w:trPr>
        <w:tc>
          <w:tcPr>
            <w:tcW w:w="2720" w:type="dxa"/>
            <w:vAlign w:val="bottom"/>
            <w:shd w:val="clear" w:color="auto" w:fill="CFF0FC"/>
          </w:tcPr>
          <w:p>
            <w:pPr>
              <w:spacing w:after="0"/>
              <w:rPr>
                <w:sz w:val="20"/>
                <w:szCs w:val="20"/>
                <w:color w:val="auto"/>
              </w:rPr>
            </w:pPr>
            <w:r>
              <w:rPr>
                <w:rFonts w:ascii="Arial" w:cs="Arial" w:eastAsia="Arial" w:hAnsi="Arial"/>
                <w:sz w:val="13"/>
                <w:szCs w:val="13"/>
                <w:color w:val="auto"/>
              </w:rPr>
              <w:t>Conversion between classes of shares</w:t>
            </w:r>
          </w:p>
        </w:tc>
        <w:tc>
          <w:tcPr>
            <w:tcW w:w="12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9,236,733</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(9,236,733)</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720" w:type="dxa"/>
            <w:vAlign w:val="bottom"/>
          </w:tcPr>
          <w:p>
            <w:pPr>
              <w:spacing w:after="0"/>
              <w:rPr>
                <w:sz w:val="20"/>
                <w:szCs w:val="20"/>
                <w:color w:val="auto"/>
              </w:rPr>
            </w:pPr>
            <w:r>
              <w:rPr>
                <w:rFonts w:ascii="Arial" w:cs="Arial" w:eastAsia="Arial" w:hAnsi="Arial"/>
                <w:sz w:val="13"/>
                <w:szCs w:val="13"/>
                <w:color w:val="auto"/>
              </w:rPr>
              <w:t>Cancellation of restricted stock awards</w:t>
            </w:r>
          </w:p>
        </w:tc>
        <w:tc>
          <w:tcPr>
            <w:tcW w:w="1220" w:type="dxa"/>
            <w:vAlign w:val="bottom"/>
          </w:tcPr>
          <w:p>
            <w:pPr>
              <w:jc w:val="right"/>
              <w:spacing w:after="0"/>
              <w:rPr>
                <w:sz w:val="20"/>
                <w:szCs w:val="20"/>
                <w:color w:val="auto"/>
              </w:rPr>
            </w:pPr>
            <w:r>
              <w:rPr>
                <w:rFonts w:ascii="Arial" w:cs="Arial" w:eastAsia="Arial" w:hAnsi="Arial"/>
                <w:sz w:val="13"/>
                <w:szCs w:val="13"/>
                <w:color w:val="auto"/>
              </w:rPr>
              <w:t>(13,770)</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(8,077)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720" w:type="dxa"/>
            <w:vAlign w:val="bottom"/>
            <w:shd w:val="clear" w:color="auto" w:fill="CFF0FC"/>
          </w:tcPr>
          <w:p>
            <w:pPr>
              <w:spacing w:after="0"/>
              <w:rPr>
                <w:sz w:val="20"/>
                <w:szCs w:val="20"/>
                <w:color w:val="auto"/>
              </w:rPr>
            </w:pPr>
            <w:r>
              <w:rPr>
                <w:rFonts w:ascii="Arial" w:cs="Arial" w:eastAsia="Arial" w:hAnsi="Arial"/>
                <w:sz w:val="13"/>
                <w:szCs w:val="13"/>
                <w:color w:val="auto"/>
              </w:rPr>
              <w:t>Warrants exercised</w:t>
            </w:r>
          </w:p>
        </w:tc>
        <w:tc>
          <w:tcPr>
            <w:tcW w:w="12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262,200</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808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808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808</w:t>
            </w:r>
          </w:p>
        </w:tc>
      </w:tr>
      <w:tr>
        <w:trPr>
          <w:trHeight w:val="149"/>
        </w:trPr>
        <w:tc>
          <w:tcPr>
            <w:tcW w:w="2720" w:type="dxa"/>
            <w:vAlign w:val="bottom"/>
          </w:tcPr>
          <w:p>
            <w:pPr>
              <w:spacing w:after="0"/>
              <w:rPr>
                <w:sz w:val="20"/>
                <w:szCs w:val="20"/>
                <w:color w:val="auto"/>
              </w:rPr>
            </w:pPr>
            <w:r>
              <w:rPr>
                <w:rFonts w:ascii="Arial" w:cs="Arial" w:eastAsia="Arial" w:hAnsi="Arial"/>
                <w:sz w:val="13"/>
                <w:szCs w:val="13"/>
                <w:color w:val="auto"/>
              </w:rPr>
              <w:t>Net loss</w:t>
            </w:r>
          </w:p>
        </w:tc>
        <w:tc>
          <w:tcPr>
            <w:tcW w:w="13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w:t>
            </w:r>
          </w:p>
        </w:tc>
        <w:tc>
          <w:tcPr>
            <w:tcW w:w="104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(28,782)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(28,782)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(29,163)</w:t>
            </w:r>
          </w:p>
        </w:tc>
      </w:tr>
      <w:tr>
        <w:trPr>
          <w:trHeight w:val="142"/>
        </w:trPr>
        <w:tc>
          <w:tcPr>
            <w:tcW w:w="272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March 31, 2021</w:t>
            </w:r>
          </w:p>
        </w:tc>
        <w:tc>
          <w:tcPr>
            <w:tcW w:w="122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b w:val="1"/>
                <w:bCs w:val="1"/>
                <w:color w:val="auto"/>
              </w:rPr>
              <w:t>282,444,046</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b w:val="1"/>
                <w:bCs w:val="1"/>
                <w:color w:val="auto"/>
              </w:rPr>
              <w:t>17,263,104</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b w:val="1"/>
                <w:bCs w:val="1"/>
                <w:color w:val="auto"/>
              </w:rPr>
              <w:t>778,785</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(354,020)</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1360" w:type="dxa"/>
            <w:vAlign w:val="bottom"/>
            <w:tcBorders>
              <w:top w:val="single" w:sz="8" w:color="auto"/>
              <w:bottom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b w:val="1"/>
                <w:bCs w:val="1"/>
                <w:color w:val="auto"/>
              </w:rPr>
              <w:t>424,765</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(20,256)</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FF0FC"/>
          </w:tcPr>
          <w:p>
            <w:pPr>
              <w:jc w:val="right"/>
              <w:ind w:right="77"/>
              <w:spacing w:after="0" w:line="142" w:lineRule="exact"/>
              <w:rPr>
                <w:sz w:val="20"/>
                <w:szCs w:val="20"/>
                <w:color w:val="auto"/>
              </w:rPr>
            </w:pPr>
            <w:r>
              <w:rPr>
                <w:rFonts w:ascii="Arial" w:cs="Arial" w:eastAsia="Arial" w:hAnsi="Arial"/>
                <w:sz w:val="13"/>
                <w:szCs w:val="13"/>
                <w:b w:val="1"/>
                <w:bCs w:val="1"/>
                <w:color w:val="auto"/>
              </w:rPr>
              <w:t>404,509</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(1) The amounts shown are net of any shares withheld by the Company to satisfy certain tax withholdings in connection with vesting of equity-based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-93980</wp:posOffset>
            </wp:positionV>
            <wp:extent cx="54089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08930" cy="8890"/>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7"/>
              </w:rPr>
              <w:t>Three Months Ended March 31,</w:t>
            </w:r>
          </w:p>
        </w:tc>
        <w:tc>
          <w:tcPr>
            <w:tcW w:w="1300" w:type="dxa"/>
            <w:vAlign w:val="bottom"/>
            <w:tcBorders>
              <w:bottom w:val="single" w:sz="8" w:color="auto"/>
            </w:tcBorders>
          </w:tcPr>
          <w:p>
            <w:pPr>
              <w:spacing w:after="0"/>
              <w:rPr>
                <w:sz w:val="14"/>
                <w:szCs w:val="14"/>
                <w:color w:val="auto"/>
              </w:rPr>
            </w:pPr>
          </w:p>
        </w:tc>
      </w:tr>
      <w:tr>
        <w:trPr>
          <w:trHeight w:val="156"/>
        </w:trPr>
        <w:tc>
          <w:tcPr>
            <w:tcW w:w="682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2022</w:t>
            </w:r>
          </w:p>
        </w:tc>
        <w:tc>
          <w:tcPr>
            <w:tcW w:w="9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933"/>
              <w:spacing w:after="0"/>
              <w:rPr>
                <w:sz w:val="20"/>
                <w:szCs w:val="20"/>
                <w:color w:val="auto"/>
              </w:rPr>
            </w:pPr>
            <w:r>
              <w:rPr>
                <w:rFonts w:ascii="Arial" w:cs="Arial" w:eastAsia="Arial" w:hAnsi="Arial"/>
                <w:sz w:val="13"/>
                <w:szCs w:val="13"/>
                <w:b w:val="1"/>
                <w:bCs w:val="1"/>
                <w:color w:val="auto"/>
                <w:w w:val="96"/>
              </w:rPr>
              <w:t>2021</w:t>
            </w:r>
          </w:p>
        </w:tc>
      </w:tr>
      <w:tr>
        <w:trPr>
          <w:trHeight w:val="155"/>
        </w:trPr>
        <w:tc>
          <w:tcPr>
            <w:tcW w:w="68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1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3"/>
                <w:szCs w:val="13"/>
                <w:color w:val="auto"/>
              </w:rPr>
              <w:t>Net loss</w:t>
            </w:r>
          </w:p>
        </w:tc>
        <w:tc>
          <w:tcPr>
            <w:tcW w:w="1180" w:type="dxa"/>
            <w:vAlign w:val="bottom"/>
          </w:tcPr>
          <w:p>
            <w:pPr>
              <w:jc w:val="right"/>
              <w:ind w:right="1068"/>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(27,906)</w:t>
            </w:r>
          </w:p>
        </w:tc>
        <w:tc>
          <w:tcPr>
            <w:tcW w:w="160" w:type="dxa"/>
            <w:vAlign w:val="bottom"/>
          </w:tcPr>
          <w:p>
            <w:pPr>
              <w:spacing w:after="0"/>
              <w:rPr>
                <w:sz w:val="14"/>
                <w:szCs w:val="14"/>
                <w:color w:val="auto"/>
              </w:rPr>
            </w:pPr>
          </w:p>
        </w:tc>
        <w:tc>
          <w:tcPr>
            <w:tcW w:w="840" w:type="dxa"/>
            <w:vAlign w:val="bottom"/>
          </w:tcPr>
          <w:p>
            <w:pPr>
              <w:jc w:val="right"/>
              <w:ind w:right="693"/>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(29,163)</w:t>
            </w:r>
          </w:p>
        </w:tc>
      </w:tr>
      <w:tr>
        <w:trPr>
          <w:trHeight w:val="162"/>
        </w:trPr>
        <w:tc>
          <w:tcPr>
            <w:tcW w:w="682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loss to net cash provided by (used in) operating activities:</w:t>
            </w:r>
          </w:p>
        </w:tc>
        <w:tc>
          <w:tcPr>
            <w:tcW w:w="1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r>
      <w:tr>
        <w:trPr>
          <w:trHeight w:val="162"/>
        </w:trPr>
        <w:tc>
          <w:tcPr>
            <w:tcW w:w="682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1180" w:type="dxa"/>
            <w:vAlign w:val="bottom"/>
          </w:tcPr>
          <w:p>
            <w:pPr>
              <w:spacing w:after="0"/>
              <w:rPr>
                <w:sz w:val="14"/>
                <w:szCs w:val="14"/>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21,210</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ind w:right="53"/>
              <w:spacing w:after="0"/>
              <w:rPr>
                <w:sz w:val="20"/>
                <w:szCs w:val="20"/>
                <w:color w:val="auto"/>
              </w:rPr>
            </w:pPr>
            <w:r>
              <w:rPr>
                <w:rFonts w:ascii="Arial" w:cs="Arial" w:eastAsia="Arial" w:hAnsi="Arial"/>
                <w:sz w:val="13"/>
                <w:szCs w:val="13"/>
                <w:color w:val="auto"/>
              </w:rPr>
              <w:t>8,523</w:t>
            </w:r>
          </w:p>
        </w:tc>
      </w:tr>
      <w:tr>
        <w:trPr>
          <w:trHeight w:val="162"/>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Equity-based compensation</w:t>
            </w:r>
          </w:p>
        </w:tc>
        <w:tc>
          <w:tcPr>
            <w:tcW w:w="11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6,374</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7,786</w:t>
            </w:r>
          </w:p>
        </w:tc>
      </w:tr>
      <w:tr>
        <w:trPr>
          <w:trHeight w:val="162"/>
        </w:trPr>
        <w:tc>
          <w:tcPr>
            <w:tcW w:w="6820" w:type="dxa"/>
            <w:vAlign w:val="bottom"/>
          </w:tcPr>
          <w:p>
            <w:pPr>
              <w:ind w:left="260"/>
              <w:spacing w:after="0"/>
              <w:rPr>
                <w:sz w:val="20"/>
                <w:szCs w:val="20"/>
                <w:color w:val="auto"/>
              </w:rPr>
            </w:pPr>
            <w:r>
              <w:rPr>
                <w:rFonts w:ascii="Arial" w:cs="Arial" w:eastAsia="Arial" w:hAnsi="Arial"/>
                <w:sz w:val="13"/>
                <w:szCs w:val="13"/>
                <w:color w:val="auto"/>
              </w:rPr>
              <w:t>Debt amortization expense</w:t>
            </w:r>
          </w:p>
        </w:tc>
        <w:tc>
          <w:tcPr>
            <w:tcW w:w="1180" w:type="dxa"/>
            <w:vAlign w:val="bottom"/>
          </w:tcPr>
          <w:p>
            <w:pPr>
              <w:spacing w:after="0"/>
              <w:rPr>
                <w:sz w:val="14"/>
                <w:szCs w:val="14"/>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1,936</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ind w:right="53"/>
              <w:spacing w:after="0"/>
              <w:rPr>
                <w:sz w:val="20"/>
                <w:szCs w:val="20"/>
                <w:color w:val="auto"/>
              </w:rPr>
            </w:pPr>
            <w:r>
              <w:rPr>
                <w:rFonts w:ascii="Arial" w:cs="Arial" w:eastAsia="Arial" w:hAnsi="Arial"/>
                <w:sz w:val="13"/>
                <w:szCs w:val="13"/>
                <w:color w:val="auto"/>
              </w:rPr>
              <w:t>1,241</w:t>
            </w:r>
          </w:p>
        </w:tc>
      </w:tr>
      <w:tr>
        <w:trPr>
          <w:trHeight w:val="162"/>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Provision for obsolete inventory and other assets</w:t>
            </w:r>
          </w:p>
        </w:tc>
        <w:tc>
          <w:tcPr>
            <w:tcW w:w="11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156</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r>
      <w:tr>
        <w:trPr>
          <w:trHeight w:val="162"/>
        </w:trPr>
        <w:tc>
          <w:tcPr>
            <w:tcW w:w="6820" w:type="dxa"/>
            <w:vAlign w:val="bottom"/>
          </w:tcPr>
          <w:p>
            <w:pPr>
              <w:ind w:left="260"/>
              <w:spacing w:after="0"/>
              <w:rPr>
                <w:sz w:val="20"/>
                <w:szCs w:val="20"/>
                <w:color w:val="auto"/>
              </w:rPr>
            </w:pPr>
            <w:r>
              <w:rPr>
                <w:rFonts w:ascii="Arial" w:cs="Arial" w:eastAsia="Arial" w:hAnsi="Arial"/>
                <w:sz w:val="13"/>
                <w:szCs w:val="13"/>
                <w:color w:val="auto"/>
              </w:rPr>
              <w:t>Change in fair value of derivative liability</w:t>
            </w:r>
          </w:p>
        </w:tc>
        <w:tc>
          <w:tcPr>
            <w:tcW w:w="1180" w:type="dxa"/>
            <w:vAlign w:val="bottom"/>
          </w:tcPr>
          <w:p>
            <w:pPr>
              <w:spacing w:after="0"/>
              <w:rPr>
                <w:sz w:val="14"/>
                <w:szCs w:val="14"/>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683</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ind w:right="53"/>
              <w:spacing w:after="0"/>
              <w:rPr>
                <w:sz w:val="20"/>
                <w:szCs w:val="20"/>
                <w:color w:val="auto"/>
              </w:rPr>
            </w:pPr>
            <w:r>
              <w:rPr>
                <w:rFonts w:ascii="Arial" w:cs="Arial" w:eastAsia="Arial" w:hAnsi="Arial"/>
                <w:sz w:val="13"/>
                <w:szCs w:val="13"/>
                <w:color w:val="auto"/>
              </w:rPr>
              <w:t>179</w:t>
            </w:r>
          </w:p>
        </w:tc>
      </w:tr>
      <w:tr>
        <w:trPr>
          <w:trHeight w:val="162"/>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taxes</w:t>
            </w:r>
          </w:p>
        </w:tc>
        <w:tc>
          <w:tcPr>
            <w:tcW w:w="11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(4,560)</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5,319</w:t>
            </w:r>
          </w:p>
        </w:tc>
      </w:tr>
      <w:tr>
        <w:trPr>
          <w:trHeight w:val="162"/>
        </w:trPr>
        <w:tc>
          <w:tcPr>
            <w:tcW w:w="6820" w:type="dxa"/>
            <w:vAlign w:val="bottom"/>
          </w:tcPr>
          <w:p>
            <w:pPr>
              <w:ind w:left="260"/>
              <w:spacing w:after="0"/>
              <w:rPr>
                <w:sz w:val="20"/>
                <w:szCs w:val="20"/>
                <w:color w:val="auto"/>
              </w:rPr>
            </w:pPr>
            <w:r>
              <w:rPr>
                <w:rFonts w:ascii="Arial" w:cs="Arial" w:eastAsia="Arial" w:hAnsi="Arial"/>
                <w:sz w:val="13"/>
                <w:szCs w:val="13"/>
                <w:color w:val="auto"/>
              </w:rPr>
              <w:t>Other</w:t>
            </w:r>
          </w:p>
        </w:tc>
        <w:tc>
          <w:tcPr>
            <w:tcW w:w="1180" w:type="dxa"/>
            <w:vAlign w:val="bottom"/>
          </w:tcPr>
          <w:p>
            <w:pPr>
              <w:spacing w:after="0"/>
              <w:rPr>
                <w:sz w:val="14"/>
                <w:szCs w:val="14"/>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217</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ind w:right="53"/>
              <w:spacing w:after="0"/>
              <w:rPr>
                <w:sz w:val="20"/>
                <w:szCs w:val="20"/>
                <w:color w:val="auto"/>
              </w:rPr>
            </w:pPr>
            <w:r>
              <w:rPr>
                <w:rFonts w:ascii="Arial" w:cs="Arial" w:eastAsia="Arial" w:hAnsi="Arial"/>
                <w:sz w:val="13"/>
                <w:szCs w:val="13"/>
                <w:color w:val="auto"/>
              </w:rPr>
              <w:t>84</w:t>
            </w:r>
          </w:p>
        </w:tc>
      </w:tr>
      <w:tr>
        <w:trPr>
          <w:trHeight w:val="162"/>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Changes in operating assets and liabilities, net of acquisitions</w:t>
            </w:r>
          </w:p>
        </w:tc>
        <w:tc>
          <w:tcPr>
            <w:tcW w:w="1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r>
      <w:tr>
        <w:trPr>
          <w:trHeight w:val="162"/>
        </w:trPr>
        <w:tc>
          <w:tcPr>
            <w:tcW w:w="6820" w:type="dxa"/>
            <w:vAlign w:val="bottom"/>
          </w:tcPr>
          <w:p>
            <w:pPr>
              <w:ind w:left="500"/>
              <w:spacing w:after="0"/>
              <w:rPr>
                <w:sz w:val="20"/>
                <w:szCs w:val="20"/>
                <w:color w:val="auto"/>
              </w:rPr>
            </w:pPr>
            <w:r>
              <w:rPr>
                <w:rFonts w:ascii="Arial" w:cs="Arial" w:eastAsia="Arial" w:hAnsi="Arial"/>
                <w:sz w:val="13"/>
                <w:szCs w:val="13"/>
                <w:color w:val="auto"/>
              </w:rPr>
              <w:t>Accounts receivable</w:t>
            </w:r>
          </w:p>
        </w:tc>
        <w:tc>
          <w:tcPr>
            <w:tcW w:w="1180" w:type="dxa"/>
            <w:vAlign w:val="bottom"/>
          </w:tcPr>
          <w:p>
            <w:pPr>
              <w:spacing w:after="0"/>
              <w:rPr>
                <w:sz w:val="14"/>
                <w:szCs w:val="14"/>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1,726</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ind w:right="53"/>
              <w:spacing w:after="0"/>
              <w:rPr>
                <w:sz w:val="20"/>
                <w:szCs w:val="20"/>
                <w:color w:val="auto"/>
              </w:rPr>
            </w:pPr>
            <w:r>
              <w:rPr>
                <w:rFonts w:ascii="Arial" w:cs="Arial" w:eastAsia="Arial" w:hAnsi="Arial"/>
                <w:sz w:val="13"/>
                <w:szCs w:val="13"/>
                <w:color w:val="auto"/>
              </w:rPr>
              <w:t>1,128</w:t>
            </w:r>
          </w:p>
        </w:tc>
      </w:tr>
      <w:tr>
        <w:trPr>
          <w:trHeight w:val="162"/>
        </w:trPr>
        <w:tc>
          <w:tcPr>
            <w:tcW w:w="6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Inventory</w:t>
            </w:r>
          </w:p>
        </w:tc>
        <w:tc>
          <w:tcPr>
            <w:tcW w:w="11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(14,851)</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(4,843)</w:t>
            </w:r>
          </w:p>
        </w:tc>
      </w:tr>
      <w:tr>
        <w:trPr>
          <w:trHeight w:val="162"/>
        </w:trPr>
        <w:tc>
          <w:tcPr>
            <w:tcW w:w="6820" w:type="dxa"/>
            <w:vAlign w:val="bottom"/>
          </w:tcPr>
          <w:p>
            <w:pPr>
              <w:ind w:left="500"/>
              <w:spacing w:after="0"/>
              <w:rPr>
                <w:sz w:val="20"/>
                <w:szCs w:val="20"/>
                <w:color w:val="auto"/>
              </w:rPr>
            </w:pPr>
            <w:r>
              <w:rPr>
                <w:rFonts w:ascii="Arial" w:cs="Arial" w:eastAsia="Arial" w:hAnsi="Arial"/>
                <w:sz w:val="13"/>
                <w:szCs w:val="13"/>
                <w:color w:val="auto"/>
              </w:rPr>
              <w:t>Prepaid expenses and other current assets</w:t>
            </w:r>
          </w:p>
        </w:tc>
        <w:tc>
          <w:tcPr>
            <w:tcW w:w="1180" w:type="dxa"/>
            <w:vAlign w:val="bottom"/>
          </w:tcPr>
          <w:p>
            <w:pPr>
              <w:spacing w:after="0"/>
              <w:rPr>
                <w:sz w:val="14"/>
                <w:szCs w:val="14"/>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1,942</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ind w:right="53"/>
              <w:spacing w:after="0"/>
              <w:rPr>
                <w:sz w:val="20"/>
                <w:szCs w:val="20"/>
                <w:color w:val="auto"/>
              </w:rPr>
            </w:pPr>
            <w:r>
              <w:rPr>
                <w:rFonts w:ascii="Arial" w:cs="Arial" w:eastAsia="Arial" w:hAnsi="Arial"/>
                <w:sz w:val="13"/>
                <w:szCs w:val="13"/>
                <w:color w:val="auto"/>
              </w:rPr>
              <w:t>657</w:t>
            </w:r>
          </w:p>
        </w:tc>
      </w:tr>
      <w:tr>
        <w:trPr>
          <w:trHeight w:val="162"/>
        </w:trPr>
        <w:tc>
          <w:tcPr>
            <w:tcW w:w="6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assets</w:t>
            </w:r>
          </w:p>
        </w:tc>
        <w:tc>
          <w:tcPr>
            <w:tcW w:w="11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(6,111)</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5,636</w:t>
            </w:r>
          </w:p>
        </w:tc>
      </w:tr>
      <w:tr>
        <w:trPr>
          <w:trHeight w:val="162"/>
        </w:trPr>
        <w:tc>
          <w:tcPr>
            <w:tcW w:w="6820" w:type="dxa"/>
            <w:vAlign w:val="bottom"/>
          </w:tcPr>
          <w:p>
            <w:pPr>
              <w:ind w:left="500"/>
              <w:spacing w:after="0"/>
              <w:rPr>
                <w:sz w:val="20"/>
                <w:szCs w:val="20"/>
                <w:color w:val="auto"/>
              </w:rPr>
            </w:pPr>
            <w:r>
              <w:rPr>
                <w:rFonts w:ascii="Arial" w:cs="Arial" w:eastAsia="Arial" w:hAnsi="Arial"/>
                <w:sz w:val="13"/>
                <w:szCs w:val="13"/>
                <w:color w:val="auto"/>
              </w:rPr>
              <w:t>Accounts payable</w:t>
            </w:r>
          </w:p>
        </w:tc>
        <w:tc>
          <w:tcPr>
            <w:tcW w:w="1180" w:type="dxa"/>
            <w:vAlign w:val="bottom"/>
          </w:tcPr>
          <w:p>
            <w:pPr>
              <w:spacing w:after="0"/>
              <w:rPr>
                <w:sz w:val="14"/>
                <w:szCs w:val="14"/>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(12,072)</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ind w:right="53"/>
              <w:spacing w:after="0"/>
              <w:rPr>
                <w:sz w:val="20"/>
                <w:szCs w:val="20"/>
                <w:color w:val="auto"/>
              </w:rPr>
            </w:pPr>
            <w:r>
              <w:rPr>
                <w:rFonts w:ascii="Arial" w:cs="Arial" w:eastAsia="Arial" w:hAnsi="Arial"/>
                <w:sz w:val="13"/>
                <w:szCs w:val="13"/>
                <w:color w:val="auto"/>
              </w:rPr>
              <w:t>2,650</w:t>
            </w:r>
          </w:p>
        </w:tc>
      </w:tr>
      <w:tr>
        <w:trPr>
          <w:trHeight w:val="162"/>
        </w:trPr>
        <w:tc>
          <w:tcPr>
            <w:tcW w:w="6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Accrued expenses and other current liabilities</w:t>
            </w:r>
          </w:p>
        </w:tc>
        <w:tc>
          <w:tcPr>
            <w:tcW w:w="11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(8,037)</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(4,232)</w:t>
            </w:r>
          </w:p>
        </w:tc>
      </w:tr>
      <w:tr>
        <w:trPr>
          <w:trHeight w:val="162"/>
        </w:trPr>
        <w:tc>
          <w:tcPr>
            <w:tcW w:w="6820" w:type="dxa"/>
            <w:vAlign w:val="bottom"/>
          </w:tcPr>
          <w:p>
            <w:pPr>
              <w:ind w:left="500"/>
              <w:spacing w:after="0"/>
              <w:rPr>
                <w:sz w:val="20"/>
                <w:szCs w:val="20"/>
                <w:color w:val="auto"/>
              </w:rPr>
            </w:pPr>
            <w:r>
              <w:rPr>
                <w:rFonts w:ascii="Arial" w:cs="Arial" w:eastAsia="Arial" w:hAnsi="Arial"/>
                <w:sz w:val="13"/>
                <w:szCs w:val="13"/>
                <w:color w:val="auto"/>
              </w:rPr>
              <w:t>Income taxes payable</w:t>
            </w:r>
          </w:p>
        </w:tc>
        <w:tc>
          <w:tcPr>
            <w:tcW w:w="1180" w:type="dxa"/>
            <w:vAlign w:val="bottom"/>
          </w:tcPr>
          <w:p>
            <w:pPr>
              <w:spacing w:after="0"/>
              <w:rPr>
                <w:sz w:val="14"/>
                <w:szCs w:val="14"/>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5,172</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ind w:right="53"/>
              <w:spacing w:after="0"/>
              <w:rPr>
                <w:sz w:val="20"/>
                <w:szCs w:val="20"/>
                <w:color w:val="auto"/>
              </w:rPr>
            </w:pPr>
            <w:r>
              <w:rPr>
                <w:rFonts w:ascii="Arial" w:cs="Arial" w:eastAsia="Arial" w:hAnsi="Arial"/>
                <w:sz w:val="13"/>
                <w:szCs w:val="13"/>
                <w:color w:val="auto"/>
              </w:rPr>
              <w:t>3,876</w:t>
            </w:r>
          </w:p>
        </w:tc>
      </w:tr>
      <w:tr>
        <w:trPr>
          <w:trHeight w:val="162"/>
        </w:trPr>
        <w:tc>
          <w:tcPr>
            <w:tcW w:w="6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long-term liabilities</w:t>
            </w:r>
          </w:p>
        </w:tc>
        <w:tc>
          <w:tcPr>
            <w:tcW w:w="118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6,299</w:t>
            </w:r>
          </w:p>
        </w:tc>
        <w:tc>
          <w:tcPr>
            <w:tcW w:w="160" w:type="dxa"/>
            <w:vAlign w:val="bottom"/>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(2,329)</w:t>
            </w:r>
          </w:p>
        </w:tc>
      </w:tr>
      <w:tr>
        <w:trPr>
          <w:trHeight w:val="156"/>
        </w:trPr>
        <w:tc>
          <w:tcPr>
            <w:tcW w:w="68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Net cash used in operating activities</w:t>
            </w:r>
          </w:p>
        </w:tc>
        <w:tc>
          <w:tcPr>
            <w:tcW w:w="1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(27,822)</w:t>
            </w:r>
          </w:p>
        </w:tc>
        <w:tc>
          <w:tcPr>
            <w:tcW w:w="1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(3,488)</w:t>
            </w:r>
          </w:p>
        </w:tc>
      </w:tr>
      <w:tr>
        <w:trPr>
          <w:trHeight w:val="155"/>
        </w:trPr>
        <w:tc>
          <w:tcPr>
            <w:tcW w:w="68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paid for acquisitions, net of cash acquired</w:t>
            </w:r>
          </w:p>
        </w:tc>
        <w:tc>
          <w:tcPr>
            <w:tcW w:w="1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(2,727)</w:t>
            </w:r>
          </w:p>
        </w:tc>
      </w:tr>
      <w:tr>
        <w:trPr>
          <w:trHeight w:val="162"/>
        </w:trPr>
        <w:tc>
          <w:tcPr>
            <w:tcW w:w="6820" w:type="dxa"/>
            <w:vAlign w:val="bottom"/>
          </w:tcPr>
          <w:p>
            <w:pPr>
              <w:ind w:left="260"/>
              <w:spacing w:after="0"/>
              <w:rPr>
                <w:sz w:val="20"/>
                <w:szCs w:val="20"/>
                <w:color w:val="auto"/>
              </w:rPr>
            </w:pPr>
            <w:r>
              <w:rPr>
                <w:rFonts w:ascii="Arial" w:cs="Arial" w:eastAsia="Arial" w:hAnsi="Arial"/>
                <w:sz w:val="13"/>
                <w:szCs w:val="13"/>
                <w:color w:val="auto"/>
              </w:rPr>
              <w:t>Purchases of property and equipment</w:t>
            </w:r>
          </w:p>
        </w:tc>
        <w:tc>
          <w:tcPr>
            <w:tcW w:w="1180" w:type="dxa"/>
            <w:vAlign w:val="bottom"/>
          </w:tcPr>
          <w:p>
            <w:pPr>
              <w:spacing w:after="0"/>
              <w:rPr>
                <w:sz w:val="14"/>
                <w:szCs w:val="14"/>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(29,511)</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(7,232)</w:t>
            </w:r>
          </w:p>
        </w:tc>
      </w:tr>
      <w:tr>
        <w:trPr>
          <w:trHeight w:val="162"/>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sale of plant, property and equipment</w:t>
            </w:r>
          </w:p>
        </w:tc>
        <w:tc>
          <w:tcPr>
            <w:tcW w:w="11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179</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r>
      <w:tr>
        <w:trPr>
          <w:trHeight w:val="162"/>
        </w:trPr>
        <w:tc>
          <w:tcPr>
            <w:tcW w:w="6820" w:type="dxa"/>
            <w:vAlign w:val="bottom"/>
          </w:tcPr>
          <w:p>
            <w:pPr>
              <w:ind w:left="260"/>
              <w:spacing w:after="0"/>
              <w:rPr>
                <w:sz w:val="20"/>
                <w:szCs w:val="20"/>
                <w:color w:val="auto"/>
              </w:rPr>
            </w:pPr>
            <w:r>
              <w:rPr>
                <w:rFonts w:ascii="Arial" w:cs="Arial" w:eastAsia="Arial" w:hAnsi="Arial"/>
                <w:sz w:val="13"/>
                <w:szCs w:val="13"/>
                <w:color w:val="auto"/>
              </w:rPr>
              <w:t>Cash (paid) received on deposits, net</w:t>
            </w:r>
          </w:p>
        </w:tc>
        <w:tc>
          <w:tcPr>
            <w:tcW w:w="1180" w:type="dxa"/>
            <w:vAlign w:val="bottom"/>
          </w:tcPr>
          <w:p>
            <w:pPr>
              <w:spacing w:after="0"/>
              <w:rPr>
                <w:sz w:val="14"/>
                <w:szCs w:val="14"/>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(223)</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ind w:right="53"/>
              <w:spacing w:after="0"/>
              <w:rPr>
                <w:sz w:val="20"/>
                <w:szCs w:val="20"/>
                <w:color w:val="auto"/>
              </w:rPr>
            </w:pPr>
            <w:r>
              <w:rPr>
                <w:rFonts w:ascii="Arial" w:cs="Arial" w:eastAsia="Arial" w:hAnsi="Arial"/>
                <w:sz w:val="13"/>
                <w:szCs w:val="13"/>
                <w:color w:val="auto"/>
              </w:rPr>
              <w:t>26</w:t>
            </w:r>
          </w:p>
        </w:tc>
      </w:tr>
      <w:tr>
        <w:trPr>
          <w:trHeight w:val="162"/>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for loan under Cannascend and Corsa Verde agreements</w:t>
            </w:r>
          </w:p>
        </w:tc>
        <w:tc>
          <w:tcPr>
            <w:tcW w:w="1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w:t>
            </w:r>
          </w:p>
        </w:tc>
      </w:tr>
      <w:tr>
        <w:trPr>
          <w:trHeight w:val="155"/>
        </w:trPr>
        <w:tc>
          <w:tcPr>
            <w:tcW w:w="68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Net cash used in investing activities</w:t>
            </w:r>
          </w:p>
        </w:tc>
        <w:tc>
          <w:tcPr>
            <w:tcW w:w="1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(29,555)</w:t>
            </w:r>
          </w:p>
        </w:tc>
        <w:tc>
          <w:tcPr>
            <w:tcW w:w="16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(10,141)</w:t>
            </w:r>
          </w:p>
        </w:tc>
      </w:tr>
      <w:tr>
        <w:trPr>
          <w:trHeight w:val="155"/>
        </w:trPr>
        <w:tc>
          <w:tcPr>
            <w:tcW w:w="68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issuance of debt</w:t>
            </w:r>
          </w:p>
        </w:tc>
        <w:tc>
          <w:tcPr>
            <w:tcW w:w="11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153,250</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133,559</w:t>
            </w:r>
          </w:p>
        </w:tc>
      </w:tr>
      <w:tr>
        <w:trPr>
          <w:trHeight w:val="162"/>
        </w:trPr>
        <w:tc>
          <w:tcPr>
            <w:tcW w:w="6820" w:type="dxa"/>
            <w:vAlign w:val="bottom"/>
          </w:tcPr>
          <w:p>
            <w:pPr>
              <w:ind w:left="260"/>
              <w:spacing w:after="0"/>
              <w:rPr>
                <w:sz w:val="20"/>
                <w:szCs w:val="20"/>
                <w:color w:val="auto"/>
              </w:rPr>
            </w:pPr>
            <w:r>
              <w:rPr>
                <w:rFonts w:ascii="Arial" w:cs="Arial" w:eastAsia="Arial" w:hAnsi="Arial"/>
                <w:sz w:val="13"/>
                <w:szCs w:val="13"/>
                <w:color w:val="auto"/>
              </w:rPr>
              <w:t>Debt issuance costs</w:t>
            </w:r>
          </w:p>
        </w:tc>
        <w:tc>
          <w:tcPr>
            <w:tcW w:w="1180" w:type="dxa"/>
            <w:vAlign w:val="bottom"/>
          </w:tcPr>
          <w:p>
            <w:pPr>
              <w:spacing w:after="0"/>
              <w:rPr>
                <w:sz w:val="14"/>
                <w:szCs w:val="14"/>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(7,266)</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(123)</w:t>
            </w:r>
          </w:p>
        </w:tc>
      </w:tr>
      <w:tr>
        <w:trPr>
          <w:trHeight w:val="162"/>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Repayment of debt</w:t>
            </w:r>
          </w:p>
        </w:tc>
        <w:tc>
          <w:tcPr>
            <w:tcW w:w="11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(122)</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r>
      <w:tr>
        <w:trPr>
          <w:trHeight w:val="162"/>
        </w:trPr>
        <w:tc>
          <w:tcPr>
            <w:tcW w:w="6820" w:type="dxa"/>
            <w:vAlign w:val="bottom"/>
          </w:tcPr>
          <w:p>
            <w:pPr>
              <w:ind w:left="260"/>
              <w:spacing w:after="0"/>
              <w:rPr>
                <w:sz w:val="20"/>
                <w:szCs w:val="20"/>
                <w:color w:val="auto"/>
              </w:rPr>
            </w:pPr>
            <w:r>
              <w:rPr>
                <w:rFonts w:ascii="Arial" w:cs="Arial" w:eastAsia="Arial" w:hAnsi="Arial"/>
                <w:sz w:val="13"/>
                <w:szCs w:val="13"/>
                <w:color w:val="auto"/>
              </w:rPr>
              <w:t>Repayment of sellers note</w:t>
            </w:r>
          </w:p>
        </w:tc>
        <w:tc>
          <w:tcPr>
            <w:tcW w:w="1180" w:type="dxa"/>
            <w:vAlign w:val="bottom"/>
          </w:tcPr>
          <w:p>
            <w:pPr>
              <w:spacing w:after="0"/>
              <w:rPr>
                <w:sz w:val="14"/>
                <w:szCs w:val="14"/>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(375)</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(3,877)</w:t>
            </w:r>
          </w:p>
        </w:tc>
      </w:tr>
      <w:tr>
        <w:trPr>
          <w:trHeight w:val="162"/>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of lease liabilities</w:t>
            </w:r>
          </w:p>
        </w:tc>
        <w:tc>
          <w:tcPr>
            <w:tcW w:w="11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(1,642)</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(1,351)</w:t>
            </w:r>
          </w:p>
        </w:tc>
      </w:tr>
      <w:tr>
        <w:trPr>
          <w:trHeight w:val="162"/>
        </w:trPr>
        <w:tc>
          <w:tcPr>
            <w:tcW w:w="6820" w:type="dxa"/>
            <w:vAlign w:val="bottom"/>
          </w:tcPr>
          <w:p>
            <w:pPr>
              <w:ind w:left="260"/>
              <w:spacing w:after="0"/>
              <w:rPr>
                <w:sz w:val="20"/>
                <w:szCs w:val="20"/>
                <w:color w:val="auto"/>
              </w:rPr>
            </w:pPr>
            <w:r>
              <w:rPr>
                <w:rFonts w:ascii="Arial" w:cs="Arial" w:eastAsia="Arial" w:hAnsi="Arial"/>
                <w:sz w:val="13"/>
                <w:szCs w:val="13"/>
                <w:color w:val="auto"/>
              </w:rPr>
              <w:t>Exercise of warrants</w:t>
            </w:r>
          </w:p>
        </w:tc>
        <w:tc>
          <w:tcPr>
            <w:tcW w:w="1180" w:type="dxa"/>
            <w:vAlign w:val="bottom"/>
          </w:tcPr>
          <w:p>
            <w:pPr>
              <w:spacing w:after="0"/>
              <w:rPr>
                <w:sz w:val="14"/>
                <w:szCs w:val="14"/>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424</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ind w:right="53"/>
              <w:spacing w:after="0"/>
              <w:rPr>
                <w:sz w:val="20"/>
                <w:szCs w:val="20"/>
                <w:color w:val="auto"/>
              </w:rPr>
            </w:pPr>
            <w:r>
              <w:rPr>
                <w:rFonts w:ascii="Arial" w:cs="Arial" w:eastAsia="Arial" w:hAnsi="Arial"/>
                <w:sz w:val="13"/>
                <w:szCs w:val="13"/>
                <w:color w:val="auto"/>
              </w:rPr>
              <w:t>808</w:t>
            </w:r>
          </w:p>
        </w:tc>
      </w:tr>
      <w:tr>
        <w:trPr>
          <w:trHeight w:val="162"/>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Taxes paid on equity based compensation</w:t>
            </w:r>
          </w:p>
        </w:tc>
        <w:tc>
          <w:tcPr>
            <w:tcW w:w="118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rPr>
              <w:t>(16)</w:t>
            </w:r>
          </w:p>
        </w:tc>
        <w:tc>
          <w:tcPr>
            <w:tcW w:w="160" w:type="dxa"/>
            <w:vAlign w:val="bottom"/>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r>
      <w:tr>
        <w:trPr>
          <w:trHeight w:val="155"/>
        </w:trPr>
        <w:tc>
          <w:tcPr>
            <w:tcW w:w="68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Net cash provided by financing activities</w:t>
            </w:r>
          </w:p>
        </w:tc>
        <w:tc>
          <w:tcPr>
            <w:tcW w:w="1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144,253</w:t>
            </w:r>
          </w:p>
        </w:tc>
        <w:tc>
          <w:tcPr>
            <w:tcW w:w="1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129,016</w:t>
            </w:r>
          </w:p>
        </w:tc>
      </w:tr>
      <w:tr>
        <w:trPr>
          <w:trHeight w:val="155"/>
        </w:trPr>
        <w:tc>
          <w:tcPr>
            <w:tcW w:w="68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Net increase (decrease) in cash</w:t>
            </w:r>
          </w:p>
        </w:tc>
        <w:tc>
          <w:tcPr>
            <w:tcW w:w="11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86,876</w:t>
            </w: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115,387</w:t>
            </w:r>
          </w:p>
        </w:tc>
      </w:tr>
      <w:tr>
        <w:trPr>
          <w:trHeight w:val="162"/>
        </w:trPr>
        <w:tc>
          <w:tcPr>
            <w:tcW w:w="68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and restricted cash at beginning of the period</w:t>
            </w:r>
          </w:p>
        </w:tc>
        <w:tc>
          <w:tcPr>
            <w:tcW w:w="1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82,533</w:t>
            </w:r>
          </w:p>
        </w:tc>
        <w:tc>
          <w:tcPr>
            <w:tcW w:w="16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71,969</w:t>
            </w:r>
          </w:p>
        </w:tc>
      </w:tr>
      <w:tr>
        <w:trPr>
          <w:trHeight w:val="155"/>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Cash and restricted cash at end of the period</w:t>
            </w:r>
          </w:p>
        </w:tc>
        <w:tc>
          <w:tcPr>
            <w:tcW w:w="118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169,409</w:t>
            </w:r>
          </w:p>
        </w:tc>
        <w:tc>
          <w:tcPr>
            <w:tcW w:w="1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187,356</w:t>
            </w:r>
          </w:p>
        </w:tc>
      </w:tr>
      <w:tr>
        <w:trPr>
          <w:trHeight w:val="20"/>
        </w:trPr>
        <w:tc>
          <w:tcPr>
            <w:tcW w:w="6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43"/>
        </w:trPr>
        <w:tc>
          <w:tcPr>
            <w:tcW w:w="6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62"/>
        </w:trPr>
        <w:tc>
          <w:tcPr>
            <w:tcW w:w="68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Reconciliation of cash and cash equivalents and restricted cash:</w:t>
            </w:r>
          </w:p>
        </w:tc>
        <w:tc>
          <w:tcPr>
            <w:tcW w:w="1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1180" w:type="dxa"/>
            <w:vAlign w:val="bottom"/>
          </w:tcPr>
          <w:p>
            <w:pPr>
              <w:spacing w:after="0"/>
              <w:rPr>
                <w:sz w:val="14"/>
                <w:szCs w:val="14"/>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168,424</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ind w:right="53"/>
              <w:spacing w:after="0"/>
              <w:rPr>
                <w:sz w:val="20"/>
                <w:szCs w:val="20"/>
                <w:color w:val="auto"/>
              </w:rPr>
            </w:pPr>
            <w:r>
              <w:rPr>
                <w:rFonts w:ascii="Arial" w:cs="Arial" w:eastAsia="Arial" w:hAnsi="Arial"/>
                <w:sz w:val="13"/>
                <w:szCs w:val="13"/>
                <w:color w:val="auto"/>
              </w:rPr>
              <w:t>176,498</w:t>
            </w:r>
          </w:p>
        </w:tc>
      </w:tr>
      <w:tr>
        <w:trPr>
          <w:trHeight w:val="162"/>
        </w:trPr>
        <w:tc>
          <w:tcPr>
            <w:tcW w:w="6820" w:type="dxa"/>
            <w:vAlign w:val="bottom"/>
            <w:shd w:val="clear" w:color="auto" w:fill="CFF0FC"/>
          </w:tcPr>
          <w:p>
            <w:pPr>
              <w:spacing w:after="0"/>
              <w:rPr>
                <w:sz w:val="20"/>
                <w:szCs w:val="20"/>
                <w:color w:val="auto"/>
              </w:rPr>
            </w:pPr>
            <w:r>
              <w:rPr>
                <w:rFonts w:ascii="Arial" w:cs="Arial" w:eastAsia="Arial" w:hAnsi="Arial"/>
                <w:sz w:val="13"/>
                <w:szCs w:val="13"/>
                <w:color w:val="auto"/>
              </w:rPr>
              <w:t>Restricted cash</w:t>
            </w:r>
          </w:p>
        </w:tc>
        <w:tc>
          <w:tcPr>
            <w:tcW w:w="118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985</w:t>
            </w:r>
          </w:p>
        </w:tc>
        <w:tc>
          <w:tcPr>
            <w:tcW w:w="160" w:type="dxa"/>
            <w:vAlign w:val="bottom"/>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10,858</w:t>
            </w:r>
          </w:p>
        </w:tc>
      </w:tr>
      <w:tr>
        <w:trPr>
          <w:trHeight w:val="195"/>
        </w:trPr>
        <w:tc>
          <w:tcPr>
            <w:tcW w:w="68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and cash equivalents and restricted cash, end of period</w:t>
            </w:r>
          </w:p>
        </w:tc>
        <w:tc>
          <w:tcPr>
            <w:tcW w:w="1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169,409</w:t>
            </w:r>
          </w:p>
        </w:tc>
        <w:tc>
          <w:tcPr>
            <w:tcW w:w="160" w:type="dxa"/>
            <w:vAlign w:val="bottom"/>
            <w:tcBorders>
              <w:bottom w:val="single" w:sz="8" w:color="CFF0FC"/>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187,356</w:t>
            </w:r>
          </w:p>
        </w:tc>
      </w:tr>
      <w:tr>
        <w:trPr>
          <w:trHeight w:val="143"/>
        </w:trPr>
        <w:tc>
          <w:tcPr>
            <w:tcW w:w="68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6820" w:type="dxa"/>
            <w:vAlign w:val="bottom"/>
            <w:shd w:val="clear" w:color="auto" w:fill="CFF0FC"/>
          </w:tcPr>
          <w:p>
            <w:pPr>
              <w:spacing w:after="0"/>
              <w:rPr>
                <w:sz w:val="20"/>
                <w:szCs w:val="20"/>
                <w:color w:val="auto"/>
              </w:rPr>
            </w:pPr>
            <w:r>
              <w:rPr>
                <w:rFonts w:ascii="Arial" w:cs="Arial" w:eastAsia="Arial" w:hAnsi="Arial"/>
                <w:sz w:val="13"/>
                <w:szCs w:val="13"/>
                <w:color w:val="auto"/>
              </w:rPr>
              <w:t>Cash paid for amounts included in the measurement of lease liabilities:</w:t>
            </w:r>
          </w:p>
        </w:tc>
        <w:tc>
          <w:tcPr>
            <w:tcW w:w="1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r>
      <w:tr>
        <w:trPr>
          <w:trHeight w:val="162"/>
        </w:trPr>
        <w:tc>
          <w:tcPr>
            <w:tcW w:w="6820" w:type="dxa"/>
            <w:vAlign w:val="bottom"/>
          </w:tcPr>
          <w:p>
            <w:pPr>
              <w:ind w:left="260"/>
              <w:spacing w:after="0"/>
              <w:rPr>
                <w:sz w:val="20"/>
                <w:szCs w:val="20"/>
                <w:color w:val="auto"/>
              </w:rPr>
            </w:pPr>
            <w:r>
              <w:rPr>
                <w:rFonts w:ascii="Arial" w:cs="Arial" w:eastAsia="Arial" w:hAnsi="Arial"/>
                <w:sz w:val="13"/>
                <w:szCs w:val="13"/>
                <w:color w:val="auto"/>
              </w:rPr>
              <w:t>Operating cash flows from operating leases</w:t>
            </w:r>
          </w:p>
        </w:tc>
        <w:tc>
          <w:tcPr>
            <w:tcW w:w="1180" w:type="dxa"/>
            <w:vAlign w:val="bottom"/>
          </w:tcPr>
          <w:p>
            <w:pPr>
              <w:jc w:val="right"/>
              <w:ind w:right="1068"/>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6,209</w:t>
            </w:r>
          </w:p>
        </w:tc>
        <w:tc>
          <w:tcPr>
            <w:tcW w:w="160" w:type="dxa"/>
            <w:vAlign w:val="bottom"/>
          </w:tcPr>
          <w:p>
            <w:pPr>
              <w:spacing w:after="0"/>
              <w:rPr>
                <w:sz w:val="14"/>
                <w:szCs w:val="14"/>
                <w:color w:val="auto"/>
              </w:rPr>
            </w:pPr>
          </w:p>
        </w:tc>
        <w:tc>
          <w:tcPr>
            <w:tcW w:w="840" w:type="dxa"/>
            <w:vAlign w:val="bottom"/>
          </w:tcPr>
          <w:p>
            <w:pPr>
              <w:jc w:val="right"/>
              <w:ind w:right="693"/>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ind w:right="53"/>
              <w:spacing w:after="0"/>
              <w:rPr>
                <w:sz w:val="20"/>
                <w:szCs w:val="20"/>
                <w:color w:val="auto"/>
              </w:rPr>
            </w:pPr>
            <w:r>
              <w:rPr>
                <w:rFonts w:ascii="Arial" w:cs="Arial" w:eastAsia="Arial" w:hAnsi="Arial"/>
                <w:sz w:val="13"/>
                <w:szCs w:val="13"/>
                <w:color w:val="auto"/>
              </w:rPr>
              <w:t>4,768</w:t>
            </w:r>
          </w:p>
        </w:tc>
      </w:tr>
      <w:tr>
        <w:trPr>
          <w:trHeight w:val="162"/>
        </w:trPr>
        <w:tc>
          <w:tcPr>
            <w:tcW w:w="6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Operating cash flows from finance leases</w:t>
            </w:r>
          </w:p>
        </w:tc>
        <w:tc>
          <w:tcPr>
            <w:tcW w:w="1180" w:type="dxa"/>
            <w:vAlign w:val="bottom"/>
            <w:shd w:val="clear" w:color="auto" w:fill="CFF0FC"/>
          </w:tcPr>
          <w:p>
            <w:pPr>
              <w:jc w:val="right"/>
              <w:ind w:right="1068"/>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1,457</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69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1,156</w:t>
            </w:r>
          </w:p>
        </w:tc>
      </w:tr>
      <w:tr>
        <w:trPr>
          <w:trHeight w:val="162"/>
        </w:trPr>
        <w:tc>
          <w:tcPr>
            <w:tcW w:w="6820" w:type="dxa"/>
            <w:vAlign w:val="bottom"/>
          </w:tcPr>
          <w:p>
            <w:pPr>
              <w:ind w:left="260"/>
              <w:spacing w:after="0"/>
              <w:rPr>
                <w:sz w:val="20"/>
                <w:szCs w:val="20"/>
                <w:color w:val="auto"/>
              </w:rPr>
            </w:pPr>
            <w:r>
              <w:rPr>
                <w:rFonts w:ascii="Arial" w:cs="Arial" w:eastAsia="Arial" w:hAnsi="Arial"/>
                <w:sz w:val="13"/>
                <w:szCs w:val="13"/>
                <w:color w:val="auto"/>
              </w:rPr>
              <w:t>Financing cash flows from finance leases</w:t>
            </w:r>
          </w:p>
        </w:tc>
        <w:tc>
          <w:tcPr>
            <w:tcW w:w="1180" w:type="dxa"/>
            <w:vAlign w:val="bottom"/>
          </w:tcPr>
          <w:p>
            <w:pPr>
              <w:jc w:val="right"/>
              <w:ind w:right="1068"/>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1,642</w:t>
            </w:r>
          </w:p>
        </w:tc>
        <w:tc>
          <w:tcPr>
            <w:tcW w:w="160" w:type="dxa"/>
            <w:vAlign w:val="bottom"/>
          </w:tcPr>
          <w:p>
            <w:pPr>
              <w:spacing w:after="0"/>
              <w:rPr>
                <w:sz w:val="14"/>
                <w:szCs w:val="14"/>
                <w:color w:val="auto"/>
              </w:rPr>
            </w:pPr>
          </w:p>
        </w:tc>
        <w:tc>
          <w:tcPr>
            <w:tcW w:w="840" w:type="dxa"/>
            <w:vAlign w:val="bottom"/>
          </w:tcPr>
          <w:p>
            <w:pPr>
              <w:jc w:val="right"/>
              <w:ind w:right="693"/>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ind w:right="53"/>
              <w:spacing w:after="0"/>
              <w:rPr>
                <w:sz w:val="20"/>
                <w:szCs w:val="20"/>
                <w:color w:val="auto"/>
              </w:rPr>
            </w:pPr>
            <w:r>
              <w:rPr>
                <w:rFonts w:ascii="Arial" w:cs="Arial" w:eastAsia="Arial" w:hAnsi="Arial"/>
                <w:sz w:val="13"/>
                <w:szCs w:val="13"/>
                <w:color w:val="auto"/>
              </w:rPr>
              <w:t>1,351</w:t>
            </w:r>
          </w:p>
        </w:tc>
      </w:tr>
      <w:tr>
        <w:trPr>
          <w:trHeight w:val="162"/>
        </w:trPr>
        <w:tc>
          <w:tcPr>
            <w:tcW w:w="6820" w:type="dxa"/>
            <w:vAlign w:val="bottom"/>
            <w:shd w:val="clear" w:color="auto" w:fill="CFF0FC"/>
          </w:tcPr>
          <w:p>
            <w:pPr>
              <w:spacing w:after="0"/>
              <w:rPr>
                <w:sz w:val="20"/>
                <w:szCs w:val="20"/>
                <w:color w:val="auto"/>
              </w:rPr>
            </w:pPr>
            <w:r>
              <w:rPr>
                <w:rFonts w:ascii="Arial" w:cs="Arial" w:eastAsia="Arial" w:hAnsi="Arial"/>
                <w:sz w:val="13"/>
                <w:szCs w:val="13"/>
                <w:color w:val="auto"/>
              </w:rPr>
              <w:t>Cash paid for interest on other obligations</w:t>
            </w:r>
          </w:p>
        </w:tc>
        <w:tc>
          <w:tcPr>
            <w:tcW w:w="1180" w:type="dxa"/>
            <w:vAlign w:val="bottom"/>
            <w:shd w:val="clear" w:color="auto" w:fill="CFF0FC"/>
          </w:tcPr>
          <w:p>
            <w:pPr>
              <w:jc w:val="right"/>
              <w:ind w:right="1068"/>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5,302</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69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438</w:t>
            </w:r>
          </w:p>
        </w:tc>
      </w:tr>
      <w:tr>
        <w:trPr>
          <w:trHeight w:val="162"/>
        </w:trPr>
        <w:tc>
          <w:tcPr>
            <w:tcW w:w="6820" w:type="dxa"/>
            <w:vAlign w:val="bottom"/>
          </w:tcPr>
          <w:p>
            <w:pPr>
              <w:spacing w:after="0"/>
              <w:rPr>
                <w:sz w:val="20"/>
                <w:szCs w:val="20"/>
                <w:color w:val="auto"/>
              </w:rPr>
            </w:pPr>
            <w:r>
              <w:rPr>
                <w:rFonts w:ascii="Arial" w:cs="Arial" w:eastAsia="Arial" w:hAnsi="Arial"/>
                <w:sz w:val="13"/>
                <w:szCs w:val="13"/>
                <w:color w:val="auto"/>
              </w:rPr>
              <w:t>Cash paid for income taxes</w:t>
            </w:r>
          </w:p>
        </w:tc>
        <w:tc>
          <w:tcPr>
            <w:tcW w:w="1180" w:type="dxa"/>
            <w:vAlign w:val="bottom"/>
          </w:tcPr>
          <w:p>
            <w:pPr>
              <w:jc w:val="right"/>
              <w:ind w:right="1068"/>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70</w:t>
            </w:r>
          </w:p>
        </w:tc>
        <w:tc>
          <w:tcPr>
            <w:tcW w:w="160" w:type="dxa"/>
            <w:vAlign w:val="bottom"/>
          </w:tcPr>
          <w:p>
            <w:pPr>
              <w:spacing w:after="0"/>
              <w:rPr>
                <w:sz w:val="14"/>
                <w:szCs w:val="14"/>
                <w:color w:val="auto"/>
              </w:rPr>
            </w:pPr>
          </w:p>
        </w:tc>
        <w:tc>
          <w:tcPr>
            <w:tcW w:w="840" w:type="dxa"/>
            <w:vAlign w:val="bottom"/>
          </w:tcPr>
          <w:p>
            <w:pPr>
              <w:jc w:val="right"/>
              <w:ind w:right="693"/>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ind w:right="53"/>
              <w:spacing w:after="0"/>
              <w:rPr>
                <w:sz w:val="20"/>
                <w:szCs w:val="20"/>
                <w:color w:val="auto"/>
              </w:rPr>
            </w:pPr>
            <w:r>
              <w:rPr>
                <w:rFonts w:ascii="Arial" w:cs="Arial" w:eastAsia="Arial" w:hAnsi="Arial"/>
                <w:sz w:val="13"/>
                <w:szCs w:val="13"/>
                <w:color w:val="auto"/>
              </w:rPr>
              <w:t>135</w:t>
            </w:r>
          </w:p>
        </w:tc>
      </w:tr>
      <w:tr>
        <w:trPr>
          <w:trHeight w:val="162"/>
        </w:trPr>
        <w:tc>
          <w:tcPr>
            <w:tcW w:w="6820" w:type="dxa"/>
            <w:vAlign w:val="bottom"/>
            <w:shd w:val="clear" w:color="auto" w:fill="CFF0FC"/>
          </w:tcPr>
          <w:p>
            <w:pPr>
              <w:spacing w:after="0"/>
              <w:rPr>
                <w:sz w:val="20"/>
                <w:szCs w:val="20"/>
                <w:color w:val="auto"/>
              </w:rPr>
            </w:pPr>
            <w:r>
              <w:rPr>
                <w:rFonts w:ascii="Arial" w:cs="Arial" w:eastAsia="Arial" w:hAnsi="Arial"/>
                <w:sz w:val="13"/>
                <w:szCs w:val="13"/>
                <w:color w:val="auto"/>
              </w:rPr>
              <w:t>Lease liabilities arising from the recognition of finance right-of-use assets</w:t>
            </w:r>
          </w:p>
        </w:tc>
        <w:tc>
          <w:tcPr>
            <w:tcW w:w="1180" w:type="dxa"/>
            <w:vAlign w:val="bottom"/>
            <w:shd w:val="clear" w:color="auto" w:fill="CFF0FC"/>
          </w:tcPr>
          <w:p>
            <w:pPr>
              <w:jc w:val="right"/>
              <w:ind w:right="1068"/>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1,597</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69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4,750</w:t>
            </w:r>
          </w:p>
        </w:tc>
      </w:tr>
      <w:tr>
        <w:trPr>
          <w:trHeight w:val="162"/>
        </w:trPr>
        <w:tc>
          <w:tcPr>
            <w:tcW w:w="6820" w:type="dxa"/>
            <w:vAlign w:val="bottom"/>
          </w:tcPr>
          <w:p>
            <w:pPr>
              <w:spacing w:after="0"/>
              <w:rPr>
                <w:sz w:val="20"/>
                <w:szCs w:val="20"/>
                <w:color w:val="auto"/>
              </w:rPr>
            </w:pPr>
            <w:r>
              <w:rPr>
                <w:rFonts w:ascii="Arial" w:cs="Arial" w:eastAsia="Arial" w:hAnsi="Arial"/>
                <w:sz w:val="13"/>
                <w:szCs w:val="13"/>
                <w:color w:val="auto"/>
              </w:rPr>
              <w:t>Lease liabilities arising from the recognition of operating right-of-use assets</w:t>
            </w:r>
          </w:p>
        </w:tc>
        <w:tc>
          <w:tcPr>
            <w:tcW w:w="1180" w:type="dxa"/>
            <w:vAlign w:val="bottom"/>
          </w:tcPr>
          <w:p>
            <w:pPr>
              <w:jc w:val="right"/>
              <w:ind w:right="1068"/>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551</w:t>
            </w:r>
          </w:p>
        </w:tc>
        <w:tc>
          <w:tcPr>
            <w:tcW w:w="160" w:type="dxa"/>
            <w:vAlign w:val="bottom"/>
          </w:tcPr>
          <w:p>
            <w:pPr>
              <w:spacing w:after="0"/>
              <w:rPr>
                <w:sz w:val="14"/>
                <w:szCs w:val="14"/>
                <w:color w:val="auto"/>
              </w:rPr>
            </w:pPr>
          </w:p>
        </w:tc>
        <w:tc>
          <w:tcPr>
            <w:tcW w:w="840" w:type="dxa"/>
            <w:vAlign w:val="bottom"/>
          </w:tcPr>
          <w:p>
            <w:pPr>
              <w:jc w:val="right"/>
              <w:ind w:right="693"/>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ind w:right="53"/>
              <w:spacing w:after="0"/>
              <w:rPr>
                <w:sz w:val="20"/>
                <w:szCs w:val="20"/>
                <w:color w:val="auto"/>
              </w:rPr>
            </w:pPr>
            <w:r>
              <w:rPr>
                <w:rFonts w:ascii="Arial" w:cs="Arial" w:eastAsia="Arial" w:hAnsi="Arial"/>
                <w:sz w:val="13"/>
                <w:szCs w:val="13"/>
                <w:color w:val="auto"/>
              </w:rPr>
              <w:t>3,037</w:t>
            </w:r>
          </w:p>
        </w:tc>
      </w:tr>
      <w:tr>
        <w:trPr>
          <w:trHeight w:val="162"/>
        </w:trPr>
        <w:tc>
          <w:tcPr>
            <w:tcW w:w="68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6820" w:type="dxa"/>
            <w:vAlign w:val="bottom"/>
            <w:shd w:val="clear" w:color="auto" w:fill="CFF0FC"/>
          </w:tcPr>
          <w:p>
            <w:pPr>
              <w:spacing w:after="0"/>
              <w:rPr>
                <w:sz w:val="20"/>
                <w:szCs w:val="20"/>
                <w:color w:val="auto"/>
              </w:rPr>
            </w:pPr>
            <w:r>
              <w:rPr>
                <w:rFonts w:ascii="Arial" w:cs="Arial" w:eastAsia="Arial" w:hAnsi="Arial"/>
                <w:sz w:val="13"/>
                <w:szCs w:val="13"/>
                <w:color w:val="auto"/>
              </w:rPr>
              <w:t>Non-cash fixed asset additions within accounts payable and accrued expenses</w:t>
            </w:r>
          </w:p>
        </w:tc>
        <w:tc>
          <w:tcPr>
            <w:tcW w:w="1180" w:type="dxa"/>
            <w:vAlign w:val="bottom"/>
            <w:shd w:val="clear" w:color="auto" w:fill="CFF0FC"/>
          </w:tcPr>
          <w:p>
            <w:pPr>
              <w:jc w:val="right"/>
              <w:ind w:right="1068"/>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11,010</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69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2,455</w:t>
            </w:r>
          </w:p>
        </w:tc>
      </w:tr>
      <w:tr>
        <w:trPr>
          <w:trHeight w:val="162"/>
        </w:trPr>
        <w:tc>
          <w:tcPr>
            <w:tcW w:w="6820" w:type="dxa"/>
            <w:vAlign w:val="bottom"/>
          </w:tcPr>
          <w:p>
            <w:pPr>
              <w:spacing w:after="0"/>
              <w:rPr>
                <w:sz w:val="20"/>
                <w:szCs w:val="20"/>
                <w:color w:val="auto"/>
              </w:rPr>
            </w:pPr>
            <w:r>
              <w:rPr>
                <w:rFonts w:ascii="Arial" w:cs="Arial" w:eastAsia="Arial" w:hAnsi="Arial"/>
                <w:sz w:val="13"/>
                <w:szCs w:val="13"/>
                <w:color w:val="auto"/>
              </w:rPr>
              <w:t>Non-cash equity issuance costs within accrued expenses and accounts payable</w:t>
            </w:r>
          </w:p>
        </w:tc>
        <w:tc>
          <w:tcPr>
            <w:tcW w:w="1180" w:type="dxa"/>
            <w:vAlign w:val="bottom"/>
          </w:tcPr>
          <w:p>
            <w:pPr>
              <w:jc w:val="right"/>
              <w:ind w:right="1068"/>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223</w:t>
            </w:r>
          </w:p>
        </w:tc>
        <w:tc>
          <w:tcPr>
            <w:tcW w:w="160" w:type="dxa"/>
            <w:vAlign w:val="bottom"/>
          </w:tcPr>
          <w:p>
            <w:pPr>
              <w:spacing w:after="0"/>
              <w:rPr>
                <w:sz w:val="14"/>
                <w:szCs w:val="14"/>
                <w:color w:val="auto"/>
              </w:rPr>
            </w:pPr>
          </w:p>
        </w:tc>
        <w:tc>
          <w:tcPr>
            <w:tcW w:w="840" w:type="dxa"/>
            <w:vAlign w:val="bottom"/>
          </w:tcPr>
          <w:p>
            <w:pPr>
              <w:jc w:val="right"/>
              <w:ind w:right="693"/>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ind w:right="53"/>
              <w:spacing w:after="0"/>
              <w:rPr>
                <w:sz w:val="20"/>
                <w:szCs w:val="20"/>
                <w:color w:val="auto"/>
              </w:rPr>
            </w:pPr>
            <w:r>
              <w:rPr>
                <w:rFonts w:ascii="Arial" w:cs="Arial" w:eastAsia="Arial" w:hAnsi="Arial"/>
                <w:sz w:val="13"/>
                <w:szCs w:val="13"/>
                <w:color w:val="auto"/>
              </w:rPr>
              <w:t>286</w:t>
            </w:r>
          </w:p>
        </w:tc>
      </w:tr>
      <w:tr>
        <w:trPr>
          <w:trHeight w:val="162"/>
        </w:trPr>
        <w:tc>
          <w:tcPr>
            <w:tcW w:w="6820" w:type="dxa"/>
            <w:vAlign w:val="bottom"/>
            <w:shd w:val="clear" w:color="auto" w:fill="CFF0FC"/>
          </w:tcPr>
          <w:p>
            <w:pPr>
              <w:spacing w:after="0"/>
              <w:rPr>
                <w:sz w:val="20"/>
                <w:szCs w:val="20"/>
                <w:color w:val="auto"/>
              </w:rPr>
            </w:pPr>
            <w:r>
              <w:rPr>
                <w:rFonts w:ascii="Arial" w:cs="Arial" w:eastAsia="Arial" w:hAnsi="Arial"/>
                <w:sz w:val="13"/>
                <w:szCs w:val="13"/>
                <w:color w:val="auto"/>
              </w:rPr>
              <w:t>Shares issued in connection with business acquisitions</w:t>
            </w:r>
          </w:p>
        </w:tc>
        <w:tc>
          <w:tcPr>
            <w:tcW w:w="1180" w:type="dxa"/>
            <w:vAlign w:val="bottom"/>
            <w:shd w:val="clear" w:color="auto" w:fill="CFF0FC"/>
          </w:tcPr>
          <w:p>
            <w:pPr>
              <w:jc w:val="right"/>
              <w:ind w:right="1068"/>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69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4,972</w:t>
            </w: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0"/>
          <w:szCs w:val="20"/>
          <w:color w:val="auto"/>
        </w:rPr>
      </w:pPr>
    </w:p>
    <w:p>
      <w:pPr>
        <w:ind w:right="4440"/>
        <w:spacing w:after="0" w:line="250" w:lineRule="auto"/>
        <w:rPr>
          <w:sz w:val="20"/>
          <w:szCs w:val="20"/>
          <w:color w:val="auto"/>
        </w:rPr>
      </w:pPr>
      <w:r>
        <w:rPr>
          <w:rFonts w:ascii="Arial" w:cs="Arial" w:eastAsia="Arial" w:hAnsi="Arial"/>
          <w:sz w:val="18"/>
          <w:szCs w:val="18"/>
          <w:color w:val="auto"/>
        </w:rPr>
        <w:t>NOTES TO THE CONDENSED INTERIM CONSOLIDATED FINANCIAL STATEMENTS FOR THE THREE MONTHS ENDED MARCH 31 2022 AND 2021 (Expressed in thousands of U.S. dollars, except for share and per share amounts)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 OPERATIONS OF THE COMPANY</w:t>
      </w:r>
    </w:p>
    <w:p>
      <w:pPr>
        <w:spacing w:after="0" w:line="162"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Columbia Care Inc. (“the Company” or “the Parent”), was incorporated under the laws of the Province of Ontario on August 13, 2018. The Company's principal mission is to improve lives by providing cannabis-based health and wellness solutions and derivative products to qualified patients and consumers. The Company’s head office and principal address is 680 Fifth Ave. 24th Floor, New York, New York 10019. The Company’s registered and records office address is 666 Burrard St #1700, Vancouver, British Columbia V6C 2X8.</w:t>
      </w:r>
    </w:p>
    <w:p>
      <w:pPr>
        <w:spacing w:after="0" w:line="119"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On April 26, 2019, the Company completed a reverse takeover (“RTO”) transaction and private placement. Following the RTO, the Company’s Common Shares were listed on the Aequitas NEO exchange, trading under the symbol “CCHW”. As of the time of this report, the Company’s Common Shares are also listed on the Canadian Securities Exchange (the “CSE”) under the symbol “CCHW”, the OTCQX Best Market under the symbol “CCHWF” and on the Frankfurt Stock Exchange under the symbol “3LP.</w:t>
      </w:r>
    </w:p>
    <w:p>
      <w:pPr>
        <w:spacing w:after="0" w:line="106"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auto"/>
        </w:rPr>
        <w:t>On March 23, 2022, the Company jointly announced with Cresco Labs LLC (“Cresco Labs”) that the Company and Cresco Labs have entered into a definitive arrangement agreement (the “Arrangement Agreement”) pursuant to which Cresco Labs will acquire all of the issued and outstanding shares (the “Company Shares”) of the Company (the “Cresco Transaction”). Subject to customary closing conditions and necessary regulatory approvals, the Cresco Transaction is expected to close in the fourth quarter of 2022. Under the terms of the Arrangement Agreement, shareholders of the Company (the “Company Shareholders”) will receive 0.5579 of a subordinate voting share of Cresco Labs (each whole share, a “Cresco Labs Share”) for each Company common share (or equivalent) held, subject to adjustment, representing total consideration enterprise value of approximately US$2.0 billion based on the closing price of Cresco Labs Shares on the CSE as of March 22, 2022. After giving effect to the Cresco Transaction, Company Shareholders will hold approximately 35% of the pro forma Cresco Labs Shares (on a fully diluted in-the-money, treasury method basis).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44" w:lineRule="exact"/>
        <w:rPr>
          <w:sz w:val="20"/>
          <w:szCs w:val="20"/>
          <w:color w:val="auto"/>
        </w:rPr>
      </w:pPr>
    </w:p>
    <w:p>
      <w:pPr>
        <w:jc w:val="both"/>
        <w:ind w:left="400"/>
        <w:spacing w:after="0" w:line="263" w:lineRule="auto"/>
        <w:rPr>
          <w:sz w:val="20"/>
          <w:szCs w:val="20"/>
          <w:color w:val="auto"/>
        </w:rPr>
      </w:pPr>
      <w:r>
        <w:rPr>
          <w:rFonts w:ascii="Arial" w:cs="Arial" w:eastAsia="Arial" w:hAnsi="Arial"/>
          <w:sz w:val="18"/>
          <w:szCs w:val="18"/>
          <w:color w:val="auto"/>
        </w:rPr>
        <w:t>The accompanying unaudited condensed interim consolidated financial statements of the Company have been prepared in accordance with accounting principles generally accepted in the United States (“U.S. GAAP” or “GAAP”) for interim financial information and the rules and regulations of the Securities and Exchange Commission (the “SEC”).</w:t>
      </w:r>
    </w:p>
    <w:p>
      <w:pPr>
        <w:spacing w:after="0" w:line="116" w:lineRule="exact"/>
        <w:rPr>
          <w:sz w:val="20"/>
          <w:szCs w:val="20"/>
          <w:color w:val="auto"/>
        </w:rPr>
      </w:pPr>
    </w:p>
    <w:p>
      <w:pPr>
        <w:jc w:val="both"/>
        <w:ind w:left="400"/>
        <w:spacing w:after="0" w:line="293" w:lineRule="auto"/>
        <w:rPr>
          <w:sz w:val="20"/>
          <w:szCs w:val="20"/>
          <w:color w:val="auto"/>
        </w:rPr>
      </w:pPr>
      <w:r>
        <w:rPr>
          <w:rFonts w:ascii="Arial" w:cs="Arial" w:eastAsia="Arial" w:hAnsi="Arial"/>
          <w:sz w:val="16"/>
          <w:szCs w:val="16"/>
          <w:color w:val="auto"/>
        </w:rPr>
        <w:t>The accompanying unaudited condensed interim consolidated financial statements contain all normal and recurring adjustments necessary to state fairly the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three months ended March 31, 2022, are not necessarily indicative of the results that may be expected for the current year ending December 31, 2022. The financial data presented herein should be read in conjunction with the audited consolidated financial statements and accompanying notes as of and for the years ended December 31, 2021, and 2020 (“2021 audited consolidated financial statements”).</w:t>
      </w:r>
    </w:p>
    <w:p>
      <w:pPr>
        <w:spacing w:after="0" w:line="97" w:lineRule="exact"/>
        <w:rPr>
          <w:sz w:val="20"/>
          <w:szCs w:val="20"/>
          <w:color w:val="auto"/>
        </w:rPr>
      </w:pPr>
    </w:p>
    <w:p>
      <w:pPr>
        <w:jc w:val="both"/>
        <w:ind w:left="400"/>
        <w:spacing w:after="0" w:line="286" w:lineRule="auto"/>
        <w:rPr>
          <w:sz w:val="20"/>
          <w:szCs w:val="20"/>
          <w:color w:val="auto"/>
        </w:rPr>
      </w:pPr>
      <w:r>
        <w:rPr>
          <w:rFonts w:ascii="Arial" w:cs="Arial" w:eastAsia="Arial" w:hAnsi="Arial"/>
          <w:sz w:val="17"/>
          <w:szCs w:val="17"/>
          <w:color w:val="auto"/>
        </w:rPr>
        <w:t>The preparation of these unaudited condensed interim consolidated financial statements in conformity with U.S. GAAP requires management to make estimates and assumptions that affect the reported amounts of assets and liabilities as of the date of the financial statements, and the reported amounts of revenues and expenses during the reporting periods. Actual results could differ materially from those estimates.</w:t>
      </w:r>
    </w:p>
    <w:p>
      <w:pPr>
        <w:spacing w:after="0" w:line="84"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U.S. GAAP have been condensed or omitted pursuant to the rules and regulations of the SEC and the instructions to Form 10-Q.</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Significant Accounting Judgments, Estimates and Assumptions</w:t>
      </w:r>
    </w:p>
    <w:p>
      <w:pPr>
        <w:spacing w:after="0" w:line="158"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The Company’s significant accounting policies are described in Note 2 to the Company’s consolidated financial statements included in the Annual Report on Form 10-K for the fiscal year ended December 31, 2021, filed with this Securities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0"/>
          <w:szCs w:val="20"/>
          <w:color w:val="auto"/>
        </w:rPr>
      </w:pPr>
    </w:p>
    <w:p>
      <w:pPr>
        <w:ind w:right="4440"/>
        <w:spacing w:after="0" w:line="250" w:lineRule="auto"/>
        <w:rPr>
          <w:sz w:val="20"/>
          <w:szCs w:val="20"/>
          <w:color w:val="auto"/>
        </w:rPr>
      </w:pPr>
      <w:r>
        <w:rPr>
          <w:rFonts w:ascii="Arial" w:cs="Arial" w:eastAsia="Arial" w:hAnsi="Arial"/>
          <w:sz w:val="18"/>
          <w:szCs w:val="18"/>
          <w:color w:val="auto"/>
        </w:rPr>
        <w:t>NOTES TO THE CONDENSED INTERIM CONSOLIDATED FINANCIAL STATEMENTS FOR THE THREE MONTHS ENDED MARCH 31 2022 AND 2021 (Expressed in thousands of U.S. dollars, except for share and per share amounts)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3" w:lineRule="exact"/>
        <w:rPr>
          <w:sz w:val="20"/>
          <w:szCs w:val="20"/>
          <w:color w:val="auto"/>
        </w:rPr>
      </w:pPr>
    </w:p>
    <w:p>
      <w:pPr>
        <w:jc w:val="both"/>
        <w:ind w:left="400" w:right="20"/>
        <w:spacing w:after="0" w:line="277" w:lineRule="auto"/>
        <w:rPr>
          <w:sz w:val="20"/>
          <w:szCs w:val="20"/>
          <w:color w:val="auto"/>
        </w:rPr>
      </w:pPr>
      <w:r>
        <w:rPr>
          <w:rFonts w:ascii="Arial" w:cs="Arial" w:eastAsia="Arial" w:hAnsi="Arial"/>
          <w:sz w:val="18"/>
          <w:szCs w:val="18"/>
          <w:color w:val="auto"/>
        </w:rPr>
        <w:t>Exchange Commission, or SEC, on March 31, 2022 (the "2021 Form 10-K"). There have been no material changes to the Company’s significant accounting policies.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ind w:left="400"/>
              <w:spacing w:after="0"/>
              <w:rPr>
                <w:sz w:val="20"/>
                <w:szCs w:val="20"/>
                <w:color w:val="auto"/>
              </w:rPr>
            </w:pPr>
            <w:r>
              <w:rPr>
                <w:rFonts w:ascii="Arial" w:cs="Arial" w:eastAsia="Arial" w:hAnsi="Arial"/>
                <w:sz w:val="18"/>
                <w:szCs w:val="18"/>
                <w:b w:val="1"/>
                <w:bCs w:val="1"/>
                <w:i w:val="1"/>
                <w:iCs w:val="1"/>
                <w:color w:val="auto"/>
              </w:rPr>
              <w:t>Revenue</w:t>
            </w: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51"/>
        </w:trPr>
        <w:tc>
          <w:tcPr>
            <w:tcW w:w="4500" w:type="dxa"/>
            <w:vAlign w:val="bottom"/>
          </w:tcPr>
          <w:p>
            <w:pPr>
              <w:ind w:left="400"/>
              <w:spacing w:after="0"/>
              <w:rPr>
                <w:sz w:val="20"/>
                <w:szCs w:val="20"/>
                <w:color w:val="auto"/>
              </w:rPr>
            </w:pPr>
            <w:r>
              <w:rPr>
                <w:rFonts w:ascii="Arial" w:cs="Arial" w:eastAsia="Arial" w:hAnsi="Arial"/>
                <w:sz w:val="18"/>
                <w:szCs w:val="18"/>
                <w:color w:val="auto"/>
                <w:w w:val="91"/>
              </w:rPr>
              <w:t>The Company’s revenues are disaggregated as follows:</w:t>
            </w: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78"/>
        </w:trPr>
        <w:tc>
          <w:tcPr>
            <w:tcW w:w="4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8"/>
                <w:szCs w:val="18"/>
                <w:b w:val="1"/>
                <w:bCs w:val="1"/>
                <w:color w:val="auto"/>
                <w:w w:val="94"/>
              </w:rPr>
              <w:t>Three months ended</w:t>
            </w:r>
          </w:p>
        </w:tc>
        <w:tc>
          <w:tcPr>
            <w:tcW w:w="2240" w:type="dxa"/>
            <w:vAlign w:val="bottom"/>
            <w:tcBorders>
              <w:bottom w:val="single" w:sz="8" w:color="auto"/>
            </w:tcBorders>
          </w:tcPr>
          <w:p>
            <w:pPr>
              <w:spacing w:after="0"/>
              <w:rPr>
                <w:sz w:val="24"/>
                <w:szCs w:val="24"/>
                <w:color w:val="auto"/>
              </w:rPr>
            </w:pPr>
          </w:p>
        </w:tc>
      </w:tr>
      <w:tr>
        <w:trPr>
          <w:trHeight w:val="223"/>
        </w:trPr>
        <w:tc>
          <w:tcPr>
            <w:tcW w:w="45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10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March 31, 2022</w:t>
            </w: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March 31, 2021</w:t>
            </w: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Dispensary</w:t>
            </w:r>
          </w:p>
        </w:tc>
        <w:tc>
          <w:tcPr>
            <w:tcW w:w="140" w:type="dxa"/>
            <w:vAlign w:val="bottom"/>
            <w:shd w:val="clear" w:color="auto" w:fill="CFF0FC"/>
          </w:tcPr>
          <w:p>
            <w:pPr>
              <w:spacing w:after="0"/>
              <w:rPr>
                <w:sz w:val="19"/>
                <w:szCs w:val="19"/>
                <w:color w:val="auto"/>
              </w:rPr>
            </w:pPr>
          </w:p>
        </w:tc>
        <w:tc>
          <w:tcPr>
            <w:tcW w:w="2100" w:type="dxa"/>
            <w:vAlign w:val="bottom"/>
            <w:shd w:val="clear" w:color="auto" w:fill="CFF0FC"/>
          </w:tcPr>
          <w:p>
            <w:pPr>
              <w:jc w:val="right"/>
              <w:ind w:right="194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105,816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49"/>
              <w:spacing w:after="0"/>
              <w:rPr>
                <w:sz w:val="20"/>
                <w:szCs w:val="20"/>
                <w:color w:val="auto"/>
              </w:rPr>
            </w:pPr>
            <w:r>
              <w:rPr>
                <w:rFonts w:ascii="Arial" w:cs="Arial" w:eastAsia="Arial" w:hAnsi="Arial"/>
                <w:sz w:val="10"/>
                <w:szCs w:val="10"/>
                <w:color w:val="auto"/>
                <w:w w:val="71"/>
              </w:rPr>
              <w:t>$</w:t>
            </w:r>
          </w:p>
        </w:tc>
        <w:tc>
          <w:tcPr>
            <w:tcW w:w="2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73,957</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Cultivation and wholesale</w:t>
            </w:r>
          </w:p>
        </w:tc>
        <w:tc>
          <w:tcPr>
            <w:tcW w:w="1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17,123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12,079</w:t>
            </w: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FF0FC"/>
          </w:tcPr>
          <w:p>
            <w:pPr>
              <w:spacing w:after="0"/>
              <w:rPr>
                <w:sz w:val="19"/>
                <w:szCs w:val="19"/>
                <w:color w:val="auto"/>
              </w:rPr>
            </w:pPr>
          </w:p>
        </w:tc>
        <w:tc>
          <w:tcPr>
            <w:tcW w:w="2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2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r>
      <w:tr>
        <w:trPr>
          <w:trHeight w:val="223"/>
        </w:trPr>
        <w:tc>
          <w:tcPr>
            <w:tcW w:w="4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Borders>
              <w:bottom w:val="single" w:sz="8" w:color="auto"/>
            </w:tcBorders>
          </w:tcPr>
          <w:p>
            <w:pPr>
              <w:jc w:val="right"/>
              <w:ind w:right="1941"/>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123,087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49"/>
              <w:spacing w:after="0"/>
              <w:rPr>
                <w:sz w:val="20"/>
                <w:szCs w:val="20"/>
                <w:color w:val="auto"/>
              </w:rPr>
            </w:pPr>
            <w:r>
              <w:rPr>
                <w:rFonts w:ascii="Arial" w:cs="Arial" w:eastAsia="Arial" w:hAnsi="Arial"/>
                <w:sz w:val="10"/>
                <w:szCs w:val="10"/>
                <w:color w:val="auto"/>
                <w:w w:val="71"/>
              </w:rPr>
              <w:t>$</w:t>
            </w:r>
          </w:p>
        </w:tc>
        <w:tc>
          <w:tcPr>
            <w:tcW w:w="2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86,095</w:t>
            </w:r>
          </w:p>
        </w:tc>
      </w:tr>
      <w:tr>
        <w:trPr>
          <w:trHeight w:val="20"/>
        </w:trPr>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left="400"/>
        <w:spacing w:after="0" w:line="263" w:lineRule="auto"/>
        <w:rPr>
          <w:sz w:val="20"/>
          <w:szCs w:val="20"/>
          <w:color w:val="auto"/>
        </w:rPr>
      </w:pPr>
      <w:r>
        <w:rPr>
          <w:rFonts w:ascii="Arial" w:cs="Arial" w:eastAsia="Arial" w:hAnsi="Arial"/>
          <w:sz w:val="18"/>
          <w:szCs w:val="18"/>
          <w:color w:val="auto"/>
        </w:rPr>
        <w:t>During the three months ended March 31, 2022 and 2021, the Company netted discounts of $20,520 and $9,358 against the revenues. Discounts are provided by the Company during promotional days or weekends. Discounts are also provided to employees, seniors and other categories of customers and may include price reductions and coupons.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jc w:val="both"/>
        <w:ind w:left="400"/>
        <w:spacing w:after="0" w:line="271" w:lineRule="auto"/>
        <w:rPr>
          <w:sz w:val="20"/>
          <w:szCs w:val="20"/>
          <w:color w:val="auto"/>
        </w:rPr>
      </w:pPr>
      <w:r>
        <w:rPr>
          <w:rFonts w:ascii="Arial" w:cs="Arial" w:eastAsia="Arial" w:hAnsi="Arial"/>
          <w:sz w:val="17"/>
          <w:szCs w:val="17"/>
          <w:color w:val="auto"/>
        </w:rPr>
        <w:t>The Company calculated its actual effective tax rate for the interim period and applied that rate to the interim period results. In accordance with ASC 740-270, at the end of each interim period the Company is required to determine its best estimate of its annual effective tax rate and apply that rate in providing income taxes on an interim period. However, in certain circumstances when the Company concludes it is unable to reliably estimate the annual effective tax rate for the year, the actual effective tax rate for the interim period may be used. The Company believes that, at this time, the use of the actual effective tax rate is more appropriate than the estimated annual effective tax rate method as the estimated annual effective tax rate method is not reliable due the high degree of uncertainty in estimating annual pre-tax income due to the growth stage of the business, the correlation of SG&amp;A expenses to revenue that are permanently disallowed via Section 280E of the Internal Revenue Code, and the timing of the completion of the Cresco transaction.</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Modification of debt</w:t>
      </w:r>
    </w:p>
    <w:p>
      <w:pPr>
        <w:spacing w:after="0" w:line="158"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 xml:space="preserve">The Company accounts for modifications of debt arrangements in accordance with ASC 470-50 </w:t>
      </w:r>
      <w:r>
        <w:rPr>
          <w:rFonts w:ascii="Arial" w:cs="Arial" w:eastAsia="Arial" w:hAnsi="Arial"/>
          <w:sz w:val="18"/>
          <w:szCs w:val="18"/>
          <w:i w:val="1"/>
          <w:iCs w:val="1"/>
          <w:color w:val="auto"/>
        </w:rPr>
        <w:t>Modifications and Extinguishments</w:t>
      </w:r>
      <w:r>
        <w:rPr>
          <w:rFonts w:ascii="Arial" w:cs="Arial" w:eastAsia="Arial" w:hAnsi="Arial"/>
          <w:sz w:val="18"/>
          <w:szCs w:val="18"/>
          <w:color w:val="auto"/>
        </w:rPr>
        <w:t xml:space="preserve"> (“ASC 470-50”). As such, the Company continues to amortize any remaining unamortized debt discount as of debt modification date over the term of the amended debt. The Company expenses any fees paid to third parties and capitalizes creditor fees associated with the modification as a debt discount and amortizes them over the term of the amended debt.</w:t>
      </w:r>
    </w:p>
    <w:p>
      <w:pPr>
        <w:spacing w:after="0" w:line="102"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61"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Details of the Company’s inventory are shown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March 31, 2022</w:t>
            </w:r>
          </w:p>
        </w:tc>
        <w:tc>
          <w:tcPr>
            <w:tcW w:w="1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December 31, 2021</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Accessories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668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815</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Work-in-process - cannabis in cures and final vault</w:t>
            </w:r>
          </w:p>
        </w:tc>
        <w:tc>
          <w:tcPr>
            <w:tcW w:w="24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61,132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52,519</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 - dried cannabis, concentrate and edible products</w:t>
            </w:r>
          </w:p>
        </w:tc>
        <w:tc>
          <w:tcPr>
            <w:tcW w:w="2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47,463</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41,233</w:t>
            </w:r>
          </w:p>
        </w:tc>
      </w:tr>
      <w:tr>
        <w:trPr>
          <w:trHeight w:val="224"/>
        </w:trPr>
        <w:tc>
          <w:tcPr>
            <w:tcW w:w="6520" w:type="dxa"/>
            <w:vAlign w:val="bottom"/>
          </w:tcPr>
          <w:p>
            <w:pPr>
              <w:spacing w:after="0"/>
              <w:rPr>
                <w:sz w:val="20"/>
                <w:szCs w:val="20"/>
                <w:color w:val="auto"/>
              </w:rPr>
            </w:pPr>
            <w:r>
              <w:rPr>
                <w:rFonts w:ascii="Arial" w:cs="Arial" w:eastAsia="Arial" w:hAnsi="Arial"/>
                <w:sz w:val="18"/>
                <w:szCs w:val="18"/>
                <w:b w:val="1"/>
                <w:bCs w:val="1"/>
                <w:color w:val="auto"/>
              </w:rPr>
              <w:t>Total inventory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109,263</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94,567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0</wp:posOffset>
            </wp:positionV>
            <wp:extent cx="27000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5"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The inventory values are net of inventory write-downs primarily as a result obsolescence or unmarketability is charged to cost of sales. There were not material write-downs during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-302260</wp:posOffset>
            </wp:positionV>
            <wp:extent cx="27000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0"/>
          <w:szCs w:val="20"/>
          <w:color w:val="auto"/>
        </w:rPr>
      </w:pPr>
    </w:p>
    <w:p>
      <w:pPr>
        <w:ind w:right="4440"/>
        <w:spacing w:after="0" w:line="250" w:lineRule="auto"/>
        <w:rPr>
          <w:sz w:val="20"/>
          <w:szCs w:val="20"/>
          <w:color w:val="auto"/>
        </w:rPr>
      </w:pPr>
      <w:r>
        <w:rPr>
          <w:rFonts w:ascii="Arial" w:cs="Arial" w:eastAsia="Arial" w:hAnsi="Arial"/>
          <w:sz w:val="18"/>
          <w:szCs w:val="18"/>
          <w:color w:val="auto"/>
        </w:rPr>
        <w:t>NOTES TO THE CONDENSED INTERIM CONSOLIDATED FINANCIAL STATEMENTS FOR THE THREE MONTHS ENDED MARCH 31 2022 AND 2021 (Expressed in thousands of U.S. dollars, except for share and per share amounts)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CURRENT AND LONG-TERM DEBT</w:t>
      </w:r>
    </w:p>
    <w:p>
      <w:pPr>
        <w:spacing w:after="0" w:line="161"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Current and long-term obligations, net, are shown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March 31, 2022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December 31, 2021</w:t>
            </w: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2026 Notes</w:t>
            </w:r>
          </w:p>
        </w:tc>
        <w:tc>
          <w:tcPr>
            <w:tcW w:w="16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185,000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Term debt</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38,215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69,965</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2025 Convertible Notes</w:t>
            </w:r>
          </w:p>
        </w:tc>
        <w:tc>
          <w:tcPr>
            <w:tcW w:w="1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74,500</w:t>
            </w:r>
          </w:p>
        </w:tc>
        <w:tc>
          <w:tcPr>
            <w:tcW w:w="10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Mortgage Note</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19,903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2023 Convertible Notes</w:t>
            </w:r>
          </w:p>
        </w:tc>
        <w:tc>
          <w:tcPr>
            <w:tcW w:w="1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5,600</w:t>
            </w:r>
          </w:p>
        </w:tc>
        <w:tc>
          <w:tcPr>
            <w:tcW w:w="10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Acquisition related real estate notes</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Acquisition related promissory notes</w:t>
            </w:r>
          </w:p>
        </w:tc>
        <w:tc>
          <w:tcPr>
            <w:tcW w:w="1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4,875</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related term debt</w:t>
            </w:r>
          </w:p>
        </w:tc>
        <w:tc>
          <w:tcPr>
            <w:tcW w:w="16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Borders>
              <w:bottom w:val="single" w:sz="8" w:color="CFF0FC"/>
            </w:tcBorders>
          </w:tcPr>
          <w:p>
            <w:pPr>
              <w:spacing w:after="0"/>
              <w:rPr>
                <w:sz w:val="19"/>
                <w:szCs w:val="19"/>
                <w:color w:val="auto"/>
              </w:rPr>
            </w:pPr>
          </w:p>
        </w:tc>
      </w:tr>
      <w:tr>
        <w:trPr>
          <w:trHeight w:val="223"/>
        </w:trPr>
        <w:tc>
          <w:tcPr>
            <w:tcW w:w="43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338,007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185,254</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(16,524)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(19,301)</w:t>
            </w: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Unamortized deferred financing costs</w:t>
            </w:r>
          </w:p>
        </w:tc>
        <w:tc>
          <w:tcPr>
            <w:tcW w:w="1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(13,539)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(5,379)</w:t>
            </w:r>
          </w:p>
        </w:tc>
      </w:tr>
      <w:tr>
        <w:trPr>
          <w:trHeight w:val="229"/>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Unamortized debt premium</w:t>
            </w:r>
          </w:p>
        </w:tc>
        <w:tc>
          <w:tcPr>
            <w:tcW w:w="16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FF0FC"/>
            </w:tcBorders>
          </w:tcPr>
          <w:p>
            <w:pPr>
              <w:spacing w:after="0"/>
              <w:rPr>
                <w:sz w:val="19"/>
                <w:szCs w:val="19"/>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1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308,084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160,901</w:t>
            </w:r>
          </w:p>
        </w:tc>
        <w:tc>
          <w:tcPr>
            <w:tcW w:w="10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Less current portion, net</w:t>
            </w:r>
            <w:r>
              <w:rPr>
                <w:rFonts w:ascii="Arial" w:cs="Arial" w:eastAsia="Arial" w:hAnsi="Arial"/>
                <w:sz w:val="15"/>
                <w:szCs w:val="15"/>
                <w:color w:val="auto"/>
              </w:rPr>
              <w:t>*</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(1,884)</w:t>
            </w:r>
          </w:p>
        </w:tc>
      </w:tr>
      <w:tr>
        <w:trPr>
          <w:trHeight w:val="223"/>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portion</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306,387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0"/>
        <w:spacing w:after="0" w:line="274" w:lineRule="auto"/>
        <w:rPr>
          <w:sz w:val="20"/>
          <w:szCs w:val="20"/>
          <w:color w:val="auto"/>
        </w:rPr>
      </w:pPr>
      <w:r>
        <w:rPr>
          <w:rFonts w:ascii="Arial" w:cs="Arial" w:eastAsia="Arial" w:hAnsi="Arial"/>
          <w:sz w:val="17"/>
          <w:szCs w:val="17"/>
          <w:color w:val="auto"/>
        </w:rPr>
        <w:t>*The current portion of the debt includes scheduled payments on the mortgage note, acquisition related promissory notes and acquisition related notes payable, net of corresponding portion of the unamortized debt discount, and unamortized deferred financing costs.</w:t>
      </w:r>
    </w:p>
    <w:p>
      <w:pPr>
        <w:jc w:val="both"/>
        <w:ind w:left="400"/>
        <w:spacing w:after="0" w:line="260" w:lineRule="auto"/>
        <w:rPr>
          <w:sz w:val="20"/>
          <w:szCs w:val="20"/>
          <w:color w:val="auto"/>
        </w:rPr>
      </w:pPr>
      <w:r>
        <w:rPr>
          <w:rFonts w:ascii="Arial" w:cs="Arial" w:eastAsia="Arial" w:hAnsi="Arial"/>
          <w:sz w:val="18"/>
          <w:szCs w:val="18"/>
          <w:color w:val="auto"/>
        </w:rPr>
        <w:t>The Company was in compliance with all financial covenants and was not in default of any provisions under any of its debt arrangements as of March 31, 2022.</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Private Placement</w:t>
      </w:r>
    </w:p>
    <w:p>
      <w:pPr>
        <w:spacing w:after="0" w:line="23" w:lineRule="exact"/>
        <w:rPr>
          <w:sz w:val="20"/>
          <w:szCs w:val="20"/>
          <w:color w:val="auto"/>
        </w:rPr>
      </w:pPr>
    </w:p>
    <w:p>
      <w:pPr>
        <w:jc w:val="both"/>
        <w:ind w:left="400"/>
        <w:spacing w:after="0" w:line="288" w:lineRule="auto"/>
        <w:rPr>
          <w:sz w:val="20"/>
          <w:szCs w:val="20"/>
          <w:color w:val="auto"/>
        </w:rPr>
      </w:pPr>
      <w:r>
        <w:rPr>
          <w:rFonts w:ascii="Arial" w:cs="Arial" w:eastAsia="Arial" w:hAnsi="Arial"/>
          <w:sz w:val="16"/>
          <w:szCs w:val="16"/>
          <w:color w:val="auto"/>
        </w:rPr>
        <w:t>On February 3, 2022, Columbia Care closed a private placement of $185,000 aggregate principal amount of 9.50% senior-secured first-lien notes due 2026 (the “2026 Notes”) and received aggregate gross proceeds of $153,250. The 2026 Notes are senior secured obligations of the Company and were issued at 100.0% of face value. The 2026 Notes accrue interest in arrears which is payable semi-annually and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exchanged $31,750 of the Company’s existing 13.0% Term Debt, pursuant to private agreements in accordance with the trust indenture, for an equivalent amount of 2026 Notes plus accrued but unpaid interest and any negotiated premium thereon.</w:t>
      </w:r>
    </w:p>
    <w:p>
      <w:pPr>
        <w:spacing w:after="0" w:line="87" w:lineRule="exact"/>
        <w:rPr>
          <w:sz w:val="20"/>
          <w:szCs w:val="20"/>
          <w:color w:val="auto"/>
        </w:rPr>
      </w:pPr>
    </w:p>
    <w:p>
      <w:pPr>
        <w:jc w:val="both"/>
        <w:ind w:left="400"/>
        <w:spacing w:after="0" w:line="296" w:lineRule="auto"/>
        <w:rPr>
          <w:sz w:val="20"/>
          <w:szCs w:val="20"/>
          <w:color w:val="auto"/>
        </w:rPr>
      </w:pPr>
      <w:r>
        <w:rPr>
          <w:rFonts w:ascii="Arial" w:cs="Arial" w:eastAsia="Arial" w:hAnsi="Arial"/>
          <w:sz w:val="16"/>
          <w:szCs w:val="16"/>
          <w:color w:val="auto"/>
        </w:rPr>
        <w:t>The premium and paid interest were paid out of funds raised from February 2022 Private Placement. The Company accounted for the exchange of $31,750 aggregate principal amount of the existing Term Debt as a debt modification in accordance with ASC 470-50. The total unamortized debt and debt issuance costs of $2,153 related to modified portion of the Term Debt will be amortized over the term of the 2026 Notes using the effective interest method. The Company incurred $7,189 in creditor fees in connection with the modified Term Debt and 2026 Notes and $301 in third-party legal fees related to 2026 Notes which were capitalized and will be amortized over the term of the 2026 Notes using effective interest rate.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0"/>
          <w:szCs w:val="20"/>
          <w:color w:val="auto"/>
        </w:rPr>
      </w:pPr>
    </w:p>
    <w:p>
      <w:pPr>
        <w:ind w:right="4440"/>
        <w:spacing w:after="0" w:line="250" w:lineRule="auto"/>
        <w:rPr>
          <w:sz w:val="20"/>
          <w:szCs w:val="20"/>
          <w:color w:val="auto"/>
        </w:rPr>
      </w:pPr>
      <w:r>
        <w:rPr>
          <w:rFonts w:ascii="Arial" w:cs="Arial" w:eastAsia="Arial" w:hAnsi="Arial"/>
          <w:sz w:val="18"/>
          <w:szCs w:val="18"/>
          <w:color w:val="auto"/>
        </w:rPr>
        <w:t>NOTES TO THE CONDENSED INTERIM CONSOLIDATED FINANCIAL STATEMENTS FOR THE THREE MONTHS ENDED MARCH 31 2022 AND 2021 (Expressed in thousands of U.S. dollars, except for share and per share amounts)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Total interest and amortization expense on the Company’s debt obligations during the three months ended March 31, 2022 and 2021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4220" w:type="dxa"/>
            <w:vAlign w:val="bottom"/>
            <w:tcBorders>
              <w:bottom w:val="single" w:sz="8" w:color="auto"/>
            </w:tcBorders>
            <w:gridSpan w:val="5"/>
          </w:tcPr>
          <w:p>
            <w:pPr>
              <w:jc w:val="right"/>
              <w:ind w:right="1016"/>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Borders>
              <w:bottom w:val="single" w:sz="8" w:color="auto"/>
            </w:tcBorders>
          </w:tcPr>
          <w:p>
            <w:pPr>
              <w:spacing w:after="0"/>
              <w:rPr>
                <w:sz w:val="20"/>
                <w:szCs w:val="20"/>
                <w:color w:val="auto"/>
              </w:rPr>
            </w:pPr>
          </w:p>
        </w:tc>
      </w:tr>
      <w:tr>
        <w:trPr>
          <w:trHeight w:val="237"/>
        </w:trPr>
        <w:tc>
          <w:tcPr>
            <w:tcW w:w="5980" w:type="dxa"/>
            <w:vAlign w:val="bottom"/>
            <w:tcBorders>
              <w:bottom w:val="single" w:sz="8" w:color="CFF0FC"/>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2022</w:t>
            </w: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2021</w:t>
            </w:r>
          </w:p>
        </w:tc>
        <w:tc>
          <w:tcPr>
            <w:tcW w:w="580" w:type="dxa"/>
            <w:vAlign w:val="bottom"/>
            <w:tcBorders>
              <w:bottom w:val="single" w:sz="8" w:color="auto"/>
            </w:tcBorders>
          </w:tcPr>
          <w:p>
            <w:pPr>
              <w:spacing w:after="0"/>
              <w:rPr>
                <w:sz w:val="20"/>
                <w:szCs w:val="20"/>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700" w:type="dxa"/>
            <w:vAlign w:val="bottom"/>
            <w:shd w:val="clear" w:color="auto" w:fill="CFF0FC"/>
          </w:tcPr>
          <w:p>
            <w:pPr>
              <w:jc w:val="right"/>
              <w:ind w:right="15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9,426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1576"/>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7"/>
              </w:rPr>
              <w:t>2,987</w:t>
            </w: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170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1,296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1,063</w:t>
            </w: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premium</w:t>
            </w:r>
          </w:p>
        </w:tc>
        <w:tc>
          <w:tcPr>
            <w:tcW w:w="17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170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248</w:t>
            </w: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Other interest (expense) income, net</w:t>
            </w:r>
          </w:p>
        </w:tc>
        <w:tc>
          <w:tcPr>
            <w:tcW w:w="17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interest expense</w:t>
            </w:r>
          </w:p>
        </w:tc>
        <w:tc>
          <w:tcPr>
            <w:tcW w:w="170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11,244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576"/>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3,856</w:t>
            </w:r>
          </w:p>
        </w:tc>
      </w:tr>
      <w:tr>
        <w:trPr>
          <w:trHeight w:val="20"/>
        </w:trPr>
        <w:tc>
          <w:tcPr>
            <w:tcW w:w="59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weighted average interest rate on the Company’s indebtedness was 8.5%.</w:t>
      </w:r>
    </w:p>
    <w:p>
      <w:pPr>
        <w:spacing w:after="0" w:line="154"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61"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Futurevision Holdings, Inc., Futurevision 2020, LLC and Medicine Man Longmont, LLC</w:t>
      </w:r>
    </w:p>
    <w:p>
      <w:pPr>
        <w:spacing w:after="0" w:line="157" w:lineRule="exact"/>
        <w:rPr>
          <w:rFonts w:ascii="Arial" w:cs="Arial" w:eastAsia="Arial" w:hAnsi="Arial"/>
          <w:sz w:val="18"/>
          <w:szCs w:val="18"/>
          <w:b w:val="1"/>
          <w:bCs w:val="1"/>
          <w:color w:val="auto"/>
        </w:rPr>
      </w:pPr>
    </w:p>
    <w:p>
      <w:pPr>
        <w:jc w:val="both"/>
        <w:ind w:left="40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On November 1, 2021, the Company acquired (the “Medicine Man Transaction”) a 100% ownership interest in Futurevision Holdings, Inc. and Futurevision 2020, LLC (collectively, “Medicine Man”), through the Agreement and Plan of Merger (the “Merger Agreement”). Concurrently with the Merger Agreement, the Company was granted an option (the “Option”) to purchase Medicine Man Longmont, LLC (“Medicine Man Longmont”). The Option is exercisable by the Company after January 1, 2022, but cannot be exercised until the Company has sold its current TGS Longmont location. The Company is in process of finding a buyer for its current TGS Longmont location, and expects to close on its sale, and then exercise its option to purchase Medicine Man Longmont during the second quarter of 2022. The Company has recorded the Option as an intangible asset as of the November 1, 2021, closing date, at its estimated fair value of $5,899, which represents the ultimate purchase price associated with the underlying property, since the time period to exercise the Option is short and given the certainty expressed by management to exercise the Option. As of March 31, 2022 TGS Longmont is reflected within assets held for sale on the Company’s consolidated balance sheet Medicine Man was formed in 2010 for the purpose of selling medicinal and recreational cannabis products in the state of Colorado. Medicine Man owns and operates vertically integrated cultivation facilities, manufacturing facilities and retail dispensaries in the state of Colorado. The Company executed the Medicine Man Transaction in order to continue to grow revenues; expand its cultivation facilities, manufacturing facilities and dispensaries; and enter, or expand in the Colorado market.</w:t>
      </w:r>
    </w:p>
    <w:p>
      <w:pPr>
        <w:spacing w:after="0" w:line="105" w:lineRule="exact"/>
        <w:rPr>
          <w:rFonts w:ascii="Arial" w:cs="Arial" w:eastAsia="Arial" w:hAnsi="Arial"/>
          <w:sz w:val="18"/>
          <w:szCs w:val="18"/>
          <w:b w:val="1"/>
          <w:bCs w:val="1"/>
          <w:color w:val="auto"/>
        </w:rPr>
      </w:pPr>
    </w:p>
    <w:p>
      <w:pPr>
        <w:ind w:lef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the preliminary fair value of total consideration transferred and the fair value of each major class of consideration for Medicine Man: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0"/>
              </w:rPr>
              <w:t>Consideration transferred</w:t>
            </w:r>
          </w:p>
        </w:tc>
        <w:tc>
          <w:tcPr>
            <w:tcW w:w="66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Cash consideration</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7,240</w:t>
            </w:r>
          </w:p>
        </w:tc>
      </w:tr>
      <w:tr>
        <w:trPr>
          <w:trHeight w:val="230"/>
        </w:trPr>
        <w:tc>
          <w:tcPr>
            <w:tcW w:w="8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Closing shares</w:t>
            </w:r>
          </w:p>
        </w:tc>
        <w:tc>
          <w:tcPr>
            <w:tcW w:w="8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23,955</w:t>
            </w:r>
          </w:p>
        </w:tc>
      </w:tr>
      <w:tr>
        <w:trPr>
          <w:trHeight w:val="229"/>
        </w:trPr>
        <w:tc>
          <w:tcPr>
            <w:tcW w:w="8620" w:type="dxa"/>
            <w:vAlign w:val="bottom"/>
            <w:gridSpan w:val="2"/>
          </w:tcPr>
          <w:p>
            <w:pPr>
              <w:spacing w:after="0"/>
              <w:rPr>
                <w:sz w:val="20"/>
                <w:szCs w:val="20"/>
                <w:color w:val="auto"/>
              </w:rPr>
            </w:pPr>
            <w:r>
              <w:rPr>
                <w:rFonts w:ascii="Arial" w:cs="Arial" w:eastAsia="Arial" w:hAnsi="Arial"/>
                <w:sz w:val="18"/>
                <w:szCs w:val="18"/>
                <w:color w:val="auto"/>
              </w:rPr>
              <w:t>Milestone shares after closing (contingent consideration)</w:t>
            </w:r>
          </w:p>
        </w:tc>
        <w:tc>
          <w:tcPr>
            <w:tcW w:w="8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3,664</w:t>
            </w:r>
          </w:p>
        </w:tc>
      </w:tr>
      <w:tr>
        <w:trPr>
          <w:trHeight w:val="230"/>
        </w:trPr>
        <w:tc>
          <w:tcPr>
            <w:tcW w:w="8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Purchase option obligation</w:t>
            </w:r>
          </w:p>
        </w:tc>
        <w:tc>
          <w:tcPr>
            <w:tcW w:w="8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5,899</w:t>
            </w:r>
          </w:p>
        </w:tc>
      </w:tr>
      <w:tr>
        <w:trPr>
          <w:trHeight w:val="223"/>
        </w:trPr>
        <w:tc>
          <w:tcPr>
            <w:tcW w:w="8620" w:type="dxa"/>
            <w:vAlign w:val="bottom"/>
            <w:gridSpan w:val="2"/>
          </w:tcPr>
          <w:p>
            <w:pPr>
              <w:ind w:left="260"/>
              <w:spacing w:after="0"/>
              <w:rPr>
                <w:sz w:val="20"/>
                <w:szCs w:val="20"/>
                <w:color w:val="auto"/>
              </w:rPr>
            </w:pPr>
            <w:r>
              <w:rPr>
                <w:rFonts w:ascii="Arial" w:cs="Arial" w:eastAsia="Arial" w:hAnsi="Arial"/>
                <w:sz w:val="18"/>
                <w:szCs w:val="18"/>
                <w:color w:val="auto"/>
              </w:rPr>
              <w:t>Total unadjusted purchase price</w:t>
            </w:r>
          </w:p>
        </w:tc>
        <w:tc>
          <w:tcPr>
            <w:tcW w:w="8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40,758</w:t>
            </w:r>
          </w:p>
        </w:tc>
      </w:tr>
      <w:tr>
        <w:trPr>
          <w:trHeight w:val="230"/>
        </w:trPr>
        <w:tc>
          <w:tcPr>
            <w:tcW w:w="8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Working capital adjustment</w:t>
            </w:r>
          </w:p>
        </w:tc>
        <w:tc>
          <w:tcPr>
            <w:tcW w:w="8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127</w:t>
            </w:r>
          </w:p>
        </w:tc>
      </w:tr>
      <w:tr>
        <w:trPr>
          <w:trHeight w:val="223"/>
        </w:trPr>
        <w:tc>
          <w:tcPr>
            <w:tcW w:w="86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adjusted purchase price</w:t>
            </w: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40,885</w:t>
            </w:r>
          </w:p>
        </w:tc>
      </w:tr>
      <w:tr>
        <w:trPr>
          <w:trHeight w:val="223"/>
        </w:trPr>
        <w:tc>
          <w:tcPr>
            <w:tcW w:w="8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Cash and cash equivalents acquired</w:t>
            </w:r>
          </w:p>
        </w:tc>
        <w:tc>
          <w:tcPr>
            <w:tcW w:w="8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w:t>
            </w:r>
          </w:p>
        </w:tc>
      </w:tr>
      <w:tr>
        <w:trPr>
          <w:trHeight w:val="223"/>
        </w:trPr>
        <w:tc>
          <w:tcPr>
            <w:tcW w:w="8620" w:type="dxa"/>
            <w:vAlign w:val="bottom"/>
            <w:gridSpan w:val="2"/>
          </w:tcPr>
          <w:p>
            <w:pPr>
              <w:ind w:left="260"/>
              <w:spacing w:after="0"/>
              <w:rPr>
                <w:sz w:val="20"/>
                <w:szCs w:val="20"/>
                <w:color w:val="auto"/>
              </w:rPr>
            </w:pPr>
            <w:r>
              <w:rPr>
                <w:rFonts w:ascii="Arial" w:cs="Arial" w:eastAsia="Arial" w:hAnsi="Arial"/>
                <w:sz w:val="18"/>
                <w:szCs w:val="18"/>
                <w:color w:val="auto"/>
              </w:rPr>
              <w:t>Total purchase price, net of cash and cash equivalents acquired</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39,635</w:t>
            </w:r>
          </w:p>
        </w:tc>
      </w:tr>
      <w:tr>
        <w:trPr>
          <w:trHeight w:val="20"/>
        </w:trPr>
        <w:tc>
          <w:tcPr>
            <w:tcW w:w="20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left="400"/>
        <w:spacing w:after="0" w:line="263" w:lineRule="auto"/>
        <w:rPr>
          <w:sz w:val="20"/>
          <w:szCs w:val="20"/>
          <w:color w:val="auto"/>
        </w:rPr>
      </w:pPr>
      <w:r>
        <w:rPr>
          <w:rFonts w:ascii="Arial" w:cs="Arial" w:eastAsia="Arial" w:hAnsi="Arial"/>
          <w:sz w:val="18"/>
          <w:szCs w:val="18"/>
          <w:color w:val="auto"/>
        </w:rPr>
        <w:t>Equity purchase consideration comprised 5,840,229 Common Shares of which 4,857,184 were issued during the year 2021. As per the terms of the Merger Agreement, the Company paid $836 in cash and issued 1,099,549 milestone shares in settlement of contingent consideration during April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0"/>
          <w:szCs w:val="20"/>
          <w:color w:val="auto"/>
        </w:rPr>
      </w:pPr>
    </w:p>
    <w:p>
      <w:pPr>
        <w:ind w:right="4440"/>
        <w:spacing w:after="0" w:line="250" w:lineRule="auto"/>
        <w:rPr>
          <w:sz w:val="20"/>
          <w:szCs w:val="20"/>
          <w:color w:val="auto"/>
        </w:rPr>
      </w:pPr>
      <w:r>
        <w:rPr>
          <w:rFonts w:ascii="Arial" w:cs="Arial" w:eastAsia="Arial" w:hAnsi="Arial"/>
          <w:sz w:val="18"/>
          <w:szCs w:val="18"/>
          <w:color w:val="auto"/>
        </w:rPr>
        <w:t>NOTES TO THE CONDENSED INTERIM CONSOLIDATED FINANCIAL STATEMENTS FOR THE THREE MONTHS ENDED MARCH 31 2022 AND 2021 (Expressed in thousands of U.S. dollars, except for share and per share amounts)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Recognized amounts of identifiable assets acquired, and liabilities assumed, less cash and cash equivalents acquired: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Purchase price allocation</w:t>
            </w: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30"/>
        </w:trPr>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 acquired:</w:t>
            </w:r>
          </w:p>
        </w:tc>
        <w:tc>
          <w:tcPr>
            <w:tcW w:w="670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760" w:type="dxa"/>
            <w:vAlign w:val="bottom"/>
            <w:tcBorders>
              <w:top w:val="single" w:sz="8" w:color="CFF0FC"/>
            </w:tcBorders>
          </w:tcPr>
          <w:p>
            <w:pPr>
              <w:spacing w:after="0"/>
              <w:rPr>
                <w:sz w:val="19"/>
                <w:szCs w:val="19"/>
                <w:color w:val="auto"/>
              </w:rPr>
            </w:pPr>
          </w:p>
        </w:tc>
        <w:tc>
          <w:tcPr>
            <w:tcW w:w="1360" w:type="dxa"/>
            <w:vAlign w:val="bottom"/>
            <w:tcBorders>
              <w:top w:val="single" w:sz="8" w:color="CFF0FC"/>
            </w:tcBorders>
          </w:tcPr>
          <w:p>
            <w:pPr>
              <w:spacing w:after="0"/>
              <w:rPr>
                <w:sz w:val="19"/>
                <w:szCs w:val="19"/>
                <w:color w:val="auto"/>
              </w:rPr>
            </w:pPr>
          </w:p>
        </w:tc>
      </w:tr>
      <w:tr>
        <w:trPr>
          <w:trHeight w:val="229"/>
        </w:trPr>
        <w:tc>
          <w:tcPr>
            <w:tcW w:w="8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780" w:type="dxa"/>
            <w:vAlign w:val="bottom"/>
            <w:gridSpan w:val="2"/>
            <w:shd w:val="clear" w:color="auto" w:fill="CFF0FC"/>
          </w:tcPr>
          <w:p>
            <w:pPr>
              <w:jc w:val="right"/>
              <w:ind w:right="649"/>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3,611</w:t>
            </w:r>
          </w:p>
        </w:tc>
      </w:tr>
      <w:tr>
        <w:trPr>
          <w:trHeight w:val="229"/>
        </w:trPr>
        <w:tc>
          <w:tcPr>
            <w:tcW w:w="8640" w:type="dxa"/>
            <w:vAlign w:val="bottom"/>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397</w:t>
            </w:r>
          </w:p>
        </w:tc>
      </w:tr>
      <w:tr>
        <w:trPr>
          <w:trHeight w:val="230"/>
        </w:trPr>
        <w:tc>
          <w:tcPr>
            <w:tcW w:w="8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Option deposit</w:t>
            </w: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5,899</w:t>
            </w:r>
          </w:p>
        </w:tc>
      </w:tr>
      <w:tr>
        <w:trPr>
          <w:trHeight w:val="229"/>
        </w:trPr>
        <w:tc>
          <w:tcPr>
            <w:tcW w:w="8640" w:type="dxa"/>
            <w:vAlign w:val="bottom"/>
            <w:gridSpan w:val="2"/>
          </w:tcPr>
          <w:p>
            <w:pPr>
              <w:ind w:left="260"/>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1,498</w:t>
            </w:r>
          </w:p>
        </w:tc>
      </w:tr>
      <w:tr>
        <w:trPr>
          <w:trHeight w:val="230"/>
        </w:trPr>
        <w:tc>
          <w:tcPr>
            <w:tcW w:w="8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Right of use assets</w:t>
            </w: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10,613</w:t>
            </w:r>
          </w:p>
        </w:tc>
      </w:tr>
      <w:tr>
        <w:trPr>
          <w:trHeight w:val="229"/>
        </w:trPr>
        <w:tc>
          <w:tcPr>
            <w:tcW w:w="8640" w:type="dxa"/>
            <w:vAlign w:val="bottom"/>
            <w:gridSpan w:val="2"/>
          </w:tcPr>
          <w:p>
            <w:pPr>
              <w:ind w:left="26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9,908</w:t>
            </w:r>
          </w:p>
        </w:tc>
      </w:tr>
      <w:tr>
        <w:trPr>
          <w:trHeight w:val="229"/>
        </w:trPr>
        <w:tc>
          <w:tcPr>
            <w:tcW w:w="8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30,370</w:t>
            </w:r>
          </w:p>
        </w:tc>
      </w:tr>
      <w:tr>
        <w:trPr>
          <w:trHeight w:val="230"/>
        </w:trPr>
        <w:tc>
          <w:tcPr>
            <w:tcW w:w="864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29"/>
        </w:trPr>
        <w:tc>
          <w:tcPr>
            <w:tcW w:w="8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w:t>
            </w:r>
          </w:p>
        </w:tc>
      </w:tr>
      <w:tr>
        <w:trPr>
          <w:trHeight w:val="229"/>
        </w:trPr>
        <w:tc>
          <w:tcPr>
            <w:tcW w:w="8640" w:type="dxa"/>
            <w:vAlign w:val="bottom"/>
            <w:gridSpan w:val="2"/>
          </w:tcPr>
          <w:p>
            <w:pPr>
              <w:ind w:left="260"/>
              <w:spacing w:after="0"/>
              <w:rPr>
                <w:sz w:val="20"/>
                <w:szCs w:val="20"/>
                <w:color w:val="auto"/>
              </w:rPr>
            </w:pPr>
            <w:r>
              <w:rPr>
                <w:rFonts w:ascii="Arial" w:cs="Arial" w:eastAsia="Arial" w:hAnsi="Arial"/>
                <w:sz w:val="18"/>
                <w:szCs w:val="18"/>
                <w:color w:val="auto"/>
              </w:rPr>
              <w:t>Lease liabilities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(11,233)</w:t>
            </w:r>
          </w:p>
        </w:tc>
      </w:tr>
      <w:tr>
        <w:trPr>
          <w:trHeight w:val="230"/>
        </w:trPr>
        <w:tc>
          <w:tcPr>
            <w:tcW w:w="8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(8,822)</w:t>
            </w: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Consideration transferred</w:t>
            </w: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64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39,635</w:t>
            </w:r>
          </w:p>
        </w:tc>
      </w:tr>
      <w:tr>
        <w:trPr>
          <w:trHeight w:val="20"/>
        </w:trPr>
        <w:tc>
          <w:tcPr>
            <w:tcW w:w="19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left="400"/>
        <w:spacing w:after="0" w:line="255" w:lineRule="auto"/>
        <w:rPr>
          <w:sz w:val="20"/>
          <w:szCs w:val="20"/>
          <w:color w:val="auto"/>
        </w:rPr>
      </w:pPr>
      <w:r>
        <w:rPr>
          <w:rFonts w:ascii="Arial" w:cs="Arial" w:eastAsia="Arial" w:hAnsi="Arial"/>
          <w:sz w:val="18"/>
          <w:szCs w:val="18"/>
          <w:color w:val="auto"/>
        </w:rPr>
        <w:t>The purchase price has been allocated on the basis of the preliminary estimates of fair values of assets and liabilities assumed, resulting in a goodwill of $ 9,908. The goodwill consists of expected synergies from combining operations of the Company and Medicine Man, and intangible assets not qualifying for separate recognition such as formulations, proprietary technologies and acquired know-how. None of the goodwill is deductible for tax purposes. No adjustments to the preliminary allocation of purchase price impacted goodwill during the three months ended March 31, 2022. As additional information becomes available, the Company may revise the allocation to certain assets and liabilities and finalize the acquisition accounting within the required measurement period of one year.</w:t>
      </w:r>
    </w:p>
    <w:p>
      <w:pPr>
        <w:spacing w:after="0" w:line="125"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Medicine Man’s state licenses and trademarks represented identifiable intangible assets acquired in the amounts of $26,900 and $3,470 respectively, which were determined to have definite useful lives of 10 and 5 years respectively.</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fair value of the acquired assets and liabilities are provisional pending receipt of the final valuations for those assets and liabilities.</w:t>
      </w:r>
    </w:p>
    <w:p>
      <w:pPr>
        <w:spacing w:after="0" w:line="144" w:lineRule="exact"/>
        <w:rPr>
          <w:sz w:val="20"/>
          <w:szCs w:val="20"/>
          <w:color w:val="auto"/>
        </w:rPr>
      </w:pPr>
    </w:p>
    <w:p>
      <w:pPr>
        <w:jc w:val="both"/>
        <w:ind w:left="400"/>
        <w:spacing w:after="0" w:line="263" w:lineRule="auto"/>
        <w:rPr>
          <w:sz w:val="20"/>
          <w:szCs w:val="20"/>
          <w:color w:val="auto"/>
        </w:rPr>
      </w:pPr>
      <w:r>
        <w:rPr>
          <w:rFonts w:ascii="Arial" w:cs="Arial" w:eastAsia="Arial" w:hAnsi="Arial"/>
          <w:sz w:val="18"/>
          <w:szCs w:val="18"/>
          <w:color w:val="auto"/>
        </w:rPr>
        <w:t>In conjunction with the Medicine Man Transaction, the Company expensed $1,099 of acquisition-related costs, which have been included in selling, general and administrative expenses on the Company’s consolidated statement of operations and comprehensive loss for the year ended December 31, 2021.</w:t>
      </w:r>
    </w:p>
    <w:p>
      <w:pPr>
        <w:spacing w:after="0" w:line="112"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96"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Details of the Company’s property and equipment and related depreciation expense are summarized in the tables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2022</w:t>
            </w:r>
          </w:p>
        </w:tc>
        <w:tc>
          <w:tcPr>
            <w:tcW w:w="180" w:type="dxa"/>
            <w:vAlign w:val="bottom"/>
          </w:tcPr>
          <w:p>
            <w:pPr>
              <w:spacing w:after="0"/>
              <w:rPr>
                <w:sz w:val="20"/>
                <w:szCs w:val="20"/>
                <w:color w:val="auto"/>
              </w:rPr>
            </w:pPr>
          </w:p>
        </w:tc>
        <w:tc>
          <w:tcPr>
            <w:tcW w:w="1900" w:type="dxa"/>
            <w:vAlign w:val="bottom"/>
          </w:tcPr>
          <w:p>
            <w:pPr>
              <w:jc w:val="right"/>
              <w:ind w:right="290"/>
              <w:spacing w:after="0"/>
              <w:rPr>
                <w:sz w:val="20"/>
                <w:szCs w:val="20"/>
                <w:color w:val="auto"/>
              </w:rPr>
            </w:pPr>
            <w:r>
              <w:rPr>
                <w:rFonts w:ascii="Arial" w:cs="Arial" w:eastAsia="Arial" w:hAnsi="Arial"/>
                <w:sz w:val="18"/>
                <w:szCs w:val="18"/>
                <w:b w:val="1"/>
                <w:bCs w:val="1"/>
                <w:color w:val="auto"/>
                <w:w w:val="92"/>
              </w:rPr>
              <w:t>December 31, 2021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 and buildings</w:t>
            </w:r>
          </w:p>
        </w:tc>
        <w:tc>
          <w:tcPr>
            <w:tcW w:w="23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115,161</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113,736</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10,009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8,564</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2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40,105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36,052</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Computers and software</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3,266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2,914</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158,501</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145,259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process</w:t>
            </w:r>
          </w:p>
        </w:tc>
        <w:tc>
          <w:tcPr>
            <w:tcW w:w="2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89,389</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86,326</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property and equipment, gross</w:t>
            </w:r>
          </w:p>
        </w:tc>
        <w:tc>
          <w:tcPr>
            <w:tcW w:w="2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416,431</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392,851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Less: Accumulated depreciation</w:t>
            </w:r>
          </w:p>
        </w:tc>
        <w:tc>
          <w:tcPr>
            <w:tcW w:w="2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(60,463)</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(53,159)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property and equipment, net</w:t>
            </w:r>
          </w:p>
        </w:tc>
        <w:tc>
          <w:tcPr>
            <w:tcW w:w="2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355,968</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339,692</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320" w:type="dxa"/>
            <w:vAlign w:val="bottom"/>
            <w:vMerge w:val="restart"/>
          </w:tcPr>
          <w:p>
            <w:pPr>
              <w:jc w:val="right"/>
              <w:ind w:right="65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1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0"/>
          <w:szCs w:val="20"/>
          <w:color w:val="auto"/>
        </w:rPr>
      </w:pPr>
    </w:p>
    <w:p>
      <w:pPr>
        <w:ind w:right="4440"/>
        <w:spacing w:after="0" w:line="250" w:lineRule="auto"/>
        <w:rPr>
          <w:sz w:val="20"/>
          <w:szCs w:val="20"/>
          <w:color w:val="auto"/>
        </w:rPr>
      </w:pPr>
      <w:r>
        <w:rPr>
          <w:rFonts w:ascii="Arial" w:cs="Arial" w:eastAsia="Arial" w:hAnsi="Arial"/>
          <w:sz w:val="18"/>
          <w:szCs w:val="18"/>
          <w:color w:val="auto"/>
        </w:rPr>
        <w:t>NOTES TO THE CONDENSED INTERIM CONSOLIDATED FINANCIAL STATEMENTS FOR THE THREE MONTHS ENDED MARCH 31 2022 AND 2021 (Expressed in thousands of U.S. dollars, except for share and per share amounts)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4"/>
          </w:tcPr>
          <w:p>
            <w:pPr>
              <w:jc w:val="right"/>
              <w:ind w:right="135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6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2022</w:t>
            </w:r>
          </w:p>
        </w:tc>
        <w:tc>
          <w:tcPr>
            <w:tcW w:w="240" w:type="dxa"/>
            <w:vAlign w:val="bottom"/>
          </w:tcPr>
          <w:p>
            <w:pPr>
              <w:spacing w:after="0"/>
              <w:rPr>
                <w:sz w:val="19"/>
                <w:szCs w:val="19"/>
                <w:color w:val="auto"/>
              </w:rPr>
            </w:pPr>
          </w:p>
        </w:tc>
        <w:tc>
          <w:tcPr>
            <w:tcW w:w="1840" w:type="dxa"/>
            <w:vAlign w:val="bottom"/>
          </w:tcPr>
          <w:p>
            <w:pPr>
              <w:jc w:val="right"/>
              <w:ind w:right="410"/>
              <w:spacing w:after="0"/>
              <w:rPr>
                <w:sz w:val="20"/>
                <w:szCs w:val="20"/>
                <w:color w:val="auto"/>
              </w:rPr>
            </w:pPr>
            <w:r>
              <w:rPr>
                <w:rFonts w:ascii="Arial" w:cs="Arial" w:eastAsia="Arial" w:hAnsi="Arial"/>
                <w:sz w:val="18"/>
                <w:szCs w:val="18"/>
                <w:b w:val="1"/>
                <w:bCs w:val="1"/>
                <w:color w:val="auto"/>
              </w:rPr>
              <w:t>March 31, 2021</w:t>
            </w:r>
          </w:p>
        </w:tc>
      </w:tr>
      <w:tr>
        <w:trPr>
          <w:trHeight w:val="223"/>
        </w:trPr>
        <w:tc>
          <w:tcPr>
            <w:tcW w:w="6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depreciation expense for three months ended</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7,328</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4,703</w:t>
            </w: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Included in:</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Costs of sales related to inventory production</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4,127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2,738</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3,201</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1,965</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PREPAID EXPENSES AND OTHER CURRENT ASSETS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Details of the Company’s prepaid expenses and other current assets are summarized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2022</w:t>
            </w:r>
          </w:p>
        </w:tc>
        <w:tc>
          <w:tcPr>
            <w:tcW w:w="20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6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15,131</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rPr>
              <w:t>Short term deposits</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7,746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19"/>
                <w:szCs w:val="19"/>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5,822</w:t>
            </w:r>
          </w:p>
        </w:tc>
        <w:tc>
          <w:tcPr>
            <w:tcW w:w="100" w:type="dxa"/>
            <w:vAlign w:val="bottom"/>
            <w:shd w:val="clear" w:color="auto" w:fill="CFF0FC"/>
          </w:tcPr>
          <w:p>
            <w:pPr>
              <w:spacing w:after="0"/>
              <w:rPr>
                <w:sz w:val="19"/>
                <w:szCs w:val="19"/>
                <w:color w:val="auto"/>
              </w:rPr>
            </w:pPr>
          </w:p>
        </w:tc>
      </w:tr>
      <w:tr>
        <w:trPr>
          <w:trHeight w:val="229"/>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Excise and sales tax receivable</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FF0FC"/>
            </w:tcBorders>
          </w:tcPr>
          <w:p>
            <w:pPr>
              <w:spacing w:after="0"/>
              <w:rPr>
                <w:sz w:val="19"/>
                <w:szCs w:val="19"/>
                <w:color w:val="auto"/>
              </w:rPr>
            </w:pPr>
          </w:p>
        </w:tc>
      </w:tr>
      <w:tr>
        <w:trPr>
          <w:trHeight w:val="223"/>
        </w:trPr>
        <w:tc>
          <w:tcPr>
            <w:tcW w:w="6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27,526</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NON-CURRENT ASSETS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Details of the Company’s other non-current assets are summarized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March 31, 2022</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December 31, 2021</w:t>
            </w: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Long term deposits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4,512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5,602</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Indemnification receivable</w:t>
            </w:r>
          </w:p>
        </w:tc>
        <w:tc>
          <w:tcPr>
            <w:tcW w:w="24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4,111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4,111</w:t>
            </w: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Investment in affiliates</w:t>
            </w:r>
          </w:p>
        </w:tc>
        <w:tc>
          <w:tcPr>
            <w:tcW w:w="24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775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776</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985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335</w:t>
            </w: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Notes receivable</w:t>
            </w:r>
          </w:p>
        </w:tc>
        <w:tc>
          <w:tcPr>
            <w:tcW w:w="24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2,195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2,211</w:t>
            </w:r>
          </w:p>
        </w:tc>
      </w:tr>
      <w:tr>
        <w:trPr>
          <w:trHeight w:val="230"/>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receivable</w:t>
            </w: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6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Other non-current assets</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12,578</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13,035</w:t>
            </w:r>
          </w:p>
        </w:tc>
      </w:tr>
      <w:tr>
        <w:trPr>
          <w:trHeight w:val="20"/>
        </w:trPr>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Details of the Company’s accrued expenses and other current liabilities are summarized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Borders>
              <w:bottom w:val="single" w:sz="8" w:color="CFF0FC"/>
            </w:tcBorders>
          </w:tcPr>
          <w:p>
            <w:pPr>
              <w:spacing w:after="0"/>
              <w:rPr>
                <w:sz w:val="20"/>
                <w:szCs w:val="20"/>
                <w:color w:val="auto"/>
              </w:rPr>
            </w:pPr>
          </w:p>
        </w:tc>
        <w:tc>
          <w:tcPr>
            <w:tcW w:w="4920" w:type="dxa"/>
            <w:vAlign w:val="bottom"/>
            <w:tcBorders>
              <w:bottom w:val="single" w:sz="8" w:color="CFF0FC"/>
            </w:tcBorders>
          </w:tcPr>
          <w:p>
            <w:pPr>
              <w:spacing w:after="0"/>
              <w:rPr>
                <w:sz w:val="20"/>
                <w:szCs w:val="20"/>
                <w:color w:val="auto"/>
              </w:rPr>
            </w:pPr>
          </w:p>
        </w:tc>
        <w:tc>
          <w:tcPr>
            <w:tcW w:w="8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March 31, 2022</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December 31, 2021</w:t>
            </w:r>
          </w:p>
        </w:tc>
        <w:tc>
          <w:tcPr>
            <w:tcW w:w="0" w:type="dxa"/>
            <w:vAlign w:val="bottom"/>
          </w:tcPr>
          <w:p>
            <w:pPr>
              <w:spacing w:after="0"/>
              <w:rPr>
                <w:sz w:val="1"/>
                <w:szCs w:val="1"/>
                <w:color w:val="auto"/>
              </w:rPr>
            </w:pPr>
          </w:p>
        </w:tc>
      </w:tr>
      <w:tr>
        <w:trPr>
          <w:trHeight w:val="223"/>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acquisition and settlement of pre-existing relationships</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75,427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86,596</w:t>
            </w: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Taxes- property and other</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12,076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14,062</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11,012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6,035</w:t>
            </w: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Payroll liabilities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8,436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12,799</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7,374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Construction in progress</w:t>
            </w:r>
          </w:p>
        </w:tc>
        <w:tc>
          <w:tcPr>
            <w:tcW w:w="8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8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118,315</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126,954</w:t>
            </w: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sz w:val="20"/>
                <w:szCs w:val="20"/>
                <w:color w:val="auto"/>
              </w:rPr>
            </w:pPr>
            <w:r>
              <w:rPr>
                <w:rFonts w:ascii="Arial" w:cs="Arial" w:eastAsia="Arial" w:hAnsi="Arial"/>
                <w:sz w:val="18"/>
                <w:szCs w:val="18"/>
                <w:b w:val="1"/>
                <w:bCs w:val="1"/>
                <w:color w:val="auto"/>
              </w:rPr>
              <w:t>10.</w:t>
            </w:r>
          </w:p>
        </w:tc>
        <w:tc>
          <w:tcPr>
            <w:tcW w:w="492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SHAREHOLDERS’ EQUITY</w:t>
            </w: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vMerge w:val="continue"/>
          </w:tcPr>
          <w:p>
            <w:pPr>
              <w:spacing w:after="0"/>
              <w:rPr>
                <w:sz w:val="24"/>
                <w:szCs w:val="24"/>
                <w:color w:val="auto"/>
              </w:rPr>
            </w:pPr>
          </w:p>
        </w:tc>
        <w:tc>
          <w:tcPr>
            <w:tcW w:w="49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had the following activity during the three months ended March 31, 2022:</w:t>
      </w:r>
    </w:p>
    <w:p>
      <w:pPr>
        <w:spacing w:after="0" w:line="158" w:lineRule="exact"/>
        <w:rPr>
          <w:sz w:val="20"/>
          <w:szCs w:val="20"/>
          <w:color w:val="auto"/>
        </w:rPr>
      </w:pPr>
    </w:p>
    <w:p>
      <w:pPr>
        <w:ind w:left="800" w:hanging="401"/>
        <w:spacing w:after="0" w:line="277"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Granted 9,585,140 time-based restricted stock units and 1,473,261 performance-based restricted stock units during the three months ended March 31, 2022.</w:t>
      </w:r>
    </w:p>
    <w:p>
      <w:pPr>
        <w:spacing w:after="0" w:line="102"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Issued 144,033 Common Shares upon vesting of RSU’s. An additional 93,453 shares were sold to cover for taxes on the share-based compensation unit that were issued during the three months ended March 31, 2022.</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0"/>
          <w:szCs w:val="20"/>
          <w:color w:val="auto"/>
        </w:rPr>
      </w:pPr>
    </w:p>
    <w:p>
      <w:pPr>
        <w:ind w:right="4440"/>
        <w:spacing w:after="0" w:line="250" w:lineRule="auto"/>
        <w:rPr>
          <w:sz w:val="20"/>
          <w:szCs w:val="20"/>
          <w:color w:val="auto"/>
        </w:rPr>
      </w:pPr>
      <w:r>
        <w:rPr>
          <w:rFonts w:ascii="Arial" w:cs="Arial" w:eastAsia="Arial" w:hAnsi="Arial"/>
          <w:sz w:val="18"/>
          <w:szCs w:val="18"/>
          <w:color w:val="auto"/>
        </w:rPr>
        <w:t>NOTES TO THE CONDENSED INTERIM CONSOLIDATED FINANCIAL STATEMENTS FOR THE THREE MONTHS ENDED MARCH 31 2022 AND 2021 (Expressed in thousands of U.S. dollars, except for share and per share amounts)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WARRANTS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of March 31, 2022 and December 31, 2021, outstanding equity-classified warrants to purchase Common Shares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80" w:type="dxa"/>
            <w:vAlign w:val="bottom"/>
            <w:gridSpan w:val="5"/>
          </w:tcPr>
          <w:p>
            <w:pPr>
              <w:ind w:left="1560"/>
              <w:spacing w:after="0"/>
              <w:rPr>
                <w:sz w:val="20"/>
                <w:szCs w:val="20"/>
                <w:color w:val="auto"/>
              </w:rPr>
            </w:pPr>
            <w:r>
              <w:rPr>
                <w:rFonts w:ascii="Arial" w:cs="Arial" w:eastAsia="Arial" w:hAnsi="Arial"/>
                <w:sz w:val="18"/>
                <w:szCs w:val="18"/>
                <w:b w:val="1"/>
                <w:bCs w:val="1"/>
                <w:color w:val="auto"/>
              </w:rPr>
              <w:t>March 31, 2022</w:t>
            </w:r>
          </w:p>
        </w:tc>
        <w:tc>
          <w:tcPr>
            <w:tcW w:w="4420" w:type="dxa"/>
            <w:vAlign w:val="bottom"/>
            <w:gridSpan w:val="4"/>
          </w:tcPr>
          <w:p>
            <w:pPr>
              <w:jc w:val="right"/>
              <w:ind w:right="1450"/>
              <w:spacing w:after="0"/>
              <w:rPr>
                <w:sz w:val="20"/>
                <w:szCs w:val="20"/>
                <w:color w:val="auto"/>
              </w:rPr>
            </w:pPr>
            <w:r>
              <w:rPr>
                <w:rFonts w:ascii="Arial" w:cs="Arial" w:eastAsia="Arial" w:hAnsi="Arial"/>
                <w:sz w:val="18"/>
                <w:szCs w:val="18"/>
                <w:b w:val="1"/>
                <w:bCs w:val="1"/>
                <w:color w:val="auto"/>
              </w:rPr>
              <w:t>December 31, 2021</w:t>
            </w:r>
          </w:p>
        </w:tc>
      </w:tr>
      <w:tr>
        <w:trPr>
          <w:trHeight w:val="205"/>
        </w:trPr>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tcBorders>
              <w:top w:val="single" w:sz="8" w:color="auto"/>
            </w:tcBorders>
          </w:tcPr>
          <w:p>
            <w:pPr>
              <w:jc w:val="right"/>
              <w:ind w:right="130"/>
              <w:spacing w:after="0" w:line="205" w:lineRule="exact"/>
              <w:rPr>
                <w:sz w:val="20"/>
                <w:szCs w:val="20"/>
                <w:color w:val="auto"/>
              </w:rPr>
            </w:pPr>
            <w:r>
              <w:rPr>
                <w:rFonts w:ascii="Arial" w:cs="Arial" w:eastAsia="Arial" w:hAnsi="Arial"/>
                <w:sz w:val="18"/>
                <w:szCs w:val="18"/>
                <w:b w:val="1"/>
                <w:bCs w:val="1"/>
                <w:color w:val="auto"/>
                <w:w w:val="93"/>
              </w:rPr>
              <w:t>Number of Shares Issued</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center"/>
              <w:ind w:right="150"/>
              <w:spacing w:after="0" w:line="205" w:lineRule="exact"/>
              <w:rPr>
                <w:sz w:val="20"/>
                <w:szCs w:val="20"/>
                <w:color w:val="auto"/>
              </w:rPr>
            </w:pPr>
            <w:r>
              <w:rPr>
                <w:rFonts w:ascii="Arial" w:cs="Arial" w:eastAsia="Arial" w:hAnsi="Arial"/>
                <w:sz w:val="18"/>
                <w:szCs w:val="18"/>
                <w:b w:val="1"/>
                <w:bCs w:val="1"/>
                <w:color w:val="auto"/>
                <w:w w:val="87"/>
              </w:rPr>
              <w:t>Exercise Price</w:t>
            </w:r>
          </w:p>
        </w:tc>
        <w:tc>
          <w:tcPr>
            <w:tcW w:w="180" w:type="dxa"/>
            <w:vAlign w:val="bottom"/>
          </w:tcPr>
          <w:p>
            <w:pPr>
              <w:spacing w:after="0"/>
              <w:rPr>
                <w:sz w:val="17"/>
                <w:szCs w:val="17"/>
                <w:color w:val="auto"/>
              </w:rPr>
            </w:pPr>
          </w:p>
        </w:tc>
        <w:tc>
          <w:tcPr>
            <w:tcW w:w="2280" w:type="dxa"/>
            <w:vAlign w:val="bottom"/>
            <w:tcBorders>
              <w:top w:val="single" w:sz="8" w:color="auto"/>
            </w:tcBorders>
          </w:tcPr>
          <w:p>
            <w:pPr>
              <w:jc w:val="right"/>
              <w:ind w:right="130"/>
              <w:spacing w:after="0" w:line="205" w:lineRule="exact"/>
              <w:rPr>
                <w:sz w:val="20"/>
                <w:szCs w:val="20"/>
                <w:color w:val="auto"/>
              </w:rPr>
            </w:pPr>
            <w:r>
              <w:rPr>
                <w:rFonts w:ascii="Arial" w:cs="Arial" w:eastAsia="Arial" w:hAnsi="Arial"/>
                <w:sz w:val="18"/>
                <w:szCs w:val="18"/>
                <w:b w:val="1"/>
                <w:bCs w:val="1"/>
                <w:color w:val="auto"/>
                <w:w w:val="93"/>
              </w:rPr>
              <w:t>Number of Shares Issued</w:t>
            </w: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ind w:right="390"/>
              <w:spacing w:after="0" w:line="205" w:lineRule="exact"/>
              <w:rPr>
                <w:sz w:val="20"/>
                <w:szCs w:val="20"/>
                <w:color w:val="auto"/>
              </w:rPr>
            </w:pPr>
            <w:r>
              <w:rPr>
                <w:rFonts w:ascii="Arial" w:cs="Arial" w:eastAsia="Arial" w:hAnsi="Arial"/>
                <w:sz w:val="18"/>
                <w:szCs w:val="18"/>
                <w:b w:val="1"/>
                <w:bCs w:val="1"/>
                <w:color w:val="auto"/>
              </w:rPr>
              <w:t>Exercise Price</w:t>
            </w:r>
          </w:p>
        </w:tc>
      </w:tr>
      <w:tr>
        <w:trPr>
          <w:trHeight w:val="234"/>
        </w:trPr>
        <w:tc>
          <w:tcPr>
            <w:tcW w:w="1780" w:type="dxa"/>
            <w:vAlign w:val="bottom"/>
            <w:gridSpan w:val="2"/>
          </w:tcPr>
          <w:p>
            <w:pPr>
              <w:ind w:left="380"/>
              <w:spacing w:after="0"/>
              <w:rPr>
                <w:sz w:val="20"/>
                <w:szCs w:val="20"/>
                <w:color w:val="auto"/>
              </w:rPr>
            </w:pPr>
            <w:r>
              <w:rPr>
                <w:rFonts w:ascii="Arial" w:cs="Arial" w:eastAsia="Arial" w:hAnsi="Arial"/>
                <w:sz w:val="18"/>
                <w:szCs w:val="18"/>
                <w:b w:val="1"/>
                <w:bCs w:val="1"/>
                <w:color w:val="auto"/>
              </w:rPr>
              <w:t>Expiration</w:t>
            </w:r>
          </w:p>
        </w:tc>
        <w:tc>
          <w:tcPr>
            <w:tcW w:w="2280" w:type="dxa"/>
            <w:vAlign w:val="bottom"/>
          </w:tcPr>
          <w:p>
            <w:pPr>
              <w:jc w:val="right"/>
              <w:ind w:right="490"/>
              <w:spacing w:after="0"/>
              <w:rPr>
                <w:sz w:val="20"/>
                <w:szCs w:val="20"/>
                <w:color w:val="auto"/>
              </w:rPr>
            </w:pPr>
            <w:r>
              <w:rPr>
                <w:rFonts w:ascii="Arial" w:cs="Arial" w:eastAsia="Arial" w:hAnsi="Arial"/>
                <w:sz w:val="18"/>
                <w:szCs w:val="18"/>
                <w:b w:val="1"/>
                <w:bCs w:val="1"/>
                <w:color w:val="auto"/>
              </w:rPr>
              <w:t>and Exercisable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(Canadian Dollars)</w:t>
            </w:r>
          </w:p>
        </w:tc>
        <w:tc>
          <w:tcPr>
            <w:tcW w:w="2280" w:type="dxa"/>
            <w:vAlign w:val="bottom"/>
          </w:tcPr>
          <w:p>
            <w:pPr>
              <w:jc w:val="right"/>
              <w:ind w:right="490"/>
              <w:spacing w:after="0"/>
              <w:rPr>
                <w:sz w:val="20"/>
                <w:szCs w:val="20"/>
                <w:color w:val="auto"/>
              </w:rPr>
            </w:pPr>
            <w:r>
              <w:rPr>
                <w:rFonts w:ascii="Arial" w:cs="Arial" w:eastAsia="Arial" w:hAnsi="Arial"/>
                <w:sz w:val="18"/>
                <w:szCs w:val="18"/>
                <w:b w:val="1"/>
                <w:bCs w:val="1"/>
                <w:color w:val="auto"/>
              </w:rPr>
              <w:t>and Exercisable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(Canadian Dollars)</w:t>
            </w:r>
          </w:p>
        </w:tc>
      </w:tr>
      <w:tr>
        <w:trPr>
          <w:trHeight w:val="223"/>
        </w:trPr>
        <w:tc>
          <w:tcPr>
            <w:tcW w:w="1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May 8, 2021</w:t>
            </w:r>
          </w:p>
        </w:tc>
        <w:tc>
          <w:tcPr>
            <w:tcW w:w="180" w:type="dxa"/>
            <w:vAlign w:val="bottom"/>
            <w:tcBorders>
              <w:top w:val="single" w:sz="8" w:color="CFF0FC"/>
            </w:tcBorders>
            <w:shd w:val="clear" w:color="auto" w:fill="CFF0FC"/>
          </w:tcPr>
          <w:p>
            <w:pPr>
              <w:spacing w:after="0"/>
              <w:rPr>
                <w:sz w:val="19"/>
                <w:szCs w:val="19"/>
                <w:color w:val="auto"/>
              </w:rPr>
            </w:pPr>
          </w:p>
        </w:tc>
        <w:tc>
          <w:tcPr>
            <w:tcW w:w="22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5.71</w:t>
            </w:r>
          </w:p>
        </w:tc>
        <w:tc>
          <w:tcPr>
            <w:tcW w:w="180" w:type="dxa"/>
            <w:vAlign w:val="bottom"/>
            <w:tcBorders>
              <w:top w:val="single" w:sz="8" w:color="CFF0FC"/>
            </w:tcBorders>
            <w:shd w:val="clear" w:color="auto" w:fill="CFF0FC"/>
          </w:tcPr>
          <w:p>
            <w:pPr>
              <w:spacing w:after="0"/>
              <w:rPr>
                <w:sz w:val="19"/>
                <w:szCs w:val="19"/>
                <w:color w:val="auto"/>
              </w:rPr>
            </w:pPr>
          </w:p>
        </w:tc>
        <w:tc>
          <w:tcPr>
            <w:tcW w:w="22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5.71</w:t>
            </w:r>
          </w:p>
        </w:tc>
      </w:tr>
      <w:tr>
        <w:trPr>
          <w:trHeight w:val="229"/>
        </w:trPr>
        <w:tc>
          <w:tcPr>
            <w:tcW w:w="1780" w:type="dxa"/>
            <w:vAlign w:val="bottom"/>
            <w:gridSpan w:val="2"/>
          </w:tcPr>
          <w:p>
            <w:pPr>
              <w:spacing w:after="0"/>
              <w:rPr>
                <w:sz w:val="20"/>
                <w:szCs w:val="20"/>
                <w:color w:val="auto"/>
              </w:rPr>
            </w:pPr>
            <w:r>
              <w:rPr>
                <w:rFonts w:ascii="Arial" w:cs="Arial" w:eastAsia="Arial" w:hAnsi="Arial"/>
                <w:sz w:val="18"/>
                <w:szCs w:val="18"/>
                <w:color w:val="auto"/>
              </w:rPr>
              <w:t>October 1, 2025</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648,783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8.12</w:t>
            </w:r>
          </w:p>
        </w:tc>
        <w:tc>
          <w:tcPr>
            <w:tcW w:w="180" w:type="dxa"/>
            <w:vAlign w:val="bottom"/>
          </w:tcPr>
          <w:p>
            <w:pPr>
              <w:spacing w:after="0"/>
              <w:rPr>
                <w:sz w:val="19"/>
                <w:szCs w:val="19"/>
                <w:color w:val="auto"/>
              </w:rPr>
            </w:pP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648,783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8.12</w:t>
            </w:r>
          </w:p>
        </w:tc>
      </w:tr>
      <w:tr>
        <w:trPr>
          <w:trHeight w:val="230"/>
        </w:trPr>
        <w:tc>
          <w:tcPr>
            <w:tcW w:w="1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26, 2024</w:t>
            </w:r>
          </w:p>
        </w:tc>
        <w:tc>
          <w:tcPr>
            <w:tcW w:w="2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5,394,945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10.35</w:t>
            </w:r>
          </w:p>
        </w:tc>
        <w:tc>
          <w:tcPr>
            <w:tcW w:w="180" w:type="dxa"/>
            <w:vAlign w:val="bottom"/>
            <w:shd w:val="clear" w:color="auto" w:fill="CFF0FC"/>
          </w:tcPr>
          <w:p>
            <w:pPr>
              <w:spacing w:after="0"/>
              <w:rPr>
                <w:sz w:val="19"/>
                <w:szCs w:val="19"/>
                <w:color w:val="auto"/>
              </w:rPr>
            </w:pPr>
          </w:p>
        </w:tc>
        <w:tc>
          <w:tcPr>
            <w:tcW w:w="2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5,394,945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10.35</w:t>
            </w:r>
          </w:p>
        </w:tc>
      </w:tr>
      <w:tr>
        <w:trPr>
          <w:trHeight w:val="229"/>
        </w:trPr>
        <w:tc>
          <w:tcPr>
            <w:tcW w:w="1780" w:type="dxa"/>
            <w:vAlign w:val="bottom"/>
            <w:gridSpan w:val="2"/>
          </w:tcPr>
          <w:p>
            <w:pPr>
              <w:spacing w:after="0"/>
              <w:rPr>
                <w:sz w:val="20"/>
                <w:szCs w:val="20"/>
                <w:color w:val="auto"/>
              </w:rPr>
            </w:pPr>
            <w:r>
              <w:rPr>
                <w:rFonts w:ascii="Arial" w:cs="Arial" w:eastAsia="Arial" w:hAnsi="Arial"/>
                <w:sz w:val="18"/>
                <w:szCs w:val="18"/>
                <w:color w:val="auto"/>
              </w:rPr>
              <w:t>May 14, 2023</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1,723,250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9"/>
                <w:szCs w:val="19"/>
                <w:color w:val="auto"/>
              </w:rPr>
            </w:pP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1,723,250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3.10</w:t>
            </w:r>
          </w:p>
        </w:tc>
      </w:tr>
      <w:tr>
        <w:trPr>
          <w:trHeight w:val="229"/>
        </w:trPr>
        <w:tc>
          <w:tcPr>
            <w:tcW w:w="1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May 14, 2023</w:t>
            </w:r>
          </w:p>
        </w:tc>
        <w:tc>
          <w:tcPr>
            <w:tcW w:w="2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1,818,788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FF0FC"/>
          </w:tcPr>
          <w:p>
            <w:pPr>
              <w:spacing w:after="0"/>
              <w:rPr>
                <w:sz w:val="19"/>
                <w:szCs w:val="19"/>
                <w:color w:val="auto"/>
              </w:rPr>
            </w:pPr>
          </w:p>
        </w:tc>
        <w:tc>
          <w:tcPr>
            <w:tcW w:w="2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1,998,788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2.95</w:t>
            </w:r>
          </w:p>
        </w:tc>
      </w:tr>
      <w:tr>
        <w:trPr>
          <w:trHeight w:val="230"/>
        </w:trPr>
        <w:tc>
          <w:tcPr>
            <w:tcW w:w="1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May 14, 2023</w:t>
            </w:r>
          </w:p>
        </w:tc>
        <w:tc>
          <w:tcPr>
            <w:tcW w:w="2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1,897,000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5.84</w:t>
            </w:r>
          </w:p>
        </w:tc>
        <w:tc>
          <w:tcPr>
            <w:tcW w:w="180" w:type="dxa"/>
            <w:vAlign w:val="bottom"/>
            <w:tcBorders>
              <w:bottom w:val="single" w:sz="8" w:color="CFF0FC"/>
            </w:tcBorders>
          </w:tcPr>
          <w:p>
            <w:pPr>
              <w:spacing w:after="0"/>
              <w:rPr>
                <w:sz w:val="19"/>
                <w:szCs w:val="19"/>
                <w:color w:val="auto"/>
              </w:rPr>
            </w:pPr>
          </w:p>
        </w:tc>
        <w:tc>
          <w:tcPr>
            <w:tcW w:w="2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1,897,000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0" w:type="dxa"/>
            <w:vAlign w:val="bottom"/>
            <w:tcBorders>
              <w:bottom w:val="single" w:sz="8" w:color="CFF0FC"/>
            </w:tcBorders>
          </w:tcPr>
          <w:p>
            <w:pPr>
              <w:jc w:val="right"/>
              <w:ind w:right="10"/>
              <w:spacing w:after="0"/>
              <w:rPr>
                <w:sz w:val="20"/>
                <w:szCs w:val="20"/>
                <w:color w:val="auto"/>
              </w:rPr>
            </w:pPr>
            <w:r>
              <w:rPr>
                <w:rFonts w:ascii="Arial" w:cs="Arial" w:eastAsia="Arial" w:hAnsi="Arial"/>
                <w:sz w:val="18"/>
                <w:szCs w:val="18"/>
                <w:color w:val="auto"/>
              </w:rPr>
              <w:t>5.84</w:t>
            </w:r>
          </w:p>
        </w:tc>
      </w:tr>
      <w:tr>
        <w:trPr>
          <w:trHeight w:val="223"/>
        </w:trPr>
        <w:tc>
          <w:tcPr>
            <w:tcW w:w="16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2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11,482,766</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7.22</w:t>
            </w:r>
          </w:p>
        </w:tc>
        <w:tc>
          <w:tcPr>
            <w:tcW w:w="180" w:type="dxa"/>
            <w:vAlign w:val="bottom"/>
            <w:tcBorders>
              <w:bottom w:val="single" w:sz="8" w:color="CFF0FC"/>
            </w:tcBorders>
            <w:shd w:val="clear" w:color="auto" w:fill="CFF0FC"/>
          </w:tcPr>
          <w:p>
            <w:pPr>
              <w:spacing w:after="0"/>
              <w:rPr>
                <w:sz w:val="19"/>
                <w:szCs w:val="19"/>
                <w:color w:val="auto"/>
              </w:rPr>
            </w:pPr>
          </w:p>
        </w:tc>
        <w:tc>
          <w:tcPr>
            <w:tcW w:w="22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11,662,766</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7.15</w:t>
            </w:r>
          </w:p>
        </w:tc>
      </w:tr>
      <w:tr>
        <w:trPr>
          <w:trHeight w:val="20"/>
        </w:trPr>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Warrant activity for the three months ended March 31, 2022 and 2021 are summarized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300" w:type="dxa"/>
            <w:vAlign w:val="bottom"/>
          </w:tcPr>
          <w:p>
            <w:pPr>
              <w:jc w:val="right"/>
              <w:ind w:right="690"/>
              <w:spacing w:after="0"/>
              <w:rPr>
                <w:sz w:val="20"/>
                <w:szCs w:val="20"/>
                <w:color w:val="auto"/>
              </w:rPr>
            </w:pPr>
            <w:r>
              <w:rPr>
                <w:rFonts w:ascii="Arial" w:cs="Arial" w:eastAsia="Arial" w:hAnsi="Arial"/>
                <w:sz w:val="18"/>
                <w:szCs w:val="18"/>
                <w:b w:val="1"/>
                <w:bCs w:val="1"/>
                <w:color w:val="auto"/>
              </w:rPr>
              <w:t>Number of</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60" w:type="dxa"/>
            <w:vAlign w:val="bottom"/>
          </w:tcPr>
          <w:p>
            <w:pPr>
              <w:jc w:val="right"/>
              <w:ind w:right="710"/>
              <w:spacing w:after="0"/>
              <w:rPr>
                <w:sz w:val="20"/>
                <w:szCs w:val="20"/>
                <w:color w:val="auto"/>
              </w:rPr>
            </w:pPr>
            <w:r>
              <w:rPr>
                <w:rFonts w:ascii="Arial" w:cs="Arial" w:eastAsia="Arial" w:hAnsi="Arial"/>
                <w:sz w:val="18"/>
                <w:szCs w:val="18"/>
                <w:b w:val="1"/>
                <w:bCs w:val="1"/>
                <w:color w:val="auto"/>
                <w:w w:val="98"/>
              </w:rPr>
              <w:t>Weighted average exercise price</w:t>
            </w:r>
          </w:p>
        </w:tc>
      </w:tr>
      <w:tr>
        <w:trPr>
          <w:trHeight w:val="234"/>
        </w:trPr>
        <w:tc>
          <w:tcPr>
            <w:tcW w:w="4280" w:type="dxa"/>
            <w:vAlign w:val="bottom"/>
            <w:tcBorders>
              <w:bottom w:val="single" w:sz="8" w:color="CFF0FC"/>
            </w:tcBorders>
          </w:tcPr>
          <w:p>
            <w:pPr>
              <w:spacing w:after="0"/>
              <w:rPr>
                <w:sz w:val="20"/>
                <w:szCs w:val="20"/>
                <w:color w:val="auto"/>
              </w:rPr>
            </w:pPr>
          </w:p>
        </w:tc>
        <w:tc>
          <w:tcPr>
            <w:tcW w:w="23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Warrants</w:t>
            </w:r>
          </w:p>
        </w:tc>
        <w:tc>
          <w:tcPr>
            <w:tcW w:w="24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(Canadian Dollars)</w:t>
            </w: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2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13,147,919</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35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6.91</w:t>
            </w:r>
          </w:p>
        </w:tc>
      </w:tr>
      <w:tr>
        <w:trPr>
          <w:trHeight w:val="229"/>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Exercised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(262,200)</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3.08</w:t>
            </w:r>
          </w:p>
        </w:tc>
      </w:tr>
      <w:tr>
        <w:trPr>
          <w:trHeight w:val="223"/>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2021</w:t>
            </w:r>
          </w:p>
        </w:tc>
        <w:tc>
          <w:tcPr>
            <w:tcW w:w="2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12,885,719</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3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6.99</w:t>
            </w:r>
          </w:p>
        </w:tc>
      </w:tr>
      <w:tr>
        <w:trPr>
          <w:trHeight w:val="20"/>
        </w:trPr>
        <w:tc>
          <w:tcPr>
            <w:tcW w:w="428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r>
      <w:tr>
        <w:trPr>
          <w:trHeight w:val="210"/>
        </w:trPr>
        <w:tc>
          <w:tcPr>
            <w:tcW w:w="4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2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11,662,766</w:t>
            </w:r>
          </w:p>
        </w:tc>
        <w:tc>
          <w:tcPr>
            <w:tcW w:w="6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b w:val="1"/>
                <w:bCs w:val="1"/>
                <w:color w:val="auto"/>
              </w:rPr>
              <w:t>$</w:t>
            </w:r>
          </w:p>
        </w:tc>
        <w:tc>
          <w:tcPr>
            <w:tcW w:w="35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7.15</w:t>
            </w:r>
          </w:p>
        </w:tc>
      </w:tr>
      <w:tr>
        <w:trPr>
          <w:trHeight w:val="229"/>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Exercised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(180,000)</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2.95</w:t>
            </w:r>
          </w:p>
        </w:tc>
      </w:tr>
      <w:tr>
        <w:trPr>
          <w:trHeight w:val="223"/>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2022</w:t>
            </w:r>
          </w:p>
        </w:tc>
        <w:tc>
          <w:tcPr>
            <w:tcW w:w="2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11,482,766</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3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7.22</w:t>
            </w:r>
          </w:p>
        </w:tc>
      </w:tr>
      <w:tr>
        <w:trPr>
          <w:trHeight w:val="20"/>
        </w:trPr>
        <w:tc>
          <w:tcPr>
            <w:tcW w:w="428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61"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attributable to the Company was calculated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Three months ended March 31,</w:t>
            </w:r>
          </w:p>
        </w:tc>
        <w:tc>
          <w:tcPr>
            <w:tcW w:w="1540" w:type="dxa"/>
            <w:vAlign w:val="bottom"/>
            <w:tcBorders>
              <w:bottom w:val="single" w:sz="8" w:color="auto"/>
            </w:tcBorders>
          </w:tcPr>
          <w:p>
            <w:pPr>
              <w:spacing w:after="0"/>
              <w:rPr>
                <w:sz w:val="20"/>
                <w:szCs w:val="20"/>
                <w:color w:val="auto"/>
              </w:rPr>
            </w:pPr>
          </w:p>
        </w:tc>
      </w:tr>
      <w:tr>
        <w:trPr>
          <w:trHeight w:val="223"/>
        </w:trPr>
        <w:tc>
          <w:tcPr>
            <w:tcW w:w="540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4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440" w:type="dxa"/>
            <w:vAlign w:val="bottom"/>
          </w:tcPr>
          <w:p>
            <w:pPr>
              <w:jc w:val="right"/>
              <w:ind w:right="12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(27,906)</w:t>
            </w:r>
          </w:p>
        </w:tc>
        <w:tc>
          <w:tcPr>
            <w:tcW w:w="18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(29,163)</w:t>
            </w: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Net loss attributable to non-controlling interests</w:t>
            </w:r>
          </w:p>
        </w:tc>
        <w:tc>
          <w:tcPr>
            <w:tcW w:w="14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w:t>
            </w:r>
          </w:p>
        </w:tc>
        <w:tc>
          <w:tcPr>
            <w:tcW w:w="18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w:t>
            </w:r>
          </w:p>
        </w:tc>
      </w:tr>
      <w:tr>
        <w:trPr>
          <w:trHeight w:val="26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loss attributable to shareholders</w:t>
            </w:r>
          </w:p>
        </w:tc>
        <w:tc>
          <w:tcPr>
            <w:tcW w:w="14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(26,636)</w:t>
            </w:r>
          </w:p>
        </w:tc>
        <w:tc>
          <w:tcPr>
            <w:tcW w:w="180" w:type="dxa"/>
            <w:vAlign w:val="bottom"/>
            <w:tcBorders>
              <w:bottom w:val="single" w:sz="8" w:color="CFF0FC"/>
            </w:tcBorders>
          </w:tcPr>
          <w:p>
            <w:pPr>
              <w:spacing w:after="0"/>
              <w:rPr>
                <w:sz w:val="22"/>
                <w:szCs w:val="22"/>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(28,782)</w:t>
            </w:r>
          </w:p>
        </w:tc>
      </w:tr>
      <w:tr>
        <w:trPr>
          <w:trHeight w:val="210"/>
        </w:trPr>
        <w:tc>
          <w:tcPr>
            <w:tcW w:w="5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Denominator:</w:t>
            </w:r>
          </w:p>
        </w:tc>
        <w:tc>
          <w:tcPr>
            <w:tcW w:w="1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4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376,397,260</w:t>
            </w:r>
          </w:p>
        </w:tc>
        <w:tc>
          <w:tcPr>
            <w:tcW w:w="18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294,815,943</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Loss per share - basic and diluted</w:t>
            </w:r>
          </w:p>
        </w:tc>
        <w:tc>
          <w:tcPr>
            <w:tcW w:w="14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r>
      <w:tr>
        <w:trPr>
          <w:trHeight w:val="20"/>
        </w:trPr>
        <w:tc>
          <w:tcPr>
            <w:tcW w:w="54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0"/>
        <w:spacing w:after="0" w:line="277" w:lineRule="auto"/>
        <w:rPr>
          <w:sz w:val="20"/>
          <w:szCs w:val="20"/>
          <w:color w:val="auto"/>
        </w:rPr>
      </w:pPr>
      <w:r>
        <w:rPr>
          <w:rFonts w:ascii="Arial" w:cs="Arial" w:eastAsia="Arial" w:hAnsi="Arial"/>
          <w:sz w:val="18"/>
          <w:szCs w:val="18"/>
          <w:color w:val="auto"/>
        </w:rPr>
        <w:t>Certain share-based equity awards were excluded from the computation of dilutive loss per share because inclusion of these awards would have had an anti-dilutive effect.</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13. COMMITMENTS AND CONTINGENCIES</w:t>
      </w:r>
    </w:p>
    <w:p>
      <w:pPr>
        <w:spacing w:after="0" w:line="148" w:lineRule="exact"/>
        <w:rPr>
          <w:sz w:val="20"/>
          <w:szCs w:val="20"/>
          <w:color w:val="auto"/>
        </w:rPr>
      </w:pPr>
    </w:p>
    <w:p>
      <w:pPr>
        <w:jc w:val="both"/>
        <w:ind w:left="400"/>
        <w:spacing w:after="0" w:line="257"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0"/>
          <w:szCs w:val="20"/>
          <w:color w:val="auto"/>
        </w:rPr>
      </w:pPr>
    </w:p>
    <w:p>
      <w:pPr>
        <w:ind w:right="4440"/>
        <w:spacing w:after="0" w:line="250" w:lineRule="auto"/>
        <w:rPr>
          <w:sz w:val="20"/>
          <w:szCs w:val="20"/>
          <w:color w:val="auto"/>
        </w:rPr>
      </w:pPr>
      <w:r>
        <w:rPr>
          <w:rFonts w:ascii="Arial" w:cs="Arial" w:eastAsia="Arial" w:hAnsi="Arial"/>
          <w:sz w:val="18"/>
          <w:szCs w:val="18"/>
          <w:color w:val="auto"/>
        </w:rPr>
        <w:t>NOTES TO THE CONDENSED INTERIM CONSOLIDATED FINANCIAL STATEMENTS FOR THE THREE MONTHS ENDED MARCH 31 2022 AND 2021 (Expressed in thousands of U.S. dollars, except for share and per share amounts)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5" w:lineRule="exact"/>
        <w:rPr>
          <w:sz w:val="20"/>
          <w:szCs w:val="20"/>
          <w:color w:val="auto"/>
        </w:rPr>
      </w:pPr>
    </w:p>
    <w:p>
      <w:pPr>
        <w:jc w:val="both"/>
        <w:ind w:left="400"/>
        <w:spacing w:after="0" w:line="286" w:lineRule="auto"/>
        <w:rPr>
          <w:sz w:val="20"/>
          <w:szCs w:val="20"/>
          <w:color w:val="auto"/>
        </w:rPr>
      </w:pPr>
      <w:r>
        <w:rPr>
          <w:rFonts w:ascii="Arial" w:cs="Arial" w:eastAsia="Arial" w:hAnsi="Arial"/>
          <w:sz w:val="17"/>
          <w:szCs w:val="17"/>
          <w:color w:val="auto"/>
        </w:rPr>
        <w:t>as directors or officers. The maximum potential amount of future payments the Company could be required to make under these indemnification agreements is, in many cases, unlimited. Other than the accruals mentioned in this Note, the Company has not accrued any liabilities related to any pending claims potentially subject to indemnification arrangements in its condensed interim consolidated financial statements.</w:t>
      </w:r>
    </w:p>
    <w:p>
      <w:pPr>
        <w:spacing w:after="0" w:line="98" w:lineRule="exact"/>
        <w:rPr>
          <w:sz w:val="20"/>
          <w:szCs w:val="20"/>
          <w:color w:val="auto"/>
        </w:rPr>
      </w:pPr>
    </w:p>
    <w:p>
      <w:pPr>
        <w:jc w:val="both"/>
        <w:ind w:left="400"/>
        <w:spacing w:after="0" w:line="268" w:lineRule="auto"/>
        <w:rPr>
          <w:sz w:val="20"/>
          <w:szCs w:val="20"/>
          <w:color w:val="auto"/>
        </w:rPr>
      </w:pPr>
      <w:r>
        <w:rPr>
          <w:rFonts w:ascii="Arial" w:cs="Arial" w:eastAsia="Arial" w:hAnsi="Arial"/>
          <w:sz w:val="17"/>
          <w:szCs w:val="17"/>
          <w:color w:val="auto"/>
        </w:rPr>
        <w:t>A former owner of the Company’s Florida-licensed business was sued by a former purported joint venture partner, alleging various statutory and common law claims related to the terminated joint venture. The Company was not a party to this lawsuit, but, as part of its acquisition of the business, had agreed to indemnify the owner for litigation costs and any judgment rendered in the matter, in excess of $750. On January 20, 2021, following an arbitration hearing, the arbitration panel issued a partial final award in the former joint venture partner’s favor on three of the 11 claims asserted and awarded the former joint venture partner $10,553 plus prejudgment interest from July 26, 2017 through the present, as well as reasonable attorneys’ fees. On March 2, 2021, the Panel issued a Final Award, awarding the former joint venture partner a total of $15,195, inclusive of prejudgment interest and attorneys’ fees. The Company was financially responsible for payment of the Final Award, pursuant to its indemnification commitment to the former owner. Two subsidiaries of the Company, and certain members of the Company’s management team were named in a separate lawsuit commenced by the same former joint venture partner alleging various claims related to the same terminated joint venture. The trial court dismissed a majority of the claims in the lawsuit. All parties to the arbitration and the additional lawsuit agreed to amicably resolve the arbitration and the additional lawsuit. There were no admissions of liability. In furtherance of the resolution, the Company made two payments of $11,425 each in December 2021 and January 2022 against the total accrual of $22,800 and accrued interest. The Company does not have an accrued balance as of March 31, 2022.</w:t>
      </w:r>
    </w:p>
    <w:p>
      <w:pPr>
        <w:spacing w:after="0" w:line="119" w:lineRule="exact"/>
        <w:rPr>
          <w:sz w:val="20"/>
          <w:szCs w:val="20"/>
          <w:color w:val="auto"/>
        </w:rPr>
      </w:pPr>
    </w:p>
    <w:p>
      <w:pPr>
        <w:jc w:val="both"/>
        <w:ind w:left="400"/>
        <w:spacing w:after="0" w:line="288" w:lineRule="auto"/>
        <w:rPr>
          <w:sz w:val="20"/>
          <w:szCs w:val="20"/>
          <w:color w:val="auto"/>
        </w:rPr>
      </w:pPr>
      <w:r>
        <w:rPr>
          <w:rFonts w:ascii="Arial" w:cs="Arial" w:eastAsia="Arial" w:hAnsi="Arial"/>
          <w:sz w:val="16"/>
          <w:szCs w:val="16"/>
          <w:color w:val="auto"/>
        </w:rPr>
        <w:t>For the quarter ended September 30, 2021, the Company had anticipatorily accrued $68,000 for potential share issuances and cash payments for purposes of acquisition and settlement of pre-existing relationships, inclusive of prospective acquisition costs relating to third-party entities and other litigation costs. For the three months ended March 31, 2022, there have been no changes to the accrued balance. On April 18, 2022, in connection with the accrual, the Company issued 18,755,082 common shares and on April 18, 2022 and April 24, 2022 paid approximately $26,000 to acquire, by merger, VentureForth Holdings, LLC, which is the owner of VentureForth. VentureForth holds two licenses from the Washington D.C. Alcoholic Beverage Regulation Administration (“ABRA”), specifically, one license to cultivate and manufacture medical cannabis and one license to dispense medical cannabis. The merger was approved by ABRA. The Company previously had a management services agreement with VentureForth. In further connection with the accrual, the shares issued, and amounts paid also amicably resolved, with no admissions of liability and in exchange for releases, certain direct, indirect, derivative and indemnification claims relating to a confidential arbitration to which VentureForth, a separate subsidiary of the Company and certain members of the Company’s management team were respondent parties.</w:t>
      </w:r>
    </w:p>
    <w:p>
      <w:pPr>
        <w:spacing w:after="0" w:line="87"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Additionally, the Company may be contingently liable with respect to other claims incidental to the ordinary course of its operations. In the opinion of management, and based on management's consultation with legal counsel, the ultimate outcome of such other matters will not have a materially adverse effect on the Company. Accordingly, no provision has been made in these condensed interim consolidated financial statements for losses, if any, which might result from the ultimate disposition of these matters should they arise.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0"/>
          <w:szCs w:val="20"/>
          <w:color w:val="auto"/>
        </w:rPr>
      </w:pPr>
    </w:p>
    <w:p>
      <w:pPr>
        <w:ind w:right="4440"/>
        <w:spacing w:after="0" w:line="250" w:lineRule="auto"/>
        <w:rPr>
          <w:sz w:val="20"/>
          <w:szCs w:val="20"/>
          <w:color w:val="auto"/>
        </w:rPr>
      </w:pPr>
      <w:r>
        <w:rPr>
          <w:rFonts w:ascii="Arial" w:cs="Arial" w:eastAsia="Arial" w:hAnsi="Arial"/>
          <w:sz w:val="18"/>
          <w:szCs w:val="18"/>
          <w:color w:val="auto"/>
        </w:rPr>
        <w:t>NOTES TO THE CONDENSED INTERIM CONSOLIDATED FINANCIAL STATEMENTS FOR THE THREE MONTHS ENDED MARCH 31 2022 AND 2021 (Expressed in thousands of U.S. dollars, except for share and per share amounts)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0"/>
          <w:szCs w:val="20"/>
          <w:color w:val="auto"/>
        </w:rPr>
      </w:pPr>
    </w:p>
    <w:p>
      <w:pPr>
        <w:ind w:left="400" w:right="5440" w:hanging="392"/>
        <w:spacing w:after="0" w:line="417" w:lineRule="auto"/>
        <w:tabs>
          <w:tab w:leader="none" w:pos="27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FAIR VALUE MEASUREMENTS </w:t>
      </w:r>
      <w:r>
        <w:rPr>
          <w:rFonts w:ascii="Arial" w:cs="Arial" w:eastAsia="Arial" w:hAnsi="Arial"/>
          <w:sz w:val="18"/>
          <w:szCs w:val="18"/>
          <w:i w:val="1"/>
          <w:iCs w:val="1"/>
          <w:u w:val="single" w:color="auto"/>
          <w:color w:val="auto"/>
        </w:rPr>
        <w:t>Fair Value Measurements</w:t>
      </w: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Company’s financial instruments that are measured at fair value on a recurring basis: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March 31, 2022</w:t>
            </w:r>
          </w:p>
        </w:tc>
        <w:tc>
          <w:tcPr>
            <w:tcW w:w="19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Derivative liability</w:t>
            </w:r>
          </w:p>
        </w:tc>
        <w:tc>
          <w:tcPr>
            <w:tcW w:w="2740" w:type="dxa"/>
            <w:vAlign w:val="bottom"/>
            <w:gridSpan w:val="2"/>
          </w:tcPr>
          <w:p>
            <w:pPr>
              <w:jc w:val="right"/>
              <w:ind w:right="681"/>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(7,478)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(7,478)</w:t>
            </w: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19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(41,025)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(41,025)</w:t>
            </w:r>
          </w:p>
        </w:tc>
      </w:tr>
      <w:tr>
        <w:trPr>
          <w:trHeight w:val="263"/>
        </w:trPr>
        <w:tc>
          <w:tcPr>
            <w:tcW w:w="3720" w:type="dxa"/>
            <w:vAlign w:val="bottom"/>
            <w:tcBorders>
              <w:bottom w:val="single" w:sz="8" w:color="CFF0FC"/>
            </w:tcBorders>
          </w:tcPr>
          <w:p>
            <w:pPr>
              <w:spacing w:after="0"/>
              <w:rPr>
                <w:sz w:val="22"/>
                <w:szCs w:val="22"/>
                <w:color w:val="auto"/>
              </w:rPr>
            </w:pPr>
          </w:p>
        </w:tc>
        <w:tc>
          <w:tcPr>
            <w:tcW w:w="190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(48,503)</w:t>
            </w:r>
          </w:p>
        </w:tc>
        <w:tc>
          <w:tcPr>
            <w:tcW w:w="1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(48,503)</w:t>
            </w:r>
          </w:p>
        </w:tc>
      </w:tr>
      <w:tr>
        <w:trPr>
          <w:trHeight w:val="210"/>
        </w:trPr>
        <w:tc>
          <w:tcPr>
            <w:tcW w:w="37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w:t>
            </w:r>
          </w:p>
        </w:tc>
        <w:tc>
          <w:tcPr>
            <w:tcW w:w="2740" w:type="dxa"/>
            <w:vAlign w:val="bottom"/>
            <w:gridSpan w:val="2"/>
            <w:shd w:val="clear" w:color="auto" w:fill="CFF0FC"/>
          </w:tcPr>
          <w:p>
            <w:pPr>
              <w:jc w:val="right"/>
              <w:ind w:right="681"/>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(6,795)</w:t>
            </w: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(40,941)</w:t>
            </w:r>
          </w:p>
        </w:tc>
      </w:tr>
      <w:tr>
        <w:trPr>
          <w:trHeight w:val="223"/>
        </w:trPr>
        <w:tc>
          <w:tcPr>
            <w:tcW w:w="3720" w:type="dxa"/>
            <w:vAlign w:val="bottom"/>
            <w:tcBorders>
              <w:top w:val="single" w:sz="8" w:color="CFF0FC"/>
              <w:bottom w:val="single" w:sz="8" w:color="CFF0FC"/>
            </w:tcBorders>
            <w:shd w:val="clear" w:color="auto" w:fill="CFF0FC"/>
          </w:tcPr>
          <w:p>
            <w:pPr>
              <w:spacing w:after="0"/>
              <w:rPr>
                <w:sz w:val="19"/>
                <w:szCs w:val="19"/>
                <w:color w:val="auto"/>
              </w:rPr>
            </w:pPr>
          </w:p>
        </w:tc>
        <w:tc>
          <w:tcPr>
            <w:tcW w:w="19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1"/>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(47,736)</w:t>
            </w:r>
          </w:p>
        </w:tc>
      </w:tr>
      <w:tr>
        <w:trPr>
          <w:trHeight w:val="20"/>
        </w:trPr>
        <w:tc>
          <w:tcPr>
            <w:tcW w:w="3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During the period included in these financial statements, there were no transfers of amounts between levels.</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the valuation techniques and key inputs used in the fair value measurement of level 3 financial instruments: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88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Financial asset/financial</w:t>
            </w:r>
          </w:p>
        </w:tc>
        <w:tc>
          <w:tcPr>
            <w:tcW w:w="2220" w:type="dxa"/>
            <w:vAlign w:val="bottom"/>
            <w:tcBorders>
              <w:top w:val="single" w:sz="8" w:color="auto"/>
              <w:right w:val="single" w:sz="8" w:color="auto"/>
            </w:tcBorders>
          </w:tcPr>
          <w:p>
            <w:pPr>
              <w:spacing w:after="0"/>
              <w:rPr>
                <w:sz w:val="19"/>
                <w:szCs w:val="19"/>
                <w:color w:val="auto"/>
              </w:rPr>
            </w:pPr>
          </w:p>
        </w:tc>
        <w:tc>
          <w:tcPr>
            <w:tcW w:w="25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Significant unobservable</w:t>
            </w:r>
          </w:p>
        </w:tc>
        <w:tc>
          <w:tcPr>
            <w:tcW w:w="31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Relationship of unobservable</w:t>
            </w:r>
          </w:p>
        </w:tc>
      </w:tr>
      <w:tr>
        <w:trPr>
          <w:trHeight w:val="234"/>
        </w:trPr>
        <w:tc>
          <w:tcPr>
            <w:tcW w:w="28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liability</w:t>
            </w:r>
          </w:p>
        </w:tc>
        <w:tc>
          <w:tcPr>
            <w:tcW w:w="2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Valuation techniques</w:t>
            </w:r>
          </w:p>
        </w:tc>
        <w:tc>
          <w:tcPr>
            <w:tcW w:w="2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inputs</w:t>
            </w:r>
          </w:p>
        </w:tc>
        <w:tc>
          <w:tcPr>
            <w:tcW w:w="31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inputs to fair value</w:t>
            </w:r>
          </w:p>
        </w:tc>
      </w:tr>
      <w:tr>
        <w:trPr>
          <w:trHeight w:val="209"/>
        </w:trPr>
        <w:tc>
          <w:tcPr>
            <w:tcW w:w="28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Derivative liability</w:t>
            </w:r>
          </w:p>
        </w:tc>
        <w:tc>
          <w:tcPr>
            <w:tcW w:w="222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Market approach</w:t>
            </w:r>
          </w:p>
        </w:tc>
        <w:tc>
          <w:tcPr>
            <w:tcW w:w="252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Conversion Period</w:t>
            </w:r>
          </w:p>
        </w:tc>
        <w:tc>
          <w:tcPr>
            <w:tcW w:w="31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89"/>
              </w:rPr>
              <w:t>Increase or decrease in conversion period</w:t>
            </w:r>
          </w:p>
        </w:tc>
      </w:tr>
      <w:tr>
        <w:trPr>
          <w:trHeight w:val="216"/>
        </w:trPr>
        <w:tc>
          <w:tcPr>
            <w:tcW w:w="2880" w:type="dxa"/>
            <w:vAlign w:val="bottom"/>
            <w:tcBorders>
              <w:left w:val="single" w:sz="8" w:color="auto"/>
              <w:right w:val="single" w:sz="8" w:color="auto"/>
            </w:tcBorders>
            <w:shd w:val="clear" w:color="auto" w:fill="CFF0FC"/>
          </w:tcPr>
          <w:p>
            <w:pPr>
              <w:spacing w:after="0"/>
              <w:rPr>
                <w:sz w:val="18"/>
                <w:szCs w:val="18"/>
                <w:color w:val="auto"/>
              </w:rPr>
            </w:pPr>
          </w:p>
        </w:tc>
        <w:tc>
          <w:tcPr>
            <w:tcW w:w="2220" w:type="dxa"/>
            <w:vAlign w:val="bottom"/>
            <w:tcBorders>
              <w:right w:val="single" w:sz="8" w:color="auto"/>
            </w:tcBorders>
            <w:shd w:val="clear" w:color="auto" w:fill="CFF0FC"/>
          </w:tcPr>
          <w:p>
            <w:pPr>
              <w:spacing w:after="0"/>
              <w:rPr>
                <w:sz w:val="18"/>
                <w:szCs w:val="18"/>
                <w:color w:val="auto"/>
              </w:rPr>
            </w:pPr>
          </w:p>
        </w:tc>
        <w:tc>
          <w:tcPr>
            <w:tcW w:w="2520" w:type="dxa"/>
            <w:vAlign w:val="bottom"/>
            <w:tcBorders>
              <w:right w:val="single" w:sz="8" w:color="auto"/>
            </w:tcBorders>
            <w:shd w:val="clear" w:color="auto" w:fill="CFF0FC"/>
          </w:tcPr>
          <w:p>
            <w:pPr>
              <w:spacing w:after="0"/>
              <w:rPr>
                <w:sz w:val="18"/>
                <w:szCs w:val="18"/>
                <w:color w:val="auto"/>
              </w:rPr>
            </w:pPr>
          </w:p>
        </w:tc>
        <w:tc>
          <w:tcPr>
            <w:tcW w:w="31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6"/>
              </w:rPr>
              <w:t>will result in an increase or decrease in</w:t>
            </w:r>
          </w:p>
        </w:tc>
      </w:tr>
      <w:tr>
        <w:trPr>
          <w:trHeight w:val="230"/>
        </w:trPr>
        <w:tc>
          <w:tcPr>
            <w:tcW w:w="288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2220" w:type="dxa"/>
            <w:vAlign w:val="bottom"/>
            <w:tcBorders>
              <w:bottom w:val="single" w:sz="8" w:color="auto"/>
              <w:right w:val="single" w:sz="8" w:color="auto"/>
            </w:tcBorders>
            <w:shd w:val="clear" w:color="auto" w:fill="CFF0FC"/>
          </w:tcPr>
          <w:p>
            <w:pPr>
              <w:spacing w:after="0"/>
              <w:rPr>
                <w:sz w:val="20"/>
                <w:szCs w:val="20"/>
                <w:color w:val="auto"/>
              </w:rPr>
            </w:pPr>
          </w:p>
        </w:tc>
        <w:tc>
          <w:tcPr>
            <w:tcW w:w="2520" w:type="dxa"/>
            <w:vAlign w:val="bottom"/>
            <w:tcBorders>
              <w:bottom w:val="single" w:sz="8" w:color="auto"/>
              <w:right w:val="single" w:sz="8" w:color="auto"/>
            </w:tcBorders>
            <w:shd w:val="clear" w:color="auto" w:fill="CFF0FC"/>
          </w:tcPr>
          <w:p>
            <w:pPr>
              <w:spacing w:after="0"/>
              <w:rPr>
                <w:sz w:val="20"/>
                <w:szCs w:val="20"/>
                <w:color w:val="auto"/>
              </w:rPr>
            </w:pPr>
          </w:p>
        </w:tc>
        <w:tc>
          <w:tcPr>
            <w:tcW w:w="316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fair value</w:t>
            </w:r>
          </w:p>
        </w:tc>
      </w:tr>
      <w:tr>
        <w:trPr>
          <w:trHeight w:val="209"/>
        </w:trPr>
        <w:tc>
          <w:tcPr>
            <w:tcW w:w="28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Contingent Consideration</w:t>
            </w:r>
          </w:p>
        </w:tc>
        <w:tc>
          <w:tcPr>
            <w:tcW w:w="22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Discounted cash flow</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Risk adjusted discount rate and</w:t>
            </w:r>
          </w:p>
        </w:tc>
        <w:tc>
          <w:tcPr>
            <w:tcW w:w="3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Increase or decrease in risk adjusted</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22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approach</w:t>
            </w:r>
          </w:p>
        </w:tc>
        <w:tc>
          <w:tcPr>
            <w:tcW w:w="25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forecasted EBITDA</w:t>
            </w:r>
          </w:p>
        </w:tc>
        <w:tc>
          <w:tcPr>
            <w:tcW w:w="3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discount rate and forecasted EBITDA</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will result in an increase or decrease in</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fair value</w:t>
            </w:r>
          </w:p>
        </w:tc>
      </w:tr>
    </w:tbl>
    <w:p>
      <w:pPr>
        <w:spacing w:after="0" w:line="202" w:lineRule="exact"/>
        <w:rPr>
          <w:sz w:val="20"/>
          <w:szCs w:val="20"/>
          <w:color w:val="auto"/>
        </w:rPr>
      </w:pPr>
    </w:p>
    <w:p>
      <w:pPr>
        <w:jc w:val="both"/>
        <w:ind w:left="400"/>
        <w:spacing w:after="0" w:line="301" w:lineRule="auto"/>
        <w:rPr>
          <w:sz w:val="20"/>
          <w:szCs w:val="20"/>
          <w:color w:val="auto"/>
        </w:rPr>
      </w:pPr>
      <w:r>
        <w:rPr>
          <w:rFonts w:ascii="Arial" w:cs="Arial" w:eastAsia="Arial" w:hAnsi="Arial"/>
          <w:sz w:val="16"/>
          <w:szCs w:val="16"/>
          <w:color w:val="auto"/>
        </w:rPr>
        <w:t>The carrying amounts of cash and restricted cash, accounts receivable, deposits and other current assets, accounts payable, accrued expenses, and other current liabilities, current portion of long-term debt and lease liability as of March 31, 2022 and December 31, 2021 approximate their fair values because of the short-term nature of these items and are not included in the table above. The Company’s notes receivable, other long-term payables, long-term debt and lease liabilities approximate fair value due to the market rate of interest used on initial recognition.</w:t>
      </w:r>
    </w:p>
    <w:p>
      <w:pPr>
        <w:spacing w:after="0" w:line="90" w:lineRule="exact"/>
        <w:rPr>
          <w:sz w:val="20"/>
          <w:szCs w:val="20"/>
          <w:color w:val="auto"/>
        </w:rPr>
      </w:pPr>
    </w:p>
    <w:p>
      <w:pPr>
        <w:jc w:val="both"/>
        <w:ind w:left="400"/>
        <w:spacing w:after="0" w:line="279" w:lineRule="auto"/>
        <w:rPr>
          <w:sz w:val="20"/>
          <w:szCs w:val="20"/>
          <w:color w:val="auto"/>
        </w:rPr>
      </w:pPr>
      <w:r>
        <w:rPr>
          <w:rFonts w:ascii="Arial" w:cs="Arial" w:eastAsia="Arial" w:hAnsi="Arial"/>
          <w:sz w:val="17"/>
          <w:szCs w:val="17"/>
          <w:color w:val="auto"/>
        </w:rPr>
        <w:t>In addition to the disclosures for assets and liabilities required to be measured at fair value at the balance sheet date, companies are required to disclose the estimated fair values of all financial instruments, even if they are not presented at their fair value on the consolidated balance sheet. The fair values of financial instruments are estimates based upon market conditions and perceived risks as of March 31, 2022 and December 31, 2021. These estimates require management's judgment and may not be indicative of the future fair values of the assets and liabilities.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0"/>
          <w:szCs w:val="20"/>
          <w:color w:val="auto"/>
        </w:rPr>
      </w:pPr>
    </w:p>
    <w:p>
      <w:pPr>
        <w:ind w:right="3980"/>
        <w:spacing w:after="0" w:line="250" w:lineRule="auto"/>
        <w:rPr>
          <w:sz w:val="20"/>
          <w:szCs w:val="20"/>
          <w:color w:val="auto"/>
        </w:rPr>
      </w:pPr>
      <w:r>
        <w:rPr>
          <w:rFonts w:ascii="Arial" w:cs="Arial" w:eastAsia="Arial" w:hAnsi="Arial"/>
          <w:sz w:val="18"/>
          <w:szCs w:val="18"/>
          <w:color w:val="auto"/>
        </w:rPr>
        <w:t>NOTES TO THE CONDENSED INTERIM CONSOLIDATED FINANCIAL STATEMENTS FOR THE THREE MONTHS ENDED MARCH 31 2022 AND 2021 (Expressed in thousands of U.S. dollars, except for share and per share amounts)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0"/>
          <w:szCs w:val="20"/>
          <w:color w:val="auto"/>
        </w:rPr>
      </w:pPr>
    </w:p>
    <w:p>
      <w:pPr>
        <w:ind w:left="400" w:right="6360" w:hanging="378"/>
        <w:spacing w:after="0" w:line="422" w:lineRule="auto"/>
        <w:tabs>
          <w:tab w:leader="none" w:pos="289"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color w:val="auto"/>
        </w:rPr>
        <w:t>Goodwill and intangible assets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0" w:type="dxa"/>
            <w:vAlign w:val="bottom"/>
            <w:gridSpan w:val="3"/>
          </w:tcPr>
          <w:p>
            <w:pPr>
              <w:ind w:left="160"/>
              <w:spacing w:after="0"/>
              <w:rPr>
                <w:sz w:val="20"/>
                <w:szCs w:val="20"/>
                <w:color w:val="auto"/>
              </w:rPr>
            </w:pPr>
            <w:r>
              <w:rPr>
                <w:rFonts w:ascii="Arial" w:cs="Arial" w:eastAsia="Arial" w:hAnsi="Arial"/>
                <w:sz w:val="18"/>
                <w:szCs w:val="18"/>
                <w:b w:val="1"/>
                <w:bCs w:val="1"/>
                <w:color w:val="auto"/>
              </w:rPr>
              <w:t>March 31, 2022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88"/>
              </w:rPr>
              <w:t>December 31, 2021</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spacing w:after="0"/>
              <w:rPr>
                <w:sz w:val="19"/>
                <w:szCs w:val="19"/>
                <w:color w:val="auto"/>
              </w:rPr>
            </w:pPr>
          </w:p>
        </w:tc>
        <w:tc>
          <w:tcPr>
            <w:tcW w:w="2180" w:type="dxa"/>
            <w:vAlign w:val="bottom"/>
            <w:tcBorders>
              <w:top w:val="single" w:sz="8" w:color="auto"/>
            </w:tcBorders>
            <w:gridSpan w:val="2"/>
            <w:shd w:val="clear" w:color="auto" w:fill="CFF0FC"/>
          </w:tcPr>
          <w:p>
            <w:pPr>
              <w:jc w:val="right"/>
              <w:ind w:right="18"/>
              <w:spacing w:after="0"/>
              <w:rPr>
                <w:sz w:val="20"/>
                <w:szCs w:val="20"/>
                <w:color w:val="auto"/>
              </w:rPr>
            </w:pPr>
            <w:r>
              <w:rPr>
                <w:rFonts w:ascii="Arial" w:cs="Arial" w:eastAsia="Arial" w:hAnsi="Arial"/>
                <w:sz w:val="18"/>
                <w:szCs w:val="18"/>
                <w:color w:val="auto"/>
              </w:rPr>
              <w:t>256,346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256,346</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impairment on goodwill</w:t>
            </w: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(72,328)</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(72,328)</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goodwill, net</w:t>
            </w:r>
          </w:p>
        </w:tc>
        <w:tc>
          <w:tcPr>
            <w:tcW w:w="1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2180" w:type="dxa"/>
            <w:vAlign w:val="bottom"/>
            <w:tcBorders>
              <w:bottom w:val="single" w:sz="8" w:color="auto"/>
            </w:tcBorders>
            <w:gridSpan w:val="2"/>
            <w:shd w:val="clear" w:color="auto" w:fill="CFF0FC"/>
          </w:tcPr>
          <w:p>
            <w:pPr>
              <w:jc w:val="right"/>
              <w:ind w:right="18"/>
              <w:spacing w:after="0"/>
              <w:rPr>
                <w:sz w:val="20"/>
                <w:szCs w:val="20"/>
                <w:color w:val="auto"/>
              </w:rPr>
            </w:pPr>
            <w:r>
              <w:rPr>
                <w:rFonts w:ascii="Arial" w:cs="Arial" w:eastAsia="Arial" w:hAnsi="Arial"/>
                <w:sz w:val="18"/>
                <w:szCs w:val="18"/>
                <w:color w:val="auto"/>
              </w:rPr>
              <w:t>184,018</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184,018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Licenses</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180" w:type="dxa"/>
            <w:vAlign w:val="bottom"/>
            <w:gridSpan w:val="2"/>
            <w:shd w:val="clear" w:color="auto" w:fill="CFF0FC"/>
          </w:tcPr>
          <w:p>
            <w:pPr>
              <w:jc w:val="right"/>
              <w:ind w:right="18"/>
              <w:spacing w:after="0"/>
              <w:rPr>
                <w:sz w:val="20"/>
                <w:szCs w:val="20"/>
                <w:color w:val="auto"/>
              </w:rPr>
            </w:pPr>
            <w:r>
              <w:rPr>
                <w:rFonts w:ascii="Arial" w:cs="Arial" w:eastAsia="Arial" w:hAnsi="Arial"/>
                <w:sz w:val="18"/>
                <w:szCs w:val="18"/>
                <w:color w:val="auto"/>
              </w:rPr>
              <w:t>285,854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285,854</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Trademarks</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80" w:type="dxa"/>
            <w:vAlign w:val="bottom"/>
            <w:gridSpan w:val="2"/>
          </w:tcPr>
          <w:p>
            <w:pPr>
              <w:jc w:val="right"/>
              <w:ind w:right="18"/>
              <w:spacing w:after="0"/>
              <w:rPr>
                <w:sz w:val="20"/>
                <w:szCs w:val="20"/>
                <w:color w:val="auto"/>
              </w:rPr>
            </w:pPr>
            <w:r>
              <w:rPr>
                <w:rFonts w:ascii="Arial" w:cs="Arial" w:eastAsia="Arial" w:hAnsi="Arial"/>
                <w:sz w:val="18"/>
                <w:szCs w:val="18"/>
                <w:color w:val="auto"/>
              </w:rPr>
              <w:t>59,694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59,694</w:t>
            </w: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2180" w:type="dxa"/>
            <w:vAlign w:val="bottom"/>
            <w:tcBorders>
              <w:bottom w:val="single" w:sz="8" w:color="auto"/>
            </w:tcBorders>
            <w:gridSpan w:val="2"/>
            <w:shd w:val="clear" w:color="auto" w:fill="CFF0FC"/>
          </w:tcPr>
          <w:p>
            <w:pPr>
              <w:jc w:val="right"/>
              <w:ind w:right="18"/>
              <w:spacing w:after="0"/>
              <w:rPr>
                <w:sz w:val="20"/>
                <w:szCs w:val="20"/>
                <w:color w:val="auto"/>
              </w:rPr>
            </w:pPr>
            <w:r>
              <w:rPr>
                <w:rFonts w:ascii="Arial" w:cs="Arial" w:eastAsia="Arial" w:hAnsi="Arial"/>
                <w:sz w:val="18"/>
                <w:szCs w:val="18"/>
                <w:color w:val="auto"/>
              </w:rPr>
              <w:t>52,500</w:t>
            </w:r>
          </w:p>
        </w:tc>
        <w:tc>
          <w:tcPr>
            <w:tcW w:w="2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52,500</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80" w:type="dxa"/>
            <w:vAlign w:val="bottom"/>
            <w:gridSpan w:val="2"/>
          </w:tcPr>
          <w:p>
            <w:pPr>
              <w:jc w:val="right"/>
              <w:ind w:right="18"/>
              <w:spacing w:after="0"/>
              <w:rPr>
                <w:sz w:val="20"/>
                <w:szCs w:val="20"/>
                <w:color w:val="auto"/>
              </w:rPr>
            </w:pPr>
            <w:r>
              <w:rPr>
                <w:rFonts w:ascii="Arial" w:cs="Arial" w:eastAsia="Arial" w:hAnsi="Arial"/>
                <w:sz w:val="18"/>
                <w:szCs w:val="18"/>
                <w:color w:val="auto"/>
              </w:rPr>
              <w:t>398,048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398,048</w:t>
            </w: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1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2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(42,465)</w:t>
            </w:r>
          </w:p>
        </w:tc>
        <w:tc>
          <w:tcPr>
            <w:tcW w:w="2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(30,261)</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Total intangible assets,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8"/>
                <w:szCs w:val="18"/>
                <w:color w:val="auto"/>
              </w:rPr>
              <w:t>355,583</w:t>
            </w:r>
          </w:p>
        </w:tc>
        <w:tc>
          <w:tcPr>
            <w:tcW w:w="22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367,787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7680" w:type="dxa"/>
            <w:vAlign w:val="bottom"/>
            <w:gridSpan w:val="6"/>
          </w:tcPr>
          <w:p>
            <w:pPr>
              <w:ind w:left="400"/>
              <w:spacing w:after="0"/>
              <w:rPr>
                <w:sz w:val="20"/>
                <w:szCs w:val="20"/>
                <w:color w:val="auto"/>
              </w:rPr>
            </w:pPr>
            <w:r>
              <w:rPr>
                <w:rFonts w:ascii="Arial" w:cs="Arial" w:eastAsia="Arial" w:hAnsi="Arial"/>
                <w:sz w:val="18"/>
                <w:szCs w:val="18"/>
                <w:color w:val="auto"/>
                <w:w w:val="95"/>
              </w:rPr>
              <w:t>The amortization expense for the three months ended March 31, 2022 and 2021 are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0"/>
          </w:tcPr>
          <w:p>
            <w:pPr>
              <w:jc w:val="right"/>
              <w:ind w:right="950"/>
              <w:spacing w:after="0"/>
              <w:rPr>
                <w:sz w:val="20"/>
                <w:szCs w:val="20"/>
                <w:color w:val="auto"/>
              </w:rPr>
            </w:pPr>
            <w:r>
              <w:rPr>
                <w:rFonts w:ascii="Arial" w:cs="Arial" w:eastAsia="Arial" w:hAnsi="Arial"/>
                <w:sz w:val="18"/>
                <w:szCs w:val="18"/>
                <w:b w:val="1"/>
                <w:bCs w:val="1"/>
                <w:color w:val="auto"/>
                <w:w w:val="98"/>
              </w:rPr>
              <w:t>Three months ended March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2"/>
          </w:tcPr>
          <w:p>
            <w:pPr>
              <w:jc w:val="right"/>
              <w:ind w:right="978"/>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Amortization for the period included in selling, general and</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administrative expenses</w:t>
            </w:r>
          </w:p>
        </w:tc>
        <w:tc>
          <w:tcPr>
            <w:tcW w:w="5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0" w:type="dxa"/>
            <w:vAlign w:val="bottom"/>
            <w:gridSpan w:val="3"/>
            <w:shd w:val="clear" w:color="auto" w:fill="CFF0FC"/>
          </w:tcPr>
          <w:p>
            <w:pPr>
              <w:jc w:val="center"/>
              <w:ind w:left="1650"/>
              <w:spacing w:after="0"/>
              <w:rPr>
                <w:sz w:val="20"/>
                <w:szCs w:val="20"/>
                <w:color w:val="auto"/>
              </w:rPr>
            </w:pPr>
            <w:r>
              <w:rPr>
                <w:rFonts w:ascii="Arial" w:cs="Arial" w:eastAsia="Arial" w:hAnsi="Arial"/>
                <w:sz w:val="18"/>
                <w:szCs w:val="18"/>
                <w:color w:val="auto"/>
                <w:w w:val="90"/>
              </w:rPr>
              <w:t>12,204</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2,906</w:t>
            </w:r>
          </w:p>
        </w:tc>
        <w:tc>
          <w:tcPr>
            <w:tcW w:w="0" w:type="dxa"/>
            <w:vAlign w:val="bottom"/>
          </w:tcPr>
          <w:p>
            <w:pPr>
              <w:spacing w:after="0"/>
              <w:rPr>
                <w:sz w:val="1"/>
                <w:szCs w:val="1"/>
                <w:color w:val="auto"/>
              </w:rPr>
            </w:pPr>
          </w:p>
        </w:tc>
      </w:tr>
      <w:tr>
        <w:trPr>
          <w:trHeight w:val="580"/>
        </w:trPr>
        <w:tc>
          <w:tcPr>
            <w:tcW w:w="5280" w:type="dxa"/>
            <w:vAlign w:val="bottom"/>
            <w:gridSpan w:val="3"/>
          </w:tcPr>
          <w:p>
            <w:pPr>
              <w:ind w:left="20"/>
              <w:spacing w:after="0"/>
              <w:rPr>
                <w:sz w:val="20"/>
                <w:szCs w:val="20"/>
                <w:color w:val="auto"/>
              </w:rPr>
            </w:pPr>
            <w:r>
              <w:rPr>
                <w:rFonts w:ascii="Arial" w:cs="Arial" w:eastAsia="Arial" w:hAnsi="Arial"/>
                <w:sz w:val="18"/>
                <w:szCs w:val="18"/>
                <w:b w:val="1"/>
                <w:bCs w:val="1"/>
                <w:color w:val="auto"/>
              </w:rPr>
              <w:t>16. SELLING, GENERAL AND ADMINISTRATIVE EXPENSES</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680" w:type="dxa"/>
            <w:vAlign w:val="bottom"/>
            <w:gridSpan w:val="6"/>
          </w:tcPr>
          <w:p>
            <w:pPr>
              <w:ind w:left="400"/>
              <w:spacing w:after="0"/>
              <w:rPr>
                <w:sz w:val="20"/>
                <w:szCs w:val="20"/>
                <w:color w:val="auto"/>
              </w:rPr>
            </w:pPr>
            <w:r>
              <w:rPr>
                <w:rFonts w:ascii="Arial" w:cs="Arial" w:eastAsia="Arial" w:hAnsi="Arial"/>
                <w:sz w:val="18"/>
                <w:szCs w:val="18"/>
                <w:color w:val="auto"/>
              </w:rPr>
              <w:t>Selling, general and administrative expenses are summarized in the table below:</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60" w:type="dxa"/>
            <w:vAlign w:val="bottom"/>
            <w:tcBorders>
              <w:bottom w:val="single" w:sz="8" w:color="auto"/>
            </w:tcBorders>
            <w:gridSpan w:val="10"/>
          </w:tcPr>
          <w:p>
            <w:pPr>
              <w:jc w:val="right"/>
              <w:ind w:right="210"/>
              <w:spacing w:after="0"/>
              <w:rPr>
                <w:sz w:val="20"/>
                <w:szCs w:val="20"/>
                <w:color w:val="auto"/>
              </w:rPr>
            </w:pPr>
            <w:r>
              <w:rPr>
                <w:rFonts w:ascii="Arial" w:cs="Arial" w:eastAsia="Arial" w:hAnsi="Arial"/>
                <w:sz w:val="18"/>
                <w:szCs w:val="18"/>
                <w:b w:val="1"/>
                <w:bCs w:val="1"/>
                <w:color w:val="auto"/>
              </w:rPr>
              <w:t>Three months ended March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40" w:type="dxa"/>
            <w:vAlign w:val="bottom"/>
            <w:gridSpan w:val="2"/>
          </w:tcPr>
          <w:p>
            <w:pPr>
              <w:jc w:val="center"/>
              <w:ind w:left="578"/>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Salaries and benefits</w:t>
            </w:r>
          </w:p>
        </w:tc>
        <w:tc>
          <w:tcPr>
            <w:tcW w:w="1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58"/>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4"/>
              </w:rPr>
              <w:t>30,371</w:t>
            </w: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gridSpan w:val="2"/>
            <w:shd w:val="clear" w:color="auto" w:fill="CFF0FC"/>
          </w:tcPr>
          <w:p>
            <w:pPr>
              <w:jc w:val="right"/>
              <w:ind w:right="1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24,280</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Professional fees</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6,809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4"/>
              </w:rPr>
              <w:t>15,710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5,137</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Operating facilities costs</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10,037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6,588</w:t>
            </w: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Operating office and general expenses</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2,777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4,257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Other fees and expenses</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1,331</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Total selling, general and administrative expenses</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Borders>
              <w:bottom w:val="single" w:sz="8" w:color="auto"/>
            </w:tcBorders>
          </w:tcPr>
          <w:p>
            <w:pPr>
              <w:jc w:val="right"/>
              <w:ind w:right="958"/>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4"/>
              </w:rPr>
              <w:t>71,292</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Borders>
              <w:bottom w:val="single" w:sz="8" w:color="auto"/>
            </w:tcBorders>
            <w:gridSpan w:val="2"/>
          </w:tcPr>
          <w:p>
            <w:pPr>
              <w:jc w:val="right"/>
              <w:ind w:right="1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48,034</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17. OTHER EXPENSE, NET</w:t>
            </w: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700" w:type="dxa"/>
            <w:vAlign w:val="bottom"/>
          </w:tcPr>
          <w:p>
            <w:pPr>
              <w:ind w:left="400"/>
              <w:spacing w:after="0"/>
              <w:rPr>
                <w:sz w:val="20"/>
                <w:szCs w:val="20"/>
                <w:color w:val="auto"/>
              </w:rPr>
            </w:pPr>
            <w:r>
              <w:rPr>
                <w:rFonts w:ascii="Arial" w:cs="Arial" w:eastAsia="Arial" w:hAnsi="Arial"/>
                <w:sz w:val="18"/>
                <w:szCs w:val="18"/>
                <w:color w:val="auto"/>
              </w:rPr>
              <w:t>Other expense, net is summarized in the table below:</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60" w:type="dxa"/>
            <w:vAlign w:val="bottom"/>
            <w:tcBorders>
              <w:bottom w:val="single" w:sz="8" w:color="auto"/>
            </w:tcBorders>
            <w:gridSpan w:val="10"/>
          </w:tcPr>
          <w:p>
            <w:pPr>
              <w:jc w:val="right"/>
              <w:ind w:right="210"/>
              <w:spacing w:after="0"/>
              <w:rPr>
                <w:sz w:val="20"/>
                <w:szCs w:val="20"/>
                <w:color w:val="auto"/>
              </w:rPr>
            </w:pPr>
            <w:r>
              <w:rPr>
                <w:rFonts w:ascii="Arial" w:cs="Arial" w:eastAsia="Arial" w:hAnsi="Arial"/>
                <w:sz w:val="18"/>
                <w:szCs w:val="18"/>
                <w:b w:val="1"/>
                <w:bCs w:val="1"/>
                <w:color w:val="auto"/>
              </w:rPr>
              <w:t>Three months ended March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40" w:type="dxa"/>
            <w:vAlign w:val="bottom"/>
            <w:gridSpan w:val="2"/>
          </w:tcPr>
          <w:p>
            <w:pPr>
              <w:jc w:val="center"/>
              <w:ind w:left="578"/>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Rental income</w:t>
            </w:r>
          </w:p>
        </w:tc>
        <w:tc>
          <w:tcPr>
            <w:tcW w:w="1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58"/>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(762)</w:t>
            </w: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ind w:right="1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Change in fair value of the derivative liability</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683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Total other expense, net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jc w:val="right"/>
              <w:ind w:right="958"/>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340" w:type="dxa"/>
            <w:vAlign w:val="bottom"/>
          </w:tcPr>
          <w:p>
            <w:pPr>
              <w:jc w:val="right"/>
              <w:ind w:right="1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80"/>
          </w:cols>
          <w:pgMar w:left="320" w:top="121" w:right="7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1" w:right="79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COLUMBIA CARE INC.</w:t>
      </w:r>
    </w:p>
    <w:p>
      <w:pPr>
        <w:spacing w:after="0" w:line="27" w:lineRule="exact"/>
        <w:rPr>
          <w:sz w:val="20"/>
          <w:szCs w:val="20"/>
          <w:color w:val="auto"/>
        </w:rPr>
      </w:pPr>
    </w:p>
    <w:p>
      <w:pPr>
        <w:ind w:right="4440"/>
        <w:spacing w:after="0" w:line="250" w:lineRule="auto"/>
        <w:rPr>
          <w:sz w:val="20"/>
          <w:szCs w:val="20"/>
          <w:color w:val="auto"/>
        </w:rPr>
      </w:pPr>
      <w:r>
        <w:rPr>
          <w:rFonts w:ascii="Arial" w:cs="Arial" w:eastAsia="Arial" w:hAnsi="Arial"/>
          <w:sz w:val="18"/>
          <w:szCs w:val="18"/>
          <w:color w:val="auto"/>
        </w:rPr>
        <w:t>NOTES TO THE CONDENSED INTERIM CONSOLIDATED FINANCIAL STATEMENTS FOR THE THREE MONTHS ENDED MARCH 31 2022 AND 2021 (Expressed in thousands of U.S. dollars, except for share and per share amounts)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61" w:lineRule="exact"/>
        <w:rPr>
          <w:rFonts w:ascii="Arial" w:cs="Arial" w:eastAsia="Arial" w:hAnsi="Arial"/>
          <w:sz w:val="18"/>
          <w:szCs w:val="18"/>
          <w:b w:val="1"/>
          <w:bCs w:val="1"/>
          <w:color w:val="auto"/>
        </w:rPr>
      </w:pPr>
    </w:p>
    <w:p>
      <w:pPr>
        <w:jc w:val="both"/>
        <w:ind w:left="40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April 2022, the Company issued 18,755,082 common shares and, on April 18, 2022 and April 24, 2022 paid approximately $26,000 to acquire, by merger, VentureForth Holdings, LLC, which is the owner of VentureForth, and holds two licenses from the Washington D.C. Alcoholic Beverage Regulation Administration (“ABRA”), specifically, one license to cultivate and manufacture medical cannabis and one license to dispense medical cannabis. The merger was approved by ABRA. The Company previously had a management services agreement with VentureForth. In further connection with the acquisition, the shares issued and amounts paid also amicably resolved, with no admissions of liability and in exchange for releases, certain direct, indirect, derivative and indemnification claims relating to a confidential arbitration to which VentureForth, a separate subsidiary of the Company and certain members of the Company’s management team were respondent parties.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This management’s discussion and analysis (“MD&amp;A”) of the financial condition and results of operations of Columbia Care Inc. (“Columbia Care”, the “Company”, “us”, “our” or “we”) is supplemental to, and should be read in conjunction with, Columbia Care’s condensed interim consolidated financial statements and the accompanying notes for the three months ended March 31, 2022 and 2021. Except for historical information, the discussion in this section contains forward-looking statements that involve risks and uncertainties. Future results could differ materially from those discussed below for many reasons, including the risks described in “Disclosure Regarding Forward-Looking Statements,” Item 1A-Risk Factors” and elsewhere in the included in Company’s Annual Report on Form 10-K for the year ended December 31, 2021, filed with the SEC on March 31, 2022 and subsequent securities filing.</w:t>
      </w:r>
    </w:p>
    <w:p>
      <w:pPr>
        <w:spacing w:after="0" w:line="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Columbia Care’s financial statements are prepared in accordance with generally accepted accounting principles in the United States of America (“US GAAP”). Financial information presented in this MD&amp;A is presented in thousands of United States dollars (“$” or “US$”), unless otherwise indicated.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COLUMBIA CARE</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business activity is the production and sale of cannabis. We strive to be the premier provider of cannabis-related products in each of the markets in which we operate. Our mission is to improve lives by providing cannabis-based health and wellness solutions through community partnerships, research, education and the responsible use of our products as a natural means to alleviate symptoms and improve the quality of life of our patients and customers.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COLUMBIA CARE OBJECTIVES AND FACTORS AFFECTING OUR PERFORMANCE</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one of the largest fully integrated operators in the global medical cannabis industry, our strategy to grow our business is comprised of the following key components:</w:t>
      </w:r>
    </w:p>
    <w:p>
      <w:pPr>
        <w:spacing w:after="0" w:line="103" w:lineRule="exact"/>
        <w:rPr>
          <w:sz w:val="20"/>
          <w:szCs w:val="20"/>
          <w:color w:val="auto"/>
        </w:rPr>
      </w:pPr>
    </w:p>
    <w:p>
      <w:pPr>
        <w:ind w:left="1180" w:hanging="781"/>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and development within and outside our current markets</w:t>
      </w:r>
    </w:p>
    <w:p>
      <w:pPr>
        <w:spacing w:after="0" w:line="157" w:lineRule="exact"/>
        <w:rPr>
          <w:rFonts w:ascii="Arial" w:cs="Arial" w:eastAsia="Arial" w:hAnsi="Arial"/>
          <w:sz w:val="18"/>
          <w:szCs w:val="18"/>
          <w:color w:val="auto"/>
        </w:rPr>
      </w:pPr>
    </w:p>
    <w:p>
      <w:pPr>
        <w:ind w:left="1180" w:hanging="781"/>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Patient-centric, provider-based model to leverage health and wellness focus</w:t>
      </w:r>
    </w:p>
    <w:p>
      <w:pPr>
        <w:spacing w:after="0" w:line="157" w:lineRule="exact"/>
        <w:rPr>
          <w:rFonts w:ascii="Arial" w:cs="Arial" w:eastAsia="Arial" w:hAnsi="Arial"/>
          <w:sz w:val="18"/>
          <w:szCs w:val="18"/>
          <w:color w:val="auto"/>
        </w:rPr>
      </w:pPr>
    </w:p>
    <w:p>
      <w:pPr>
        <w:ind w:left="1180" w:hanging="781"/>
        <w:spacing w:after="0"/>
        <w:tabs>
          <w:tab w:leader="none" w:pos="1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Consistency of proprietary product portfolio comprised of branded consumer products and pharmaceutical quality proprietary products.</w:t>
      </w:r>
    </w:p>
    <w:p>
      <w:pPr>
        <w:spacing w:after="0" w:line="180" w:lineRule="exact"/>
        <w:rPr>
          <w:rFonts w:ascii="Arial" w:cs="Arial" w:eastAsia="Arial" w:hAnsi="Arial"/>
          <w:sz w:val="16"/>
          <w:szCs w:val="16"/>
          <w:color w:val="auto"/>
        </w:rPr>
      </w:pPr>
    </w:p>
    <w:p>
      <w:pPr>
        <w:ind w:left="1180" w:hanging="781"/>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Intellectual property and data-driven innovation</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performance and future success are dependent on several factors. These factors are also subject to inherent risks and challenges, some of which are discussed below.</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Branding</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established a national branding strategy across each of the jurisdictions in which we operate. Maintaining and growing our brand appeal is critical to our continued success.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Regulation</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the local and federal laws in the jurisdictions in which we operate. Outside of the United States, our products may be subject to tariffs, treaties and various trade agreements as well as laws affecting the importation of consumer goods. We hold all required licenses for the production and distribution of our products in the jurisdictions in which we operate and continuously monitor changes in laws, regulations, treaties and agreements. In recent years, a temporary federal legislative enactment that prohibits the Department of Justice from expending appropriated funds to enforce federal laws that interfere with a state's implementation of its own medical marijuana laws has been included in multiple Appropriations laws that have passed Congress. This so-called budget rider is known as the Rohrbacher-Farr Amendment. The Rohrbacher-Farr Amendment has been included in successive appropriations legislation or resolutions since 2015. The Rohrabacher-Farr Amendment was renewed most recently in the Omnibus Appropriations Act of 2021, which funds the agencies of the federal government through September 30, 2021. On September 30, 2021, the Amendment was extended through the signing of a continuing resolution, effective through February 18, 2021, and has since been extended again until September 30, 2022. Notably, the Rohrbacher-Farr Amendment has applied only to medical marijuana programs and has not provided the same protections to enforcement against adult-use activities.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Innovation and Consumer Trends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is subject to changing consumer trends and preferences, which is dependent, in part, on continued consumer interest in new products. The success of new product offerings, depends upon a number of factors, including our ability to (i) accurately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anticipate customer needs; (ii) develop new products that meet these needs; (iii) successfully commercialize new products; (iv) price products competitively; (v) produce and deliver products in sufficient volumes and on a timely basis; and (vi) differentiate product offerings from those of competitors.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Growth Strategies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 successful history of growing revenue and we believe we have a strong strategy aimed at continuing our history of expansion in both current and new markets. Our future depends, in part, on our ability to implement our growth strategy including (i) product innovations; (ii) penetration of new markets; (iii) growth of wholesale revenue through third party retailers and distributors; (iv) future development of e-commerce and home delivery distribution capabilities; and (v) expansion of our cultivation and manufacturing capacity. Our ability to implement this growth strategy depends, among other things, on our ability to develop new products that appeal to consumers, maintain and expand brand loyalty, maintain and improve product quality and brand recognition, maintain and improve competitive position in our current markets, and identify and successfully enter and market products in new geographic areas and segments.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Announcement</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23, 2022, the Company jointly announced with Cresco Labs LLC (“Cresco Labs”) that the Company and Cresco Labs have entered into a definitive arrangement agreement (the “Arrangement Agreement”) pursuant to which Cresco Labs will acquire all of the issued and outstanding shares (the “Company Shares”) of the Company (the “Cresco Transaction”). Subject to customary closing conditions and necessary regulatory approvals, the Cresco Transaction is expected to close in the fourth quarter of 2022. Under the terms of the Arrangement Agreement, shareholders of the Company (the “Company Shareholders”) will receive 0.5579 of a subordinate voting share of Cresco Labs (each whole share, a “Cresco Labs Share”) for each Company common share (or equivalent) held, subject to adjustment, representing total consideration enterprise value of approximately US$2.0 billion based on the closing price of Cresco Labs Shares on the CSE as of March 22, 2022. After giving effect to the Cresco Transaction, Company Shareholders will hold approximately 35% of the pro forma Cresco Labs Shares (on a fully diluted in-the-money, treasury method basis)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set forth selected consolidated financial information derived from our condensed interim consolidated financial statements and the respective accompanying notes prepared in accordance with U.S. GAAP.</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periods discussed herein, our accounting policies have remained consistent. The selected and summarized consolidated financial information below may not be indicative of our future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Statement of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CFF0FC"/>
            </w:tcBorders>
          </w:tcPr>
          <w:p>
            <w:pPr>
              <w:spacing w:after="0"/>
              <w:rPr>
                <w:sz w:val="18"/>
                <w:szCs w:val="18"/>
                <w:color w:val="auto"/>
              </w:rPr>
            </w:pPr>
          </w:p>
        </w:tc>
        <w:tc>
          <w:tcPr>
            <w:tcW w:w="44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w w:val="98"/>
              </w:rPr>
              <w:t>March 31, 2022</w:t>
            </w:r>
          </w:p>
        </w:tc>
        <w:tc>
          <w:tcPr>
            <w:tcW w:w="16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w w:val="98"/>
              </w:rPr>
              <w:t>March 31, 2021</w:t>
            </w: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9"/>
              </w:rPr>
              <w:t>$ Change</w:t>
            </w:r>
          </w:p>
        </w:tc>
        <w:tc>
          <w:tcPr>
            <w:tcW w:w="16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2"/>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680" w:type="dxa"/>
            <w:vAlign w:val="bottom"/>
            <w:gridSpan w:val="2"/>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123,087</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86,095</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36,992</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6"/>
                <w:szCs w:val="16"/>
                <w:color w:val="auto"/>
              </w:rPr>
              <w:t>Cost of sales related to inventory production</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(66,460)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(52,307)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(14,153)</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w w:val="99"/>
              </w:rPr>
              <w:t>Cost of sales related to business combination fair value adjustments to</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inventories</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140</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6"/>
        </w:trPr>
        <w:tc>
          <w:tcPr>
            <w:tcW w:w="5000" w:type="dxa"/>
            <w:vAlign w:val="bottom"/>
          </w:tcPr>
          <w:p>
            <w:pPr>
              <w:spacing w:after="0"/>
              <w:rPr>
                <w:sz w:val="20"/>
                <w:szCs w:val="20"/>
                <w:color w:val="auto"/>
              </w:rPr>
            </w:pPr>
            <w:r>
              <w:rPr>
                <w:rFonts w:ascii="Arial" w:cs="Arial" w:eastAsia="Arial" w:hAnsi="Arial"/>
                <w:sz w:val="16"/>
                <w:szCs w:val="16"/>
                <w:color w:val="auto"/>
              </w:rPr>
              <w:t>Gross profit</w:t>
            </w:r>
          </w:p>
        </w:tc>
        <w:tc>
          <w:tcPr>
            <w:tcW w:w="4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56,627</w:t>
            </w: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33,648</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22,979</w:t>
            </w:r>
          </w:p>
        </w:tc>
        <w:tc>
          <w:tcPr>
            <w:tcW w:w="16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expenses</w:t>
            </w:r>
          </w:p>
        </w:tc>
        <w:tc>
          <w:tcPr>
            <w:tcW w:w="4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(71,292)</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(48,034)</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(23,258)</w:t>
            </w:r>
          </w:p>
        </w:tc>
        <w:tc>
          <w:tcPr>
            <w:tcW w:w="160" w:type="dxa"/>
            <w:vAlign w:val="bottom"/>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6"/>
        </w:trPr>
        <w:tc>
          <w:tcPr>
            <w:tcW w:w="5000" w:type="dxa"/>
            <w:vAlign w:val="bottom"/>
          </w:tcPr>
          <w:p>
            <w:pPr>
              <w:spacing w:after="0"/>
              <w:rPr>
                <w:sz w:val="20"/>
                <w:szCs w:val="20"/>
                <w:color w:val="auto"/>
              </w:rPr>
            </w:pPr>
            <w:r>
              <w:rPr>
                <w:rFonts w:ascii="Arial" w:cs="Arial" w:eastAsia="Arial" w:hAnsi="Arial"/>
                <w:sz w:val="16"/>
                <w:szCs w:val="16"/>
                <w:color w:val="auto"/>
              </w:rPr>
              <w:t>Loss from operations</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(14,665)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(14,386)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(279)</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Other expense, net</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(12,609)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(7,350)</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4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1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(9,518)</w:t>
            </w: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8,886</w:t>
            </w:r>
          </w:p>
        </w:tc>
        <w:tc>
          <w:tcPr>
            <w:tcW w:w="16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3"/>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(27,906)</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(29,163)</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1,257</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loss attributable to non-controlling interest</w:t>
            </w:r>
          </w:p>
        </w:tc>
        <w:tc>
          <w:tcPr>
            <w:tcW w:w="4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w:t>
            </w:r>
          </w:p>
        </w:tc>
        <w:tc>
          <w:tcPr>
            <w:tcW w:w="1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16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Net loss attributable to Columbia Care Inc.</w:t>
            </w: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2"/>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(26,636)</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(28,782)</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2,146</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Loss per share attributable to Columbia Care Inc. - based and diluted</w:t>
            </w:r>
          </w:p>
        </w:tc>
        <w:tc>
          <w:tcPr>
            <w:tcW w:w="4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vMerge w:val="continue"/>
          </w:tcPr>
          <w:p>
            <w:pPr>
              <w:spacing w:after="0"/>
              <w:rPr>
                <w:sz w:val="20"/>
                <w:szCs w:val="20"/>
                <w:color w:val="auto"/>
              </w:rPr>
            </w:pPr>
          </w:p>
        </w:tc>
        <w:tc>
          <w:tcPr>
            <w:tcW w:w="68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(0.07)</w:t>
            </w:r>
          </w:p>
        </w:tc>
        <w:tc>
          <w:tcPr>
            <w:tcW w:w="160" w:type="dxa"/>
            <w:vAlign w:val="bottom"/>
          </w:tcPr>
          <w:p>
            <w:pPr>
              <w:spacing w:after="0"/>
              <w:rPr>
                <w:sz w:val="20"/>
                <w:szCs w:val="20"/>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(0.10)</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0.03</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6"/>
        </w:trPr>
        <w:tc>
          <w:tcPr>
            <w:tcW w:w="5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 average number of shares outstanding - basic and diluted</w:t>
            </w:r>
          </w:p>
        </w:tc>
        <w:tc>
          <w:tcPr>
            <w:tcW w:w="44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376,397,260</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294,815,943</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14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3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Summary of balance sheet items: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8"/>
        </w:trPr>
        <w:tc>
          <w:tcPr>
            <w:tcW w:w="49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b w:val="1"/>
                <w:bCs w:val="1"/>
                <w:color w:val="auto"/>
                <w:w w:val="92"/>
              </w:rPr>
              <w:t>March 31, 2022</w:t>
            </w: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1,482,443</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1,376,512</w:t>
            </w: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Total Liabilities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952,743</w:t>
            </w:r>
          </w:p>
        </w:tc>
        <w:tc>
          <w:tcPr>
            <w:tcW w:w="7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825,689</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Liabilities</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729,908</w:t>
            </w:r>
          </w:p>
        </w:tc>
        <w:tc>
          <w:tcPr>
            <w:tcW w:w="78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581,692</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Total Equity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529,700</w:t>
            </w:r>
          </w:p>
        </w:tc>
        <w:tc>
          <w:tcPr>
            <w:tcW w:w="7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550,823</w:t>
            </w:r>
          </w:p>
        </w:tc>
      </w:tr>
      <w:tr>
        <w:trPr>
          <w:trHeight w:val="431"/>
        </w:trPr>
        <w:tc>
          <w:tcPr>
            <w:tcW w:w="494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64"/>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w w:val="89"/>
              </w:rPr>
              <w:t>Comparison of the three months ended March 31, 2022 and 2021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1"/>
        </w:trPr>
        <w:tc>
          <w:tcPr>
            <w:tcW w:w="4940" w:type="dxa"/>
            <w:vAlign w:val="bottom"/>
          </w:tcPr>
          <w:p>
            <w:pPr>
              <w:spacing w:after="0"/>
              <w:rPr>
                <w:sz w:val="20"/>
                <w:szCs w:val="20"/>
                <w:color w:val="auto"/>
              </w:rPr>
            </w:pPr>
            <w:r>
              <w:rPr>
                <w:rFonts w:ascii="Arial" w:cs="Arial" w:eastAsia="Arial" w:hAnsi="Arial"/>
                <w:sz w:val="18"/>
                <w:szCs w:val="18"/>
                <w:color w:val="auto"/>
              </w:rPr>
              <w:t>The following tables summarizes our results of operations: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4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05"/>
        </w:trPr>
        <w:tc>
          <w:tcPr>
            <w:tcW w:w="4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490"/>
              <w:spacing w:after="0" w:line="205"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020" w:type="dxa"/>
            <w:vAlign w:val="bottom"/>
          </w:tcPr>
          <w:p>
            <w:pPr>
              <w:jc w:val="right"/>
              <w:ind w:right="430"/>
              <w:spacing w:after="0" w:line="205" w:lineRule="exact"/>
              <w:rPr>
                <w:sz w:val="20"/>
                <w:szCs w:val="20"/>
                <w:color w:val="auto"/>
              </w:rPr>
            </w:pPr>
            <w:r>
              <w:rPr>
                <w:rFonts w:ascii="Arial" w:cs="Arial" w:eastAsia="Arial" w:hAnsi="Arial"/>
                <w:sz w:val="18"/>
                <w:szCs w:val="18"/>
                <w:b w:val="1"/>
                <w:bCs w:val="1"/>
                <w:color w:val="auto"/>
              </w:rPr>
              <w:t>%</w:t>
            </w:r>
          </w:p>
        </w:tc>
      </w:tr>
      <w:tr>
        <w:trPr>
          <w:trHeight w:val="234"/>
        </w:trPr>
        <w:tc>
          <w:tcPr>
            <w:tcW w:w="4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2022</w:t>
            </w:r>
          </w:p>
        </w:tc>
        <w:tc>
          <w:tcPr>
            <w:tcW w:w="100" w:type="dxa"/>
            <w:vAlign w:val="bottom"/>
          </w:tcPr>
          <w:p>
            <w:pPr>
              <w:spacing w:after="0"/>
              <w:rPr>
                <w:sz w:val="20"/>
                <w:szCs w:val="20"/>
                <w:color w:val="auto"/>
              </w:rPr>
            </w:pPr>
          </w:p>
        </w:tc>
        <w:tc>
          <w:tcPr>
            <w:tcW w:w="1780" w:type="dxa"/>
            <w:vAlign w:val="bottom"/>
            <w:gridSpan w:val="4"/>
          </w:tcPr>
          <w:p>
            <w:pPr>
              <w:ind w:left="10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123,087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86,095</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36,992</w:t>
            </w:r>
          </w:p>
        </w:tc>
        <w:tc>
          <w:tcPr>
            <w:tcW w:w="1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Cost of sales related to inventory production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(66,460)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(52,307)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(14,153)</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5"/>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w w:val="90"/>
              </w:rPr>
              <w:t>Cost of sales related to business combination fair value adjustments</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to inventory</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56,627</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33,648</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22,979</w:t>
            </w:r>
          </w:p>
        </w:tc>
        <w:tc>
          <w:tcPr>
            <w:tcW w:w="1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(71,292)</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(48,034)</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(23,258)</w:t>
            </w:r>
          </w:p>
        </w:tc>
        <w:tc>
          <w:tcPr>
            <w:tcW w:w="1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(14,665)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(14,386)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(12,609)</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(5,259)</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(7,350)</w:t>
            </w:r>
          </w:p>
        </w:tc>
        <w:tc>
          <w:tcPr>
            <w:tcW w:w="1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(27,274)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(19,645)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(7,629)</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(9,518)</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8,886</w:t>
            </w:r>
          </w:p>
        </w:tc>
        <w:tc>
          <w:tcPr>
            <w:tcW w:w="1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(27,906)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(29,163)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1,257</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non-controlling interests</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1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Net loss attributable to Columbia Care Inc.</w:t>
            </w:r>
          </w:p>
        </w:tc>
        <w:tc>
          <w:tcPr>
            <w:tcW w:w="22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(26,636)</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(28,782)</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2,146</w:t>
            </w:r>
          </w:p>
        </w:tc>
        <w:tc>
          <w:tcPr>
            <w:tcW w:w="1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revenue of $36,992 for the three months ended March 31, 2022, as compared to the prior year period was primarily driven by the expansion of our existing wholesale and retail network and our recent acquisitions. Our revenue is predominantly generated by retail sales which increased by $37,575 during the three months ended March 31, 2022 as compared to the prior year period.</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three months ended March 31, 2022, we experienced a revenue reduction of $1,864 due to organic movement which includes our Legacy Columbia Care network as well as our acquisitions of (a) The Green Solution LCC (“the Green Solution”), (b) Resource Referral Services Inc., PHC Facilities Inc. and Wellness Earth Energy Dispensary, Inc., and a 49.9% ownership interest in Access Bryant SPC (collectively, “Project Cannabis”), (c) The Healing Center San Diego, Inc. (“the Healing Center”),. Our existing wholesale and retail network contributed to revenue reduction of $5,241 and the expansion of new wholesale and retail facilities contributed to revenue growth of $3,376 as compared to the prior period. Our acquisitions of (a) Cannascend Alternative, LLC and Cannascend Alternative Logan, LLC (together “Cannascend”), (b) Corsa Verde LLC (“Corsa Verde”), (c) Green Leaf Medical, LLC (“gLeaf”) and (d) Futurevision 2020, LLC and Futurevision Holdings, Inc. d/b/a Medicine Man (together, “Medicine Man”) contributed to an additional increase in revenue by $38,856 during the three months ended March 31, 2022, as compared to the prior period. Revenue increased by $38,702 related to our acquired retail facilities and $154 related to our acquired wholesale facilities.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cost of sales of $14,013 for the three months ended March 31, 2022 as compared to the prior year period was primarily driven by the expansion of our existing wholesale and retail network and our recent acquisitions.</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2022, we experienced a cost of sales reduction of $3,042 when compared to the prior period due to organic growth which includes our Legacy Columbia Care network as well as our acquisitions of the Green Solution, Project Cannabis and the Healing Center. Our existing wholesale and retail network contributed to a cost of sales reduction of $5,942 and the expansion of new wholesale and retail facilities contributed to a cost of sales growth of $2,900 as compared to the prior period. Our acquisitions of, Cannascend, Corsa Verde, gLeaf and Medicine Man contributed to 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additional $17,055 of cost of sales during the three months ended March 31, 2022, as compared to the prior period. Cost of sales increased by $16,706 related to our acquired retail facilities and $349 related to our acquired wholesale facilities.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5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increase in gross profit of $22,979 for the three months ended March 31, 2022, as compared to the prior year period was primarily driven by the expansion of our existing wholesale and retail network and our recent acquisitions.</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three months ended March 31, 2022 we experienced a gross profit increase of $1,178 when compared to the prior period due to organic growth which includes our Legacy Columbia Care network as well as our acquisitions of the Green Solution, Project Cannabis and the Healing Center. Our existing wholesale and retail network contributed to a gross margin increase of $701 as compared to the prior period. Our acquisitions of Cannascend, Corsa Verde, gLeaf and Medicine Man contributed to an additional $21,801 of gross profit during the three months ended March 31, 2022, as compared to the prior year. Gross profit increased by $21,996 related to our acquired retail facilities and decreased $195 related to our acquired wholesale facilities.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increase of $23,258 in operating expenses for the three months ended March 31, 2022 as compared to the prior year period was primarily attributable to an increase in depreciation and amortization of $10,573, salary and benefits of $6,091, operating facility costs of $3,449, advertising and promotion expense of $1,677 and professional expenses of $1,484 as we expanded our operations and increased the size and scope of our administrative functions.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other expense, net for the three months ended March 31, 2022 as compared to the prior year period was primarily due to increase in rental income of $762 which was partially offset by the change in fair value of derivative liability of $504.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 for Income Taxes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income tax expense of $632 for the three months ended March 31, 2022, as compared to income tax expense of $9,518 for the three months ended March 31, 2021.</w:t>
      </w:r>
    </w:p>
    <w:p>
      <w:pPr>
        <w:spacing w:after="0" w:line="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current tax expense has increased in the current period, however, the decrease in in total tax expense is largely due to the Company’s previous acquisition activity that had generated deferred tax liabilities now giving rise to a deferred tax benefit. The Company operates in the legal cannabis industry but is subject to Section 280E of the Internal Revenue Code (“Section 280E”) which prohibits the Company from deducting non cost of goods sold related expenses. The result of Section 280E’s application to the Company results in permanent disallowance of ordinary and necessary business expenses. As a result of 280E the Company’s effective tax rate can be highly variable and may not necessarily correlate with pre-tax income or loss.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use certain non-GAAP measures, referenced in this MD&amp;A. These measures are not recognized measures under GAAP and do not have a standardized meaning prescribed by GAAP and therefore may not be comparable to similar measures presented by other companies. Accordingly, these measures should not be considered in isolation from nor as a substitute for our financial information reported under GAAP. We use non-GAAP measures including EBITDA, Adjusted EBITDA and Adjusted EBITDA margin which may be calculated differently by other companies. These non-GAAP measures and metrics are used to provide investors with supplemental measures of our operating performance and liquidity and thus highlight trends in our business that may not otherwise be apparent when relying solely on GAAP measures. These supplemental non-GAAP financial measures should not be considered superior to, as a substitute for, or as an alternative to, and should be considered in conjunction with, the GAAP financial measures presented. We also recognize that securities analysts, investors and other interested parties frequently use non-GAAP measures in the evaluation of companies within our industry. Finally, we use non-GAAP measures and metrics in order to facilitate evaluation of operating performance comparisons from period to period, to prepare annual operating budgets and forecasts and to determine components of executive compensation.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The following table provides a reconciliation of net loss for the period to EBITDA and Adjusted EBITDA for the three months ended March 31,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4"/>
          </w:tcPr>
          <w:p>
            <w:pPr>
              <w:jc w:val="right"/>
              <w:ind w:right="149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66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March 31, 2022</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March 31, 2021</w:t>
            </w: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(27,906)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(29,163)</w:t>
            </w:r>
          </w:p>
        </w:tc>
      </w:tr>
      <w:tr>
        <w:trPr>
          <w:trHeight w:val="229"/>
        </w:trPr>
        <w:tc>
          <w:tcPr>
            <w:tcW w:w="6620" w:type="dxa"/>
            <w:vAlign w:val="bottom"/>
          </w:tcPr>
          <w:p>
            <w:pPr>
              <w:ind w:left="260"/>
              <w:spacing w:after="0"/>
              <w:rPr>
                <w:sz w:val="20"/>
                <w:szCs w:val="20"/>
                <w:color w:val="auto"/>
              </w:rPr>
            </w:pPr>
            <w:r>
              <w:rPr>
                <w:rFonts w:ascii="Arial" w:cs="Arial" w:eastAsia="Arial" w:hAnsi="Arial"/>
                <w:sz w:val="18"/>
                <w:szCs w:val="18"/>
                <w:color w:val="auto"/>
              </w:rPr>
              <w:t>Income tax</w:t>
            </w:r>
          </w:p>
        </w:tc>
        <w:tc>
          <w:tcPr>
            <w:tcW w:w="260" w:type="dxa"/>
            <w:vAlign w:val="bottom"/>
          </w:tcPr>
          <w:p>
            <w:pPr>
              <w:spacing w:after="0"/>
              <w:rPr>
                <w:sz w:val="19"/>
                <w:szCs w:val="19"/>
                <w:color w:val="auto"/>
              </w:rPr>
            </w:pPr>
          </w:p>
        </w:tc>
        <w:tc>
          <w:tcPr>
            <w:tcW w:w="1960" w:type="dxa"/>
            <w:vAlign w:val="bottom"/>
          </w:tcPr>
          <w:p>
            <w:pPr>
              <w:jc w:val="right"/>
              <w:ind w:right="110"/>
              <w:spacing w:after="0"/>
              <w:rPr>
                <w:sz w:val="20"/>
                <w:szCs w:val="20"/>
                <w:color w:val="auto"/>
              </w:rPr>
            </w:pPr>
            <w:r>
              <w:rPr>
                <w:rFonts w:ascii="Arial" w:cs="Arial" w:eastAsia="Arial" w:hAnsi="Arial"/>
                <w:sz w:val="18"/>
                <w:szCs w:val="18"/>
                <w:color w:val="auto"/>
              </w:rPr>
              <w:t>632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9,518</w:t>
            </w: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21,210</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8,523</w:t>
            </w:r>
          </w:p>
        </w:tc>
      </w:tr>
      <w:tr>
        <w:trPr>
          <w:trHeight w:val="229"/>
        </w:trPr>
        <w:tc>
          <w:tcPr>
            <w:tcW w:w="6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expense, net and debt amortization</w:t>
            </w: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12,670</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5,006</w:t>
            </w: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EBITDA (non-GAAP measure)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6,606</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(6,116)</w:t>
            </w: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Adjustments:</w:t>
            </w:r>
          </w:p>
        </w:tc>
        <w:tc>
          <w:tcPr>
            <w:tcW w:w="2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w:t>
            </w:r>
          </w:p>
        </w:tc>
        <w:tc>
          <w:tcPr>
            <w:tcW w:w="26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6,374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7,786</w:t>
            </w:r>
          </w:p>
        </w:tc>
      </w:tr>
      <w:tr>
        <w:trPr>
          <w:trHeight w:val="229"/>
        </w:trPr>
        <w:tc>
          <w:tcPr>
            <w:tcW w:w="6620" w:type="dxa"/>
            <w:vAlign w:val="bottom"/>
          </w:tcPr>
          <w:p>
            <w:pPr>
              <w:ind w:left="260"/>
              <w:spacing w:after="0"/>
              <w:rPr>
                <w:sz w:val="20"/>
                <w:szCs w:val="20"/>
                <w:color w:val="auto"/>
              </w:rPr>
            </w:pPr>
            <w:r>
              <w:rPr>
                <w:rFonts w:ascii="Arial" w:cs="Arial" w:eastAsia="Arial" w:hAnsi="Arial"/>
                <w:sz w:val="18"/>
                <w:szCs w:val="18"/>
                <w:color w:val="auto"/>
              </w:rPr>
              <w:t>Fair value mark-up for acquired inventory</w:t>
            </w:r>
          </w:p>
        </w:tc>
        <w:tc>
          <w:tcPr>
            <w:tcW w:w="260" w:type="dxa"/>
            <w:vAlign w:val="bottom"/>
          </w:tcPr>
          <w:p>
            <w:pPr>
              <w:spacing w:after="0"/>
              <w:rPr>
                <w:sz w:val="19"/>
                <w:szCs w:val="19"/>
                <w:color w:val="auto"/>
              </w:rPr>
            </w:pPr>
          </w:p>
        </w:tc>
        <w:tc>
          <w:tcPr>
            <w:tcW w:w="1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140</w:t>
            </w:r>
          </w:p>
        </w:tc>
      </w:tr>
      <w:tr>
        <w:trPr>
          <w:trHeight w:val="22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for acquisition and other non-core costs*</w:t>
            </w:r>
          </w:p>
        </w:tc>
        <w:tc>
          <w:tcPr>
            <w:tcW w:w="26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3,169</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1,769</w:t>
            </w:r>
          </w:p>
        </w:tc>
      </w:tr>
      <w:tr>
        <w:trPr>
          <w:trHeight w:val="230"/>
        </w:trPr>
        <w:tc>
          <w:tcPr>
            <w:tcW w:w="6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Fair-value changes on derivative liabilities</w:t>
            </w:r>
          </w:p>
        </w:tc>
        <w:tc>
          <w:tcPr>
            <w:tcW w:w="2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683</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179</w:t>
            </w:r>
          </w:p>
        </w:tc>
      </w:tr>
      <w:tr>
        <w:trPr>
          <w:trHeight w:val="223"/>
        </w:trPr>
        <w:tc>
          <w:tcPr>
            <w:tcW w:w="6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 (non-GAAP measure)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16,832</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3,758</w:t>
            </w:r>
          </w:p>
        </w:tc>
      </w:tr>
      <w:tr>
        <w:trPr>
          <w:trHeight w:val="20"/>
        </w:trPr>
        <w:tc>
          <w:tcPr>
            <w:tcW w:w="6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23"/>
        </w:trPr>
        <w:tc>
          <w:tcPr>
            <w:tcW w:w="6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123,087</w:t>
            </w:r>
          </w:p>
        </w:tc>
        <w:tc>
          <w:tcPr>
            <w:tcW w:w="4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86,095</w:t>
            </w: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Adjusted EBITDA (non-GAAP measure)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110"/>
              <w:spacing w:after="0"/>
              <w:rPr>
                <w:sz w:val="20"/>
                <w:szCs w:val="20"/>
                <w:color w:val="auto"/>
              </w:rPr>
            </w:pPr>
            <w:r>
              <w:rPr>
                <w:rFonts w:ascii="Arial" w:cs="Arial" w:eastAsia="Arial" w:hAnsi="Arial"/>
                <w:sz w:val="18"/>
                <w:szCs w:val="18"/>
                <w:color w:val="auto"/>
              </w:rPr>
              <w:t>16,832</w:t>
            </w:r>
          </w:p>
        </w:tc>
        <w:tc>
          <w:tcPr>
            <w:tcW w:w="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3,758</w:t>
            </w: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margin (non-GAAP measure)</w:t>
            </w:r>
          </w:p>
        </w:tc>
        <w:tc>
          <w:tcPr>
            <w:tcW w:w="260" w:type="dxa"/>
            <w:vAlign w:val="bottom"/>
            <w:shd w:val="clear" w:color="auto" w:fill="CFF0FC"/>
          </w:tcPr>
          <w:p>
            <w:pPr>
              <w:spacing w:after="0"/>
              <w:rPr>
                <w:sz w:val="19"/>
                <w:szCs w:val="19"/>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6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123,087</w:t>
            </w:r>
          </w:p>
        </w:tc>
        <w:tc>
          <w:tcPr>
            <w:tcW w:w="4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86,095</w:t>
            </w: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110"/>
              <w:spacing w:after="0"/>
              <w:rPr>
                <w:sz w:val="20"/>
                <w:szCs w:val="20"/>
                <w:color w:val="auto"/>
              </w:rPr>
            </w:pPr>
            <w:r>
              <w:rPr>
                <w:rFonts w:ascii="Arial" w:cs="Arial" w:eastAsia="Arial" w:hAnsi="Arial"/>
                <w:sz w:val="18"/>
                <w:szCs w:val="18"/>
                <w:color w:val="auto"/>
              </w:rPr>
              <w:t>56,627</w:t>
            </w:r>
          </w:p>
        </w:tc>
        <w:tc>
          <w:tcPr>
            <w:tcW w:w="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33,648</w:t>
            </w: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FF0FC"/>
          </w:tcPr>
          <w:p>
            <w:pPr>
              <w:spacing w:after="0"/>
              <w:rPr>
                <w:sz w:val="19"/>
                <w:szCs w:val="19"/>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r>
    </w:tbl>
    <w:p>
      <w:pPr>
        <w:spacing w:after="0" w:line="134" w:lineRule="exact"/>
        <w:rPr>
          <w:sz w:val="20"/>
          <w:szCs w:val="20"/>
          <w:color w:val="auto"/>
        </w:rPr>
      </w:pPr>
    </w:p>
    <w:p>
      <w:pPr>
        <w:ind w:right="2120"/>
        <w:spacing w:after="0" w:line="414" w:lineRule="auto"/>
        <w:rPr>
          <w:sz w:val="20"/>
          <w:szCs w:val="20"/>
          <w:color w:val="auto"/>
        </w:rPr>
      </w:pPr>
      <w:r>
        <w:rPr>
          <w:rFonts w:ascii="Arial" w:cs="Arial" w:eastAsia="Arial" w:hAnsi="Arial"/>
          <w:sz w:val="18"/>
          <w:szCs w:val="18"/>
          <w:color w:val="auto"/>
        </w:rPr>
        <w:t xml:space="preserve">*Acquisition and other non-core costs include costs associated with acquisitions, litigation expenses and COVID-19 expenses. </w:t>
      </w:r>
      <w:r>
        <w:rPr>
          <w:rFonts w:ascii="Arial" w:cs="Arial" w:eastAsia="Arial" w:hAnsi="Arial"/>
          <w:sz w:val="18"/>
          <w:szCs w:val="18"/>
          <w:i w:val="1"/>
          <w:iCs w:val="1"/>
          <w:color w:val="auto"/>
        </w:rPr>
        <w:t>Adjusted EBITDA</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Adjusted EBITDA for the three months ended March 31, 2022, as compared to the prior year period, was primarily driven by improved gross margins and a greater operating income.</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future financial results are subject to significant potential fluctuations caused by, among other things, growth of sales volume in new and existing markets and our ability to control operating expenses. In addition, our financial results may be impacted significantly by changes to the regulatory environment in which we operate, both on a local, state and federal level.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need for liquidity is to fund working capital requirements of our business, capital expenditures and for general corporate purposes. Historically, we have relied on external financing as our primary source of liquidity. Our ability to fund our operations and to make capital expenditures depends on our ability to successfully secure financing through issuance of debt or equity, as well as our ability to improve our future operating performance and cash flows, which are subject to prevailing economic conditions and financial, business and other factors, some of which are beyond our control.</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currently meeting our obligations as they become due and are earning revenues from our operations. However, we have sustained losses since inception, we may require additional capital in the future. We estimate that based on our current business operations and working capital, we will continue to meet our obligations as they become due in the short term. As we continue to seek growth through expansion or acquisition, our cash flow requirements and obligations could materially change. As of March 31, 2022, we did not have any significant external capital requirements.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Financing 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3, 2022, we closed a private placement of $185,000 aggregate principal amount of 9.50% senior-secured first-lien notes due 2026 (the “2026 Notes”). The 2026 Notes are senior secured obligations of the Company and were issued at 100.0% of face value. In connection with the offering of the 2026 Notes, the Company received binding commitments to exchange approximately $31,750 of the Company’s existing 13.0% Term Debt, pursuant to private agreements in accordance with the trust indenture, for an equivalent amount of 2026 Notes plus accrued but unpaid interest and any negotiated premium thereon. As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4" w:name="page25"/>
    <w:bookmarkEnd w:id="24"/>
    <w:p>
      <w:pPr>
        <w:ind w:right="1080"/>
        <w:spacing w:after="0" w:line="434" w:lineRule="auto"/>
        <w:rPr>
          <w:sz w:val="20"/>
          <w:szCs w:val="20"/>
          <w:color w:val="auto"/>
        </w:rPr>
      </w:pPr>
      <w:r>
        <w:rPr>
          <w:rFonts w:ascii="Arial" w:cs="Arial" w:eastAsia="Arial" w:hAnsi="Arial"/>
          <w:sz w:val="18"/>
          <w:szCs w:val="18"/>
          <w:color w:val="auto"/>
        </w:rPr>
        <w:t xml:space="preserve">result of the note exchanges, the Company received aggregate gross proceeds of $153,250 in cash pursuant to the offering of the 2026 Notes. </w:t>
      </w:r>
      <w:r>
        <w:rPr>
          <w:rFonts w:ascii="Arial" w:cs="Arial" w:eastAsia="Arial" w:hAnsi="Arial"/>
          <w:sz w:val="18"/>
          <w:szCs w:val="18"/>
          <w:b w:val="1"/>
          <w:bCs w:val="1"/>
          <w:i w:val="1"/>
          <w:iCs w:val="1"/>
          <w:color w:val="auto"/>
        </w:rPr>
        <w:t>Cash Flows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w w:val="99"/>
              </w:rPr>
              <w:t>The following table summarizes the sources and uses of cash for each of the periods presented:</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8"/>
        </w:trPr>
        <w:tc>
          <w:tcPr>
            <w:tcW w:w="7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5"/>
          </w:tcPr>
          <w:p>
            <w:pPr>
              <w:jc w:val="right"/>
              <w:ind w:right="97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7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March 31, 2021</w:t>
            </w: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(27,822)</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(3,488)</w:t>
            </w: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(29,555)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(10,141)</w:t>
            </w: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144,253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129,016</w:t>
            </w: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86,876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115,387</w:t>
            </w:r>
          </w:p>
        </w:tc>
      </w:tr>
      <w:tr>
        <w:trPr>
          <w:trHeight w:val="20"/>
        </w:trPr>
        <w:tc>
          <w:tcPr>
            <w:tcW w:w="7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months ended March 31, 2022, operating activities used $27,822 of cash, primarily resulting from net loss of $27,906, and net changes in operating assets and liabilities of $25,932, partially offset by depreciation and amortization of $21,210, equity-based compensation expense of $6,374, and debt amortization expense of $1,936, change in fair value of derivative liability of $683 partially offset by change in deferred taxes of $4,560. The net change in operating assets and liabilities was primarily due to an increase in inventory of $14,851, decrease in accrued expenses and other current liabilities of $8,037, accounts payable of $12,072 and increase in other assets of $6,111 and decrease in prepaid expenses and other current assets of $1,942 as partially offset by an increase in other long-term liabilities by $6,299.</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2021, operating activities used $3,488 of cash, primarily resulting from net loss of $29,163, that was partially offset by depreciation and amortization of $8,523, equity-based compensation expense of 7,786, changes in deferred taxes of $5,319 and net changes in operating assets and liabilities of $2,543.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2022, investing activities used $29,555 of cash, purchases of property and equipment of $29,511 partially offset by proceeds from sale of property and equipment of $179.</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2021, investing activities used $10,141 of cash primarily for purchases of property and equipment of $7,232 and business acquisitions of $2,727.</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2022, financing activities provided $144,253 of cash, $145,984 in net proceeds received from issuance of debt partially offset by lease liability payments of $1,642.</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2021, financing activities provided $129,016 of cash primarily from issuance of debt of $133,436 that was partially offset by repayment of sellers note of $3,877 and payment of lease liabilities of $1,351.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contractual obligations as of March 31, 2022 and the effects that such obligations are expected to have on our liquidity and cash flows in future periods:</w:t>
      </w:r>
    </w:p>
    <w:p>
      <w:pPr>
        <w:spacing w:after="0" w:line="112"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8"/>
                <w:szCs w:val="18"/>
                <w:b w:val="1"/>
                <w:bCs w:val="1"/>
                <w:color w:val="auto"/>
              </w:rPr>
              <w:t>Payments Due by Period</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05"/>
        </w:trPr>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90"/>
              <w:spacing w:after="0" w:line="205" w:lineRule="exact"/>
              <w:rPr>
                <w:sz w:val="20"/>
                <w:szCs w:val="20"/>
                <w:color w:val="auto"/>
              </w:rPr>
            </w:pPr>
            <w:r>
              <w:rPr>
                <w:rFonts w:ascii="Arial" w:cs="Arial" w:eastAsia="Arial" w:hAnsi="Arial"/>
                <w:sz w:val="18"/>
                <w:szCs w:val="18"/>
                <w:b w:val="1"/>
                <w:bCs w:val="1"/>
                <w:color w:val="auto"/>
                <w:w w:val="96"/>
              </w:rPr>
              <w:t>Year 6 and</w:t>
            </w:r>
          </w:p>
        </w:tc>
      </w:tr>
      <w:tr>
        <w:trPr>
          <w:trHeight w:val="234"/>
        </w:trPr>
        <w:tc>
          <w:tcPr>
            <w:tcW w:w="2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1</w:t>
            </w:r>
          </w:p>
        </w:tc>
        <w:tc>
          <w:tcPr>
            <w:tcW w:w="16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Year 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Year 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Year 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5</w:t>
            </w:r>
          </w:p>
        </w:tc>
        <w:tc>
          <w:tcPr>
            <w:tcW w:w="14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beyond</w:t>
            </w:r>
          </w:p>
        </w:tc>
      </w:tr>
      <w:tr>
        <w:trPr>
          <w:trHeight w:val="223"/>
        </w:trPr>
        <w:tc>
          <w:tcPr>
            <w:tcW w:w="2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commitments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447,874</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24,555</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33,851</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32,867</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28,872</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26,276</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301,453</w:t>
            </w: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Sale-Leaseback commitments</w:t>
            </w:r>
          </w:p>
        </w:tc>
        <w:tc>
          <w:tcPr>
            <w:tcW w:w="1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233,430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9,536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10,829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182,569</w:t>
            </w: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2026 Notes</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185,000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185,000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Term debt (principal)</w:t>
            </w:r>
          </w:p>
        </w:tc>
        <w:tc>
          <w:tcPr>
            <w:tcW w:w="1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38,215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38,215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Acquisition related term debt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3,289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2,739</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Interest on term debts and notes</w:t>
            </w:r>
          </w:p>
        </w:tc>
        <w:tc>
          <w:tcPr>
            <w:tcW w:w="1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77,788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23,925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18,347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17,696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16,729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979</w:t>
            </w: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Convertible debt (principal)</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80,100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74,500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Interest on convertible debt</w:t>
            </w:r>
          </w:p>
        </w:tc>
        <w:tc>
          <w:tcPr>
            <w:tcW w:w="1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14,981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4,671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Mortgage notes (principal)</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19,903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18,288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Mortgage notes (interest)</w:t>
            </w:r>
          </w:p>
        </w:tc>
        <w:tc>
          <w:tcPr>
            <w:tcW w:w="1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5,347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Closing promissory note (principal)</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Closing promissory note (interest)</w:t>
            </w:r>
          </w:p>
        </w:tc>
        <w:tc>
          <w:tcPr>
            <w:tcW w:w="1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5"/>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Acquisition related real estate notes</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(principal)</w:t>
            </w: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5"/>
        </w:trPr>
        <w:tc>
          <w:tcPr>
            <w:tcW w:w="2920" w:type="dxa"/>
            <w:vAlign w:val="bottom"/>
          </w:tcPr>
          <w:p>
            <w:pPr>
              <w:spacing w:after="0"/>
              <w:rPr>
                <w:sz w:val="20"/>
                <w:szCs w:val="20"/>
                <w:color w:val="auto"/>
              </w:rPr>
            </w:pPr>
            <w:r>
              <w:rPr>
                <w:rFonts w:ascii="Arial" w:cs="Arial" w:eastAsia="Arial" w:hAnsi="Arial"/>
                <w:sz w:val="18"/>
                <w:szCs w:val="18"/>
                <w:color w:val="auto"/>
              </w:rPr>
              <w:t>Acquisition related real estate notes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975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5"/>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settlement of pre-</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existing relationships</w:t>
            </w: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26,000</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26,000</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2920" w:type="dxa"/>
            <w:vAlign w:val="bottom"/>
          </w:tcPr>
          <w:p>
            <w:pPr>
              <w:ind w:left="120"/>
              <w:spacing w:after="0"/>
              <w:rPr>
                <w:sz w:val="20"/>
                <w:szCs w:val="20"/>
                <w:color w:val="auto"/>
              </w:rPr>
            </w:pPr>
            <w:r>
              <w:rPr>
                <w:rFonts w:ascii="Arial" w:cs="Arial" w:eastAsia="Arial" w:hAnsi="Arial"/>
                <w:sz w:val="18"/>
                <w:szCs w:val="18"/>
                <w:b w:val="1"/>
                <w:bCs w:val="1"/>
                <w:color w:val="auto"/>
              </w:rPr>
              <w:t>Total contractual obligations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1,144,987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92,741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116,208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73,474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318,314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56,510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487,740</w:t>
            </w:r>
          </w:p>
        </w:tc>
      </w:tr>
      <w:tr>
        <w:trPr>
          <w:trHeight w:val="20"/>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above table excludes purchase orders for inventory in the normal course of business.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Rising inflation rates have not had a substantial impact on our financial performance to date but may have an impact on our financial performance in the future as our ability to pass on an increase in costs is not entirely within our control.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make judgements, estimates and assumptions about the future that affect assets and liabilities, and revenues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review affects both current and future periods.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condensed interim consolidated financial statements requires us to make judgements,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review affects both current and future periods.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Judgements estimates and assumptions with the most significant effect on the amounts recognized in the consolidated financial statements are described below.</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FINANCIAL RISK MANAGEMENT</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financial instruments consist of cash and cash equivalents, accounts receivable, notes receivable, deposits and other current assets, accounts payable, accrued expenses, current taxes payable and other current liabilities like interest payable and payroll liabilities, derivative liability, debt and lease liabilities. The fair values of cash and restricted cash, accounts and notes receivable,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18"/>
          <w:szCs w:val="18"/>
          <w:color w:val="auto"/>
        </w:rPr>
        <w:t>deposits, accounts payable and accrued expenses and other current liabilities like interest payable and payroll liabilities, short-term debt and lease liabilities approximate their carrying values due to the relatively short-term to maturity or because of the market rate of interest used on initial recognition. Columbia Care classifies its derivative liability as fair value through profit and loss (FVTPL).</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Financial instruments recorded at fair value are classified using a fair value hierarchy that reflects the significance of the inputs to fair value measurements.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contained within the hierarchy are:</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Level 3 – Inputs for the asset or liability that are not based on observable market data.</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assets measured at fair value on a nonrecurring basis include investments, assets and liabilities held for sale, long-lived assets and indefinite-lived intangible assets. We review the carrying amounts of such assets whenever events or changes in circumstances indicate that the carrying amounts may not be recoverable or at least annually, for indefinite-lived intangible assets. Any resulting asset impairment would require that the asset be recorded at its fair value. The resulting fair value measurements of the assets are considered Level 3 measurements.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in varying degrees to a variety of financial instrument related risks. Our risk exposures and the impact on our financial instruments is summarized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Credit risk is the risk of a potential loss to us if a customer or third party to a financial instrument fails to meet its contractual obligations. The maximum credit exposure at March 31, 2022 and December 31, 2021, is the carrying amount of cash and cash equivalents, subscription receivable, accounts receivable and notes receivable. We do not have significant credit risk with respect to our customers. All cash deposits with regulated U.S. financial institutions.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provide credit to our customers in the normal course of business and has established credit evaluation and monitoring processes to mitigate credit risk but has limited risk as the majority of our sales are transacted with cash. Through our recently introduced Columbia Care National Credit program, we provide credit to customers in certain markets in which we operate.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Liquidity risk is the risk that we will not be able to meet our financial obligations associated with financial liabilities. We manage liquidity risk through the management of our capital structure. Our approach to managing liquidity is to estimate cash requirements from operations, capital expenditures and investments and ensure that we have sufficient liquidity funds our ongoing operations and to settle obligations and liabilities when due.</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incur increased expenditures related to our operations, including marketing and selling expenses and capital expenditures as we expand our presence in current markets and expand into new markets.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date, we have incurred significant cumulative net losses and we have not generated positive cash flows from our operations. We have therefore depended on financing from sale of our equity and from debt financing to fund our operations. Overall, we do not expect the net cash contribution from our operations and investments to be positive in the near term, and we therefore expect to rely on financing from equity or debt.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to business opportunities and challenges applicable to any business operating in a fast-growing environment, our business operates in a highly regulated and multi-jurisdictional industry, which is subject to potentially significant changes outside of our control as individual states as well as the U.S. federal government may impose restrictions on our ability to grow our business profitably or enact new laws and regulations that open up new markets.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rate risk is the risk that the fair value or future cash flows of our financial instrument will fluctuate because of changes in market interest rates. Our cash deposits bear interest at market rates.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Currency Risk</w:t>
      </w:r>
    </w:p>
    <w:p>
      <w:pPr>
        <w:spacing w:after="0" w:line="14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operating results and financial position are reported in thousands of U.S. dollars. We may enter into financial transactions denominated in other currencies, which would result in Columbia Care’s operations and financial position to be subject to currency transaction and translation risks.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2022 and December 31, 2021, we had no hedging agreements in place with respect to foreign exchange rates. We have not entered into any agreements or purchased any instruments to hedge possible currency risks at this time.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 Risk</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 risk is the risk of variability in fair value due to movements in equity or market prices. We are subject to risk of prices of our products due to competitive or regulatory pressures.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significant material changes to the market risks as disclosed in the Company’s Form 10-K for the year ended December 31, 2021.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previously reported in the Company’s Annual Report on Form 10-K for the year ended December 31, 2021, our disclosure controls and procedures were not effective due to the material weaknesses in our internal control over financial reporting, relating to the lack of appropriate controls over management’s fair value modeling of complex accounting and financial reporting issues in the impairment testing of goodwill and intangible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defined in Rules 13a-15(e) and 15d-15(e) under the Securities Exchange Act of 1934, as amended) as of the end of the period covered by this report were effective to provide reasonable assurance that the information required to be disclosed by the Company in reports filed under the Securities Exchange Act of 1934, as amended, is recorded, processed, summarized, and reported within the time periods specified in the SEC’s rules and forms and that it is accumulated and communicated to management, including the Chief Executive Officer and Chief Financial Officer, as appropriate to allow timely decisions regarding required disclosure.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material weakness described above, the Company implemented a remediation plan to address the material weakness. These remediation efforts, outlined below, are intended both to address the identified material weaknesses and to enhance the Company’s overall financial control environment. The Company, including its CEO and CFO, does not expect that its internal controls and procedures will prevent or detect all error and all fraud. A control system, no matter how well conceived or operated, can provide only reasonable, not absolute, assurance that the objectives of the control system are met.</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year ended December 31, 2021, the Company implemented a new control, whereby the Company will utilize third party specializing in fair value modeling and reviews and analyzes, at the Corporate level, potential impairment testing of goodwill and intangible assets on an annual basis or as necessary.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spacing w:after="0" w:line="277" w:lineRule="auto"/>
        <w:rPr>
          <w:rFonts w:ascii="Arial" w:cs="Arial" w:eastAsia="Arial" w:hAnsi="Arial"/>
          <w:sz w:val="18"/>
          <w:szCs w:val="18"/>
          <w:color w:val="0000EE"/>
        </w:rPr>
      </w:pPr>
      <w:hyperlink w:anchor="page15">
        <w:r>
          <w:rPr>
            <w:rFonts w:ascii="Arial" w:cs="Arial" w:eastAsia="Arial" w:hAnsi="Arial"/>
            <w:sz w:val="18"/>
            <w:szCs w:val="18"/>
            <w:color w:val="auto"/>
          </w:rPr>
          <w:t xml:space="preserve">A discussion of our litigation matters occurring in the period covered by this report is found in Reference to Part I, Item 1, </w:t>
        </w:r>
        <w:r>
          <w:rPr>
            <w:rFonts w:ascii="Arial" w:cs="Arial" w:eastAsia="Arial" w:hAnsi="Arial"/>
            <w:sz w:val="18"/>
            <w:szCs w:val="18"/>
            <w:u w:val="single" w:color="auto"/>
            <w:color w:val="0000EE"/>
          </w:rPr>
          <w:t>Note 13, Commitments and</w:t>
        </w:r>
      </w:hyperlink>
      <w:r>
        <w:rPr>
          <w:rFonts w:ascii="Arial" w:cs="Arial" w:eastAsia="Arial" w:hAnsi="Arial"/>
          <w:sz w:val="18"/>
          <w:szCs w:val="18"/>
          <w:color w:val="auto"/>
        </w:rPr>
        <w:t xml:space="preserve"> </w:t>
      </w:r>
      <w:hyperlink w:anchor="page15">
        <w:r>
          <w:rPr>
            <w:rFonts w:ascii="Arial" w:cs="Arial" w:eastAsia="Arial" w:hAnsi="Arial"/>
            <w:sz w:val="18"/>
            <w:szCs w:val="18"/>
            <w:u w:val="single" w:color="auto"/>
            <w:color w:val="0000EE"/>
          </w:rPr>
          <w:t>Contingencies</w:t>
        </w:r>
        <w:r>
          <w:rPr>
            <w:rFonts w:ascii="Arial" w:cs="Arial" w:eastAsia="Arial" w:hAnsi="Arial"/>
            <w:sz w:val="18"/>
            <w:szCs w:val="18"/>
            <w:color w:val="000000"/>
          </w:rPr>
          <w:t>, in the Notes to Unaudited Interim Consolidated Financial Statements of this Form 10-Q.</w:t>
        </w:r>
      </w:hyperlink>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Annual Report on Form 10-K for the year ended December 31, 2021, except as disclosed in Item 1A of our registration statement on Form 10, filed on May 9, 2022, which is incorporated by reference herein.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Securities and Use of Proceeds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2021, Columbia Care issued 237,486 common shares pursuant to its long-term incentive plan (“LTIP”).</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relied on the exemption from registration provided by Rule 701 of the Securities Act of 1933, as amended, Securities Act to issue securities to its employees, consultants, officers and directors pursuant to the LTIP.</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Exhibit Index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Number</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780" w:type="dxa"/>
            <w:vAlign w:val="bottom"/>
            <w:gridSpan w:val="26"/>
          </w:tcPr>
          <w:p>
            <w:pPr>
              <w:ind w:left="226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9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5"/>
                <w:szCs w:val="15"/>
                <w:color w:val="auto"/>
              </w:rPr>
            </w:pPr>
          </w:p>
        </w:tc>
        <w:tc>
          <w:tcPr>
            <w:tcW w:w="10120" w:type="dxa"/>
            <w:vAlign w:val="bottom"/>
            <w:tcBorders>
              <w:top w:val="single" w:sz="8" w:color="auto"/>
            </w:tcBorders>
            <w:gridSpan w:val="30"/>
          </w:tcPr>
          <w:p>
            <w:pPr>
              <w:spacing w:after="0" w:line="182"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Arrangement Agreement, dated March 23, 2022, between Cresco Labs Inc. and Columbia Care Inc. (incorporated by reference to Exhibit</w:t>
              </w:r>
            </w:hyperlink>
          </w:p>
        </w:tc>
      </w:tr>
      <w:tr>
        <w:trPr>
          <w:trHeight w:val="196"/>
        </w:trPr>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2.</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of the Registrant’s Current Report on Form 8-K, filed with the SEC on March 29, 2022)</w:t>
              </w:r>
            </w:hyperlink>
          </w:p>
        </w:tc>
        <w:tc>
          <w:tcPr>
            <w:tcW w:w="3280" w:type="dxa"/>
            <w:vAlign w:val="bottom"/>
            <w:tcBorders>
              <w:top w:val="single" w:sz="8" w:color="0000EE"/>
            </w:tcBorders>
            <w:gridSpan w:val="17"/>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0120" w:type="dxa"/>
            <w:vAlign w:val="bottom"/>
            <w:gridSpan w:val="30"/>
          </w:tcPr>
          <w:p>
            <w:pPr>
              <w:spacing w:after="0"/>
              <w:rPr>
                <w:rFonts w:ascii="Arial" w:cs="Arial" w:eastAsia="Arial" w:hAnsi="Arial"/>
                <w:sz w:val="18"/>
                <w:szCs w:val="18"/>
                <w:color w:val="0000EE"/>
                <w:w w:val="93"/>
              </w:rPr>
            </w:pPr>
            <w:hyperlink r:id="rId66">
              <w:r>
                <w:rPr>
                  <w:rFonts w:ascii="Arial" w:cs="Arial" w:eastAsia="Arial" w:hAnsi="Arial"/>
                  <w:sz w:val="18"/>
                  <w:szCs w:val="18"/>
                  <w:color w:val="0000EE"/>
                  <w:w w:val="93"/>
                </w:rPr>
                <w:t>Articles of Columbia Care Inc. (incorporated by reference to Exhibit 3.1 of the Registrant’s Registration Statement on Form 10, filed with</w:t>
              </w:r>
            </w:hyperlink>
          </w:p>
        </w:tc>
      </w:tr>
      <w:tr>
        <w:trPr>
          <w:trHeight w:val="196"/>
        </w:trPr>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66">
              <w:r>
                <w:rPr>
                  <w:rFonts w:ascii="Arial" w:cs="Arial" w:eastAsia="Arial" w:hAnsi="Arial"/>
                  <w:sz w:val="18"/>
                  <w:szCs w:val="18"/>
                  <w:color w:val="0000EE"/>
                  <w:w w:val="88"/>
                </w:rPr>
                <w:t>the SEC on December 14, 2021)</w:t>
              </w:r>
            </w:hyperlink>
          </w:p>
        </w:tc>
        <w:tc>
          <w:tcPr>
            <w:tcW w:w="7620" w:type="dxa"/>
            <w:vAlign w:val="bottom"/>
            <w:tcBorders>
              <w:top w:val="single" w:sz="8" w:color="0000EE"/>
            </w:tcBorders>
            <w:gridSpan w:val="22"/>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0120" w:type="dxa"/>
            <w:vAlign w:val="bottom"/>
            <w:gridSpan w:val="30"/>
          </w:tcPr>
          <w:p>
            <w:pPr>
              <w:spacing w:after="0"/>
              <w:rPr>
                <w:rFonts w:ascii="Arial" w:cs="Arial" w:eastAsia="Arial" w:hAnsi="Arial"/>
                <w:sz w:val="18"/>
                <w:szCs w:val="18"/>
                <w:color w:val="0000EE"/>
                <w:w w:val="98"/>
              </w:rPr>
            </w:pPr>
            <w:hyperlink r:id="rId67">
              <w:r>
                <w:rPr>
                  <w:rFonts w:ascii="Arial" w:cs="Arial" w:eastAsia="Arial" w:hAnsi="Arial"/>
                  <w:sz w:val="18"/>
                  <w:szCs w:val="18"/>
                  <w:color w:val="0000EE"/>
                  <w:w w:val="98"/>
                </w:rPr>
                <w:t>Warrant Agency Agreement dated September 20, 2018 between Canaccord Genuity Growth Corp. and Odyssey Trust Company</w:t>
              </w:r>
            </w:hyperlink>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(incorporated by reference to Exhibit 4.1 of the Registrant’s Registration Statement on Form 10, filed with the SEC on December 14, 2021)</w:t>
              </w:r>
            </w:hyperlink>
          </w:p>
        </w:tc>
        <w:tc>
          <w:tcPr>
            <w:tcW w:w="80" w:type="dxa"/>
            <w:vAlign w:val="bottom"/>
            <w:gridSpan w:val="2"/>
          </w:tcPr>
          <w:p>
            <w:pPr>
              <w:spacing w:after="0"/>
              <w:rPr>
                <w:sz w:val="17"/>
                <w:szCs w:val="17"/>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0120" w:type="dxa"/>
            <w:vAlign w:val="bottom"/>
            <w:gridSpan w:val="30"/>
          </w:tcPr>
          <w:p>
            <w:pPr>
              <w:spacing w:after="0"/>
              <w:rPr>
                <w:rFonts w:ascii="Arial" w:cs="Arial" w:eastAsia="Arial" w:hAnsi="Arial"/>
                <w:sz w:val="18"/>
                <w:szCs w:val="18"/>
                <w:color w:val="0000EE"/>
                <w:w w:val="97"/>
              </w:rPr>
            </w:pPr>
            <w:hyperlink r:id="rId68">
              <w:r>
                <w:rPr>
                  <w:rFonts w:ascii="Arial" w:cs="Arial" w:eastAsia="Arial" w:hAnsi="Arial"/>
                  <w:sz w:val="18"/>
                  <w:szCs w:val="18"/>
                  <w:color w:val="0000EE"/>
                  <w:w w:val="97"/>
                </w:rPr>
                <w:t>Warrant Agreement dated April 26, 2019 between Columbia Care Inc. and Canaccord Genuity Corp. (incorporated by reference to</w:t>
              </w:r>
            </w:hyperlink>
          </w:p>
        </w:tc>
      </w:tr>
      <w:tr>
        <w:trPr>
          <w:trHeight w:val="196"/>
        </w:trPr>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Exhibit 4.2 of the Registrant’s Registration Statement on Form 10, filed with the SEC on December 14, 2021)</w:t>
              </w:r>
            </w:hyperlink>
          </w:p>
        </w:tc>
        <w:tc>
          <w:tcPr>
            <w:tcW w:w="700" w:type="dxa"/>
            <w:vAlign w:val="bottom"/>
            <w:gridSpan w:val="16"/>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9540" w:type="dxa"/>
            <w:vAlign w:val="bottom"/>
            <w:tcBorders>
              <w:bottom w:val="single" w:sz="8" w:color="0000EE"/>
            </w:tcBorders>
            <w:gridSpan w:val="19"/>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Trust Indenture made as of March 31, 2020 between Columbia Care Inc. and Odyssey Trust Company (incorporated by reference to</w:t>
              </w:r>
            </w:hyperlink>
          </w:p>
        </w:tc>
        <w:tc>
          <w:tcPr>
            <w:tcW w:w="580" w:type="dxa"/>
            <w:vAlign w:val="bottom"/>
            <w:gridSpan w:val="11"/>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20" w:type="dxa"/>
            <w:vAlign w:val="bottom"/>
            <w:gridSpan w:val="30"/>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Exhibit 4.3 of the Registrant’s Registration Statement on Form 10, filed with the SEC on December 14, 2021)</w:t>
              </w:r>
            </w:hyperlink>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9920" w:type="dxa"/>
            <w:vAlign w:val="bottom"/>
            <w:tcBorders>
              <w:bottom w:val="single" w:sz="8" w:color="0000EE"/>
            </w:tcBorders>
            <w:gridSpan w:val="24"/>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Warrant Indenture dated March 31, 2020 between Columbia Care Inc. and Odyssey Trust Company (incorporated by reference to Exhibit</w:t>
              </w:r>
            </w:hyperlink>
          </w:p>
        </w:tc>
        <w:tc>
          <w:tcPr>
            <w:tcW w:w="200" w:type="dxa"/>
            <w:vAlign w:val="bottom"/>
            <w:gridSpan w:val="6"/>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20" w:type="dxa"/>
            <w:vAlign w:val="bottom"/>
            <w:gridSpan w:val="30"/>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4.</w:t>
              </w:r>
              <w:r>
                <w:rPr>
                  <w:rFonts w:ascii="Arial" w:cs="Arial" w:eastAsia="Arial" w:hAnsi="Arial"/>
                  <w:sz w:val="18"/>
                  <w:szCs w:val="18"/>
                  <w:u w:val="single" w:color="auto"/>
                  <w:color w:val="0000EE"/>
                </w:rPr>
                <w:t>4</w:t>
              </w:r>
              <w:r>
                <w:rPr>
                  <w:rFonts w:ascii="Arial" w:cs="Arial" w:eastAsia="Arial" w:hAnsi="Arial"/>
                  <w:sz w:val="18"/>
                  <w:szCs w:val="18"/>
                  <w:color w:val="0000EE"/>
                </w:rPr>
                <w:t xml:space="preserve"> of the Registrant’s Registration Statement on Form 10, filed with the SEC on December 14, 2021)</w:t>
              </w:r>
            </w:hyperlink>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9400" w:type="dxa"/>
            <w:vAlign w:val="bottom"/>
            <w:tcBorders>
              <w:bottom w:val="single" w:sz="8" w:color="0000EE"/>
            </w:tcBorders>
            <w:gridSpan w:val="13"/>
          </w:tcPr>
          <w:p>
            <w:pPr>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Trust Indenture made as of May 14, 2020 between Columbia Care Inc. and Odyssey Trust Company (incorporated by reference to</w:t>
              </w:r>
            </w:hyperlink>
          </w:p>
        </w:tc>
        <w:tc>
          <w:tcPr>
            <w:tcW w:w="720" w:type="dxa"/>
            <w:vAlign w:val="bottom"/>
            <w:gridSpan w:val="17"/>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20" w:type="dxa"/>
            <w:vAlign w:val="bottom"/>
            <w:gridSpan w:val="30"/>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Exhibit 4.5 of the Registrant’s Registration Statement on Form 10, filed with the SEC on December 14, 2021)</w:t>
              </w:r>
            </w:hyperlink>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0060" w:type="dxa"/>
            <w:vAlign w:val="bottom"/>
            <w:tcBorders>
              <w:bottom w:val="single" w:sz="8" w:color="0000EE"/>
            </w:tcBorders>
            <w:gridSpan w:val="29"/>
          </w:tcPr>
          <w:p>
            <w:pPr>
              <w:spacing w:after="0"/>
              <w:rPr>
                <w:rFonts w:ascii="Arial" w:cs="Arial" w:eastAsia="Arial" w:hAnsi="Arial"/>
                <w:sz w:val="18"/>
                <w:szCs w:val="18"/>
                <w:color w:val="0000EE"/>
                <w:w w:val="90"/>
              </w:rPr>
            </w:pPr>
            <w:hyperlink r:id="rId72">
              <w:r>
                <w:rPr>
                  <w:rFonts w:ascii="Arial" w:cs="Arial" w:eastAsia="Arial" w:hAnsi="Arial"/>
                  <w:sz w:val="18"/>
                  <w:szCs w:val="18"/>
                  <w:color w:val="0000EE"/>
                  <w:w w:val="90"/>
                </w:rPr>
                <w:t>Warrant Indenture dated May 14, 2020 between Columbia Care Inc. and Odyssey Trust Company (incorporated by reference to Exhibit 4.</w:t>
              </w:r>
              <w:r>
                <w:rPr>
                  <w:rFonts w:ascii="Arial" w:cs="Arial" w:eastAsia="Arial" w:hAnsi="Arial"/>
                  <w:sz w:val="18"/>
                  <w:szCs w:val="18"/>
                  <w:u w:val="single" w:color="auto"/>
                  <w:color w:val="0000EE"/>
                  <w:w w:val="90"/>
                </w:rPr>
                <w:t>6</w:t>
              </w:r>
            </w:hyperlink>
          </w:p>
        </w:tc>
        <w:tc>
          <w:tcPr>
            <w:tcW w:w="60" w:type="dxa"/>
            <w:vAlign w:val="bottom"/>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of the Registrant’s Registration Statement on Form 10, filed with the SEC on December 14, 2021)</w:t>
              </w:r>
            </w:hyperlink>
          </w:p>
        </w:tc>
        <w:tc>
          <w:tcPr>
            <w:tcW w:w="3060" w:type="dxa"/>
            <w:vAlign w:val="bottom"/>
            <w:gridSpan w:val="23"/>
          </w:tcPr>
          <w:p>
            <w:pPr>
              <w:spacing w:after="0"/>
              <w:rPr>
                <w:sz w:val="17"/>
                <w:szCs w:val="17"/>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9520" w:type="dxa"/>
            <w:vAlign w:val="bottom"/>
            <w:tcBorders>
              <w:bottom w:val="single" w:sz="8" w:color="0000EE"/>
            </w:tcBorders>
            <w:gridSpan w:val="18"/>
          </w:tcPr>
          <w:p>
            <w:pPr>
              <w:spacing w:after="0"/>
              <w:rPr>
                <w:rFonts w:ascii="Arial" w:cs="Arial" w:eastAsia="Arial" w:hAnsi="Arial"/>
                <w:sz w:val="18"/>
                <w:szCs w:val="18"/>
                <w:color w:val="0000EE"/>
                <w:w w:val="90"/>
              </w:rPr>
            </w:pPr>
            <w:hyperlink r:id="rId73">
              <w:r>
                <w:rPr>
                  <w:rFonts w:ascii="Arial" w:cs="Arial" w:eastAsia="Arial" w:hAnsi="Arial"/>
                  <w:sz w:val="18"/>
                  <w:szCs w:val="18"/>
                  <w:color w:val="0000EE"/>
                  <w:w w:val="90"/>
                </w:rPr>
                <w:t>First Supplemental Indentures dated as of June 19, 2020 between Columbia Care Inc and Odyssey Trust Company (incorporated by</w:t>
              </w:r>
            </w:hyperlink>
          </w:p>
        </w:tc>
        <w:tc>
          <w:tcPr>
            <w:tcW w:w="600" w:type="dxa"/>
            <w:vAlign w:val="bottom"/>
            <w:gridSpan w:val="12"/>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reference to Exhibit 4.7 of the Registrant’s Registration Statement on Form 10, filed with the SEC on December 14, 2021)</w:t>
              </w:r>
            </w:hyperlink>
          </w:p>
        </w:tc>
        <w:tc>
          <w:tcPr>
            <w:tcW w:w="1320" w:type="dxa"/>
            <w:vAlign w:val="bottom"/>
            <w:gridSpan w:val="19"/>
          </w:tcPr>
          <w:p>
            <w:pPr>
              <w:spacing w:after="0"/>
              <w:rPr>
                <w:sz w:val="17"/>
                <w:szCs w:val="17"/>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9940" w:type="dxa"/>
            <w:vAlign w:val="bottom"/>
            <w:tcBorders>
              <w:bottom w:val="single" w:sz="8" w:color="0000EE"/>
            </w:tcBorders>
            <w:gridSpan w:val="25"/>
          </w:tcPr>
          <w:p>
            <w:pPr>
              <w:spacing w:after="0"/>
              <w:rPr>
                <w:rFonts w:ascii="Arial" w:cs="Arial" w:eastAsia="Arial" w:hAnsi="Arial"/>
                <w:sz w:val="18"/>
                <w:szCs w:val="18"/>
                <w:color w:val="0000EE"/>
                <w:w w:val="90"/>
              </w:rPr>
            </w:pPr>
            <w:hyperlink r:id="rId74">
              <w:r>
                <w:rPr>
                  <w:rFonts w:ascii="Arial" w:cs="Arial" w:eastAsia="Arial" w:hAnsi="Arial"/>
                  <w:sz w:val="18"/>
                  <w:szCs w:val="18"/>
                  <w:color w:val="0000EE"/>
                  <w:w w:val="90"/>
                </w:rPr>
                <w:t>Warrant Indenture dated July 2, 2020 between Columbia Care Inc. and Odyssey Trust Company (incorporated by reference to Exhibit 4.</w:t>
              </w:r>
              <w:r>
                <w:rPr>
                  <w:rFonts w:ascii="Arial" w:cs="Arial" w:eastAsia="Arial" w:hAnsi="Arial"/>
                  <w:sz w:val="18"/>
                  <w:szCs w:val="18"/>
                  <w:u w:val="single" w:color="auto"/>
                  <w:color w:val="0000EE"/>
                  <w:w w:val="90"/>
                </w:rPr>
                <w:t>8</w:t>
              </w:r>
            </w:hyperlink>
          </w:p>
        </w:tc>
        <w:tc>
          <w:tcPr>
            <w:tcW w:w="180" w:type="dxa"/>
            <w:vAlign w:val="bottom"/>
            <w:gridSpan w:val="5"/>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74">
              <w:r>
                <w:rPr>
                  <w:rFonts w:ascii="Arial" w:cs="Arial" w:eastAsia="Arial" w:hAnsi="Arial"/>
                  <w:sz w:val="18"/>
                  <w:szCs w:val="18"/>
                  <w:color w:val="0000EE"/>
                  <w:w w:val="90"/>
                </w:rPr>
                <w:t>of the Registrant’s Registration Statement on Form 10, filed with the SEC on December 14, 2021)</w:t>
              </w:r>
            </w:hyperlink>
          </w:p>
        </w:tc>
        <w:tc>
          <w:tcPr>
            <w:tcW w:w="3060" w:type="dxa"/>
            <w:vAlign w:val="bottom"/>
            <w:gridSpan w:val="23"/>
          </w:tcPr>
          <w:p>
            <w:pPr>
              <w:spacing w:after="0"/>
              <w:rPr>
                <w:sz w:val="17"/>
                <w:szCs w:val="17"/>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9460" w:type="dxa"/>
            <w:vAlign w:val="bottom"/>
            <w:tcBorders>
              <w:bottom w:val="single" w:sz="8" w:color="0000EE"/>
            </w:tcBorders>
            <w:gridSpan w:val="15"/>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Warrant Indenture dated October 29, 2020 between Columbia Care Inc. and Odyssey Trust Company (incorporated by reference to</w:t>
              </w:r>
            </w:hyperlink>
          </w:p>
        </w:tc>
        <w:tc>
          <w:tcPr>
            <w:tcW w:w="660" w:type="dxa"/>
            <w:vAlign w:val="bottom"/>
            <w:gridSpan w:val="15"/>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20" w:type="dxa"/>
            <w:vAlign w:val="bottom"/>
            <w:gridSpan w:val="30"/>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Exhibit 4.9 of the Registrant’s Registration Statement on Form 10, filed with the SEC on December 14, 2021)</w:t>
              </w:r>
            </w:hyperlink>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8"/>
                <w:szCs w:val="18"/>
                <w:color w:val="auto"/>
              </w:rPr>
            </w:pPr>
          </w:p>
        </w:tc>
        <w:tc>
          <w:tcPr>
            <w:tcW w:w="10020" w:type="dxa"/>
            <w:vAlign w:val="bottom"/>
            <w:tcBorders>
              <w:bottom w:val="single" w:sz="8" w:color="0000EE"/>
            </w:tcBorders>
            <w:gridSpan w:val="27"/>
          </w:tcPr>
          <w:p>
            <w:pPr>
              <w:spacing w:after="0"/>
              <w:rPr>
                <w:rFonts w:ascii="Arial" w:cs="Arial" w:eastAsia="Arial" w:hAnsi="Arial"/>
                <w:sz w:val="18"/>
                <w:szCs w:val="18"/>
                <w:color w:val="0000EE"/>
                <w:w w:val="89"/>
              </w:rPr>
            </w:pPr>
            <w:hyperlink r:id="rId76">
              <w:r>
                <w:rPr>
                  <w:rFonts w:ascii="Arial" w:cs="Arial" w:eastAsia="Arial" w:hAnsi="Arial"/>
                  <w:sz w:val="18"/>
                  <w:szCs w:val="18"/>
                  <w:color w:val="0000EE"/>
                  <w:w w:val="89"/>
                </w:rPr>
                <w:t>Second Supplemental Indenture dated June 29, 2021 between Columbia Care Inc. and Odyssey Trust Company (incorporated by reference</w:t>
              </w:r>
            </w:hyperlink>
          </w:p>
        </w:tc>
        <w:tc>
          <w:tcPr>
            <w:tcW w:w="100" w:type="dxa"/>
            <w:vAlign w:val="bottom"/>
            <w:gridSpan w:val="3"/>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to Exhibit 4.10 of the Registrant’s amended Registration Statement on Form 10, filed with the SEC on January 28, 2022)</w:t>
              </w:r>
            </w:hyperlink>
          </w:p>
        </w:tc>
        <w:tc>
          <w:tcPr>
            <w:tcW w:w="1420" w:type="dxa"/>
            <w:vAlign w:val="bottom"/>
            <w:gridSpan w:val="20"/>
          </w:tcPr>
          <w:p>
            <w:pPr>
              <w:spacing w:after="0"/>
              <w:rPr>
                <w:sz w:val="17"/>
                <w:szCs w:val="17"/>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18"/>
                <w:szCs w:val="18"/>
                <w:color w:val="auto"/>
              </w:rPr>
            </w:pPr>
          </w:p>
        </w:tc>
        <w:tc>
          <w:tcPr>
            <w:tcW w:w="9400" w:type="dxa"/>
            <w:vAlign w:val="bottom"/>
            <w:tcBorders>
              <w:bottom w:val="single" w:sz="8" w:color="0000EE"/>
            </w:tcBorders>
            <w:gridSpan w:val="13"/>
          </w:tcPr>
          <w:p>
            <w:pPr>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Third Supplemental Indenture dated February 2, 2022 between Columbia Care Inc. and Odyssey Trust Company (incorporated by</w:t>
              </w:r>
            </w:hyperlink>
          </w:p>
        </w:tc>
        <w:tc>
          <w:tcPr>
            <w:tcW w:w="720" w:type="dxa"/>
            <w:vAlign w:val="bottom"/>
            <w:gridSpan w:val="17"/>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77">
              <w:r>
                <w:rPr>
                  <w:rFonts w:ascii="Arial" w:cs="Arial" w:eastAsia="Arial" w:hAnsi="Arial"/>
                  <w:sz w:val="18"/>
                  <w:szCs w:val="18"/>
                  <w:color w:val="0000EE"/>
                  <w:w w:val="90"/>
                </w:rPr>
                <w:t>reference to Exhibit 4.11 of the Registrant’s amended Registration Statement on Form 10, filed with the SEC on February 15, 2022)</w:t>
              </w:r>
            </w:hyperlink>
          </w:p>
        </w:tc>
        <w:tc>
          <w:tcPr>
            <w:tcW w:w="620" w:type="dxa"/>
            <w:vAlign w:val="bottom"/>
            <w:gridSpan w:val="13"/>
          </w:tcPr>
          <w:p>
            <w:pPr>
              <w:spacing w:after="0"/>
              <w:rPr>
                <w:sz w:val="17"/>
                <w:szCs w:val="17"/>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8"/>
                <w:szCs w:val="18"/>
                <w:color w:val="auto"/>
              </w:rPr>
            </w:pPr>
          </w:p>
        </w:tc>
        <w:tc>
          <w:tcPr>
            <w:tcW w:w="9480" w:type="dxa"/>
            <w:vAlign w:val="bottom"/>
            <w:tcBorders>
              <w:bottom w:val="single" w:sz="8" w:color="0000EE"/>
            </w:tcBorders>
            <w:gridSpan w:val="16"/>
          </w:tcPr>
          <w:p>
            <w:pPr>
              <w:spacing w:after="0"/>
              <w:rPr>
                <w:rFonts w:ascii="Arial" w:cs="Arial" w:eastAsia="Arial" w:hAnsi="Arial"/>
                <w:sz w:val="18"/>
                <w:szCs w:val="18"/>
                <w:color w:val="0000EE"/>
                <w:w w:val="90"/>
              </w:rPr>
            </w:pPr>
            <w:hyperlink r:id="rId78">
              <w:r>
                <w:rPr>
                  <w:rFonts w:ascii="Arial" w:cs="Arial" w:eastAsia="Arial" w:hAnsi="Arial"/>
                  <w:sz w:val="18"/>
                  <w:szCs w:val="18"/>
                  <w:color w:val="0000EE"/>
                  <w:w w:val="90"/>
                </w:rPr>
                <w:t>Fourth Supplemental Indenture dated February 3, 2022 between Columbia Care Inc. and Odyssey Trust Company (incorporated by</w:t>
              </w:r>
            </w:hyperlink>
          </w:p>
        </w:tc>
        <w:tc>
          <w:tcPr>
            <w:tcW w:w="640" w:type="dxa"/>
            <w:vAlign w:val="bottom"/>
            <w:gridSpan w:val="14"/>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reference to Exhibit 4.12 of the Registrant’s amended Registration Statement on Form 10, filed with the SEC on February 15, 2022)</w:t>
              </w:r>
            </w:hyperlink>
          </w:p>
        </w:tc>
        <w:tc>
          <w:tcPr>
            <w:tcW w:w="620" w:type="dxa"/>
            <w:vAlign w:val="bottom"/>
            <w:gridSpan w:val="13"/>
          </w:tcPr>
          <w:p>
            <w:pPr>
              <w:spacing w:after="0"/>
              <w:rPr>
                <w:sz w:val="17"/>
                <w:szCs w:val="17"/>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0120" w:type="dxa"/>
            <w:vAlign w:val="bottom"/>
            <w:gridSpan w:val="30"/>
          </w:tcPr>
          <w:p>
            <w:pPr>
              <w:spacing w:after="0"/>
              <w:rPr>
                <w:rFonts w:ascii="Arial" w:cs="Arial" w:eastAsia="Arial" w:hAnsi="Arial"/>
                <w:sz w:val="18"/>
                <w:szCs w:val="18"/>
                <w:color w:val="0000EE"/>
                <w:w w:val="93"/>
              </w:rPr>
            </w:pPr>
            <w:hyperlink r:id="rId79">
              <w:r>
                <w:rPr>
                  <w:rFonts w:ascii="Arial" w:cs="Arial" w:eastAsia="Arial" w:hAnsi="Arial"/>
                  <w:sz w:val="18"/>
                  <w:szCs w:val="18"/>
                  <w:color w:val="0000EE"/>
                  <w:w w:val="93"/>
                </w:rPr>
                <w:t>Form of Voting Support Agreement (incorporated by reference to Exhibit 10.1 of the Registrant’s Form 8-K, filed with the SEC on March</w:t>
              </w:r>
            </w:hyperlink>
          </w:p>
        </w:tc>
      </w:tr>
      <w:tr>
        <w:trPr>
          <w:trHeight w:val="196"/>
        </w:trPr>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79">
              <w:r>
                <w:rPr>
                  <w:rFonts w:ascii="Arial" w:cs="Arial" w:eastAsia="Arial" w:hAnsi="Arial"/>
                  <w:sz w:val="18"/>
                  <w:szCs w:val="18"/>
                  <w:color w:val="0000EE"/>
                  <w:w w:val="86"/>
                </w:rPr>
                <w:t>29, 2022)</w:t>
              </w:r>
            </w:hyperlink>
          </w:p>
        </w:tc>
        <w:tc>
          <w:tcPr>
            <w:tcW w:w="2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10120" w:type="dxa"/>
            <w:vAlign w:val="bottom"/>
            <w:gridSpan w:val="30"/>
          </w:tcPr>
          <w:p>
            <w:pPr>
              <w:spacing w:after="0"/>
              <w:rPr>
                <w:rFonts w:ascii="Arial" w:cs="Arial" w:eastAsia="Arial" w:hAnsi="Arial"/>
                <w:sz w:val="18"/>
                <w:szCs w:val="18"/>
                <w:color w:val="0000EE"/>
                <w:w w:val="95"/>
              </w:rPr>
            </w:pPr>
            <w:hyperlink r:id="rId80">
              <w:r>
                <w:rPr>
                  <w:rFonts w:ascii="Arial" w:cs="Arial" w:eastAsia="Arial" w:hAnsi="Arial"/>
                  <w:sz w:val="18"/>
                  <w:szCs w:val="18"/>
                  <w:color w:val="0000EE"/>
                  <w:w w:val="95"/>
                </w:rPr>
                <w:t>Form of Lock-Up Agreement (incorporated by reference to Exhibit 10.2 of the Registrant’s Form 8-K, filed with the SEC on March 29,</w:t>
              </w:r>
            </w:hyperlink>
          </w:p>
        </w:tc>
      </w:tr>
      <w:tr>
        <w:trPr>
          <w:trHeight w:val="196"/>
        </w:trPr>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80">
              <w:r>
                <w:rPr>
                  <w:rFonts w:ascii="Arial" w:cs="Arial" w:eastAsia="Arial" w:hAnsi="Arial"/>
                  <w:sz w:val="18"/>
                  <w:szCs w:val="18"/>
                  <w:color w:val="0000EE"/>
                  <w:w w:val="86"/>
                </w:rPr>
                <w:t>2022)</w:t>
              </w:r>
            </w:hyperlink>
          </w:p>
        </w:tc>
        <w:tc>
          <w:tcPr>
            <w:tcW w:w="2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10120" w:type="dxa"/>
            <w:vAlign w:val="bottom"/>
            <w:gridSpan w:val="30"/>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Certification of Principal Executive Officer Pursuant to Rules 13a-14(a) and 15d-14(a) under the Securities Exchange Act of 1934, as</w:t>
              </w:r>
            </w:hyperlink>
          </w:p>
        </w:tc>
      </w:tr>
      <w:tr>
        <w:trPr>
          <w:trHeight w:val="196"/>
        </w:trPr>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Adopted Pursuant to Section 302 of the Sarbanes-Oxley Act of 2002.</w:t>
              </w:r>
            </w:hyperlink>
          </w:p>
        </w:tc>
        <w:tc>
          <w:tcPr>
            <w:tcW w:w="4620" w:type="dxa"/>
            <w:vAlign w:val="bottom"/>
            <w:tcBorders>
              <w:top w:val="single" w:sz="8" w:color="0000EE"/>
            </w:tcBorders>
            <w:gridSpan w:val="16"/>
          </w:tcPr>
          <w:p>
            <w:pPr>
              <w:spacing w:after="0"/>
              <w:rPr>
                <w:sz w:val="17"/>
                <w:szCs w:val="17"/>
                <w:color w:val="auto"/>
              </w:rPr>
            </w:pPr>
          </w:p>
        </w:tc>
        <w:tc>
          <w:tcPr>
            <w:tcW w:w="520" w:type="dxa"/>
            <w:vAlign w:val="bottom"/>
            <w:gridSpan w:val="9"/>
          </w:tcPr>
          <w:p>
            <w:pPr>
              <w:spacing w:after="0"/>
              <w:rPr>
                <w:sz w:val="17"/>
                <w:szCs w:val="17"/>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95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560" w:type="dxa"/>
            <w:vAlign w:val="bottom"/>
            <w:gridSpan w:val="10"/>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Adopted Pursuant to Section 302 of the Sarbanes-Oxley Act of 2002.</w:t>
              </w:r>
            </w:hyperlink>
          </w:p>
        </w:tc>
        <w:tc>
          <w:tcPr>
            <w:tcW w:w="5140" w:type="dxa"/>
            <w:vAlign w:val="bottom"/>
            <w:gridSpan w:val="25"/>
          </w:tcPr>
          <w:p>
            <w:pPr>
              <w:spacing w:after="0"/>
              <w:rPr>
                <w:sz w:val="17"/>
                <w:szCs w:val="17"/>
                <w:color w:val="auto"/>
              </w:rPr>
            </w:pPr>
          </w:p>
        </w:tc>
      </w:tr>
      <w:tr>
        <w:trPr>
          <w:trHeight w:val="210"/>
        </w:trPr>
        <w:tc>
          <w:tcPr>
            <w:tcW w:w="1120" w:type="dxa"/>
            <w:vAlign w:val="bottom"/>
            <w:gridSpan w:val="2"/>
          </w:tcPr>
          <w:p>
            <w:pPr>
              <w:spacing w:after="0"/>
              <w:rPr>
                <w:sz w:val="20"/>
                <w:szCs w:val="20"/>
                <w:color w:val="auto"/>
              </w:rPr>
            </w:pPr>
            <w:r>
              <w:rPr>
                <w:rFonts w:ascii="Arial" w:cs="Arial" w:eastAsia="Arial" w:hAnsi="Arial"/>
                <w:sz w:val="18"/>
                <w:szCs w:val="18"/>
                <w:color w:val="auto"/>
              </w:rPr>
              <w:t>32.1‡</w:t>
            </w:r>
          </w:p>
        </w:tc>
        <w:tc>
          <w:tcPr>
            <w:tcW w:w="10120" w:type="dxa"/>
            <w:vAlign w:val="bottom"/>
            <w:gridSpan w:val="30"/>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196"/>
        </w:trPr>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Act of 2002.</w:t>
              </w:r>
            </w:hyperlink>
          </w:p>
        </w:tc>
        <w:tc>
          <w:tcPr>
            <w:tcW w:w="9140" w:type="dxa"/>
            <w:vAlign w:val="bottom"/>
            <w:tcBorders>
              <w:top w:val="single" w:sz="8" w:color="0000EE"/>
            </w:tcBorders>
            <w:gridSpan w:val="25"/>
          </w:tcPr>
          <w:p>
            <w:pPr>
              <w:spacing w:after="0"/>
              <w:rPr>
                <w:sz w:val="17"/>
                <w:szCs w:val="17"/>
                <w:color w:val="auto"/>
              </w:rPr>
            </w:pPr>
          </w:p>
        </w:tc>
        <w:tc>
          <w:tcPr>
            <w:tcW w:w="80" w:type="dxa"/>
            <w:vAlign w:val="bottom"/>
            <w:gridSpan w:val="2"/>
          </w:tcPr>
          <w:p>
            <w:pPr>
              <w:spacing w:after="0"/>
              <w:rPr>
                <w:sz w:val="17"/>
                <w:szCs w:val="17"/>
                <w:color w:val="auto"/>
              </w:rPr>
            </w:pPr>
          </w:p>
        </w:tc>
      </w:tr>
      <w:tr>
        <w:trPr>
          <w:trHeight w:val="453"/>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80" w:type="dxa"/>
            <w:vAlign w:val="bottom"/>
            <w:gridSpan w:val="5"/>
          </w:tcPr>
          <w:p>
            <w:pPr>
              <w:ind w:left="4420"/>
              <w:spacing w:after="0"/>
              <w:rPr>
                <w:sz w:val="20"/>
                <w:szCs w:val="20"/>
                <w:color w:val="auto"/>
              </w:rPr>
            </w:pPr>
            <w:r>
              <w:rPr>
                <w:rFonts w:ascii="Arial" w:cs="Arial" w:eastAsia="Arial" w:hAnsi="Arial"/>
                <w:sz w:val="18"/>
                <w:szCs w:val="18"/>
                <w:color w:val="auto"/>
              </w:rPr>
              <w:t>28</w:t>
            </w: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100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r>
      <w:tr>
        <w:trPr>
          <w:trHeight w:val="196"/>
        </w:trPr>
        <w:tc>
          <w:tcPr>
            <w:tcW w:w="112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Act of 2002.</w:t>
              </w:r>
            </w:hyperlink>
          </w:p>
        </w:tc>
        <w:tc>
          <w:tcPr>
            <w:tcW w:w="9100" w:type="dxa"/>
            <w:vAlign w:val="bottom"/>
          </w:tcPr>
          <w:p>
            <w:pPr>
              <w:spacing w:after="0"/>
              <w:rPr>
                <w:sz w:val="17"/>
                <w:szCs w:val="17"/>
                <w:color w:val="auto"/>
              </w:rPr>
            </w:pPr>
          </w:p>
        </w:tc>
      </w:tr>
      <w:tr>
        <w:trPr>
          <w:trHeight w:val="236"/>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r>
      <w:tr>
        <w:trPr>
          <w:trHeight w:val="229"/>
        </w:trPr>
        <w:tc>
          <w:tcPr>
            <w:tcW w:w="112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within the Inline XBRL document.</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1000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10000" w:type="dxa"/>
            <w:vAlign w:val="bottom"/>
            <w:gridSpan w:val="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1000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1000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1000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100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6000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17"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color w:val="auto"/>
        </w:rPr>
      </w:pPr>
    </w:p>
    <w:p>
      <w:pPr>
        <w:ind w:left="540" w:hanging="506"/>
        <w:spacing w:after="0" w:line="263" w:lineRule="auto"/>
        <w:tabs>
          <w:tab w:leader="none" w:pos="47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8" w:right="4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left="400" w:right="5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7960" w:type="dxa"/>
            <w:vAlign w:val="bottom"/>
            <w:gridSpan w:val="2"/>
          </w:tcPr>
          <w:p>
            <w:pPr>
              <w:ind w:left="2160"/>
              <w:spacing w:after="0"/>
              <w:rPr>
                <w:sz w:val="20"/>
                <w:szCs w:val="20"/>
                <w:color w:val="auto"/>
              </w:rPr>
            </w:pPr>
            <w:r>
              <w:rPr>
                <w:rFonts w:ascii="Arial" w:cs="Arial" w:eastAsia="Arial" w:hAnsi="Arial"/>
                <w:sz w:val="18"/>
                <w:szCs w:val="18"/>
                <w:b w:val="1"/>
                <w:bCs w:val="1"/>
                <w:color w:val="auto"/>
              </w:rPr>
              <w:t>COLUMBIA CARE INC</w:t>
            </w:r>
          </w:p>
        </w:tc>
      </w:tr>
      <w:tr>
        <w:trPr>
          <w:trHeight w:val="459"/>
        </w:trPr>
        <w:tc>
          <w:tcPr>
            <w:tcW w:w="3280" w:type="dxa"/>
            <w:vAlign w:val="bottom"/>
          </w:tcPr>
          <w:p>
            <w:pPr>
              <w:spacing w:after="0"/>
              <w:rPr>
                <w:sz w:val="20"/>
                <w:szCs w:val="20"/>
                <w:color w:val="auto"/>
              </w:rPr>
            </w:pPr>
            <w:r>
              <w:rPr>
                <w:rFonts w:ascii="Arial" w:cs="Arial" w:eastAsia="Arial" w:hAnsi="Arial"/>
                <w:sz w:val="18"/>
                <w:szCs w:val="18"/>
                <w:color w:val="auto"/>
              </w:rPr>
              <w:t>Date:5/16/2022</w:t>
            </w:r>
          </w:p>
        </w:tc>
        <w:tc>
          <w:tcPr>
            <w:tcW w:w="2500" w:type="dxa"/>
            <w:vAlign w:val="bottom"/>
          </w:tcPr>
          <w:p>
            <w:pPr>
              <w:ind w:left="21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/s/ Nicholas Vita</w:t>
            </w:r>
          </w:p>
        </w:tc>
      </w:tr>
      <w:tr>
        <w:trPr>
          <w:trHeight w:val="218"/>
        </w:trPr>
        <w:tc>
          <w:tcPr>
            <w:tcW w:w="3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Nicholas Vita</w:t>
            </w:r>
          </w:p>
        </w:tc>
      </w:tr>
      <w:tr>
        <w:trPr>
          <w:trHeight w:val="234"/>
        </w:trPr>
        <w:tc>
          <w:tcPr>
            <w:tcW w:w="32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Chief Executive Officer and Director</w:t>
            </w:r>
          </w:p>
        </w:tc>
      </w:tr>
      <w:tr>
        <w:trPr>
          <w:trHeight w:val="459"/>
        </w:trPr>
        <w:tc>
          <w:tcPr>
            <w:tcW w:w="3280" w:type="dxa"/>
            <w:vAlign w:val="bottom"/>
          </w:tcPr>
          <w:p>
            <w:pPr>
              <w:spacing w:after="0"/>
              <w:rPr>
                <w:sz w:val="20"/>
                <w:szCs w:val="20"/>
                <w:color w:val="auto"/>
              </w:rPr>
            </w:pPr>
            <w:r>
              <w:rPr>
                <w:rFonts w:ascii="Arial" w:cs="Arial" w:eastAsia="Arial" w:hAnsi="Arial"/>
                <w:sz w:val="18"/>
                <w:szCs w:val="18"/>
                <w:color w:val="auto"/>
              </w:rPr>
              <w:t>Date:5/16/2022</w:t>
            </w:r>
          </w:p>
        </w:tc>
        <w:tc>
          <w:tcPr>
            <w:tcW w:w="2500" w:type="dxa"/>
            <w:vAlign w:val="bottom"/>
          </w:tcPr>
          <w:p>
            <w:pPr>
              <w:ind w:left="21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/s/ Derek Watson</w:t>
            </w:r>
          </w:p>
        </w:tc>
      </w:tr>
      <w:tr>
        <w:trPr>
          <w:trHeight w:val="218"/>
        </w:trPr>
        <w:tc>
          <w:tcPr>
            <w:tcW w:w="3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Derek Watson</w:t>
            </w:r>
          </w:p>
        </w:tc>
      </w:tr>
      <w:tr>
        <w:trPr>
          <w:trHeight w:val="234"/>
        </w:trPr>
        <w:tc>
          <w:tcPr>
            <w:tcW w:w="32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r>
      <w:tr>
        <w:trPr>
          <w:trHeight w:val="648"/>
        </w:trPr>
        <w:tc>
          <w:tcPr>
            <w:tcW w:w="32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30</w:t>
            </w:r>
          </w:p>
        </w:tc>
        <w:tc>
          <w:tcPr>
            <w:tcW w:w="546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6"/>
          <w:szCs w:val="16"/>
          <w:color w:val="auto"/>
        </w:rPr>
        <w:t>Nicholas Vita</w:t>
      </w:r>
      <w:r>
        <w:rPr>
          <w:rFonts w:ascii="Arial" w:cs="Arial" w:eastAsia="Arial" w:hAnsi="Arial"/>
          <w:sz w:val="18"/>
          <w:szCs w:val="18"/>
          <w:color w:val="auto"/>
        </w:rPr>
        <w:t>, certify that:</w:t>
      </w:r>
    </w:p>
    <w:p>
      <w:pPr>
        <w:spacing w:after="0" w:line="117"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Columbia Care Inc.;</w:t>
      </w:r>
    </w:p>
    <w:p>
      <w:pPr>
        <w:spacing w:after="0" w:line="117"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80" w:right="180" w:hanging="572"/>
        <w:spacing w:after="0" w:line="263"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7960" w:val="left"/>
        </w:tabs>
        <w:rPr>
          <w:sz w:val="20"/>
          <w:szCs w:val="20"/>
          <w:color w:val="auto"/>
        </w:rPr>
      </w:pPr>
      <w:r>
        <w:rPr>
          <w:rFonts w:ascii="Arial" w:cs="Arial" w:eastAsia="Arial" w:hAnsi="Arial"/>
          <w:sz w:val="18"/>
          <w:szCs w:val="18"/>
          <w:color w:val="auto"/>
        </w:rPr>
        <w:t>Date: May 16,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Nicholas Vita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6"/>
          <w:szCs w:val="16"/>
          <w:b w:val="1"/>
          <w:bCs w:val="1"/>
          <w:color w:val="auto"/>
        </w:rPr>
        <w:t>Nicholas Vita</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6"/>
          <w:szCs w:val="16"/>
          <w:color w:val="auto"/>
        </w:rPr>
        <w:t>Derek Watson</w:t>
      </w:r>
      <w:r>
        <w:rPr>
          <w:rFonts w:ascii="Arial" w:cs="Arial" w:eastAsia="Arial" w:hAnsi="Arial"/>
          <w:sz w:val="18"/>
          <w:szCs w:val="18"/>
          <w:color w:val="auto"/>
        </w:rPr>
        <w:t>, certify that:</w:t>
      </w:r>
    </w:p>
    <w:p>
      <w:pPr>
        <w:spacing w:after="0" w:line="117"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of Columbia Care Inc.;</w:t>
      </w:r>
    </w:p>
    <w:p>
      <w:pPr>
        <w:spacing w:after="0" w:line="117"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80" w:right="180" w:hanging="572"/>
        <w:spacing w:after="0" w:line="263"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7940" w:val="left"/>
        </w:tabs>
        <w:rPr>
          <w:sz w:val="20"/>
          <w:szCs w:val="20"/>
          <w:color w:val="auto"/>
        </w:rPr>
      </w:pPr>
      <w:r>
        <w:rPr>
          <w:rFonts w:ascii="Arial" w:cs="Arial" w:eastAsia="Arial" w:hAnsi="Arial"/>
          <w:sz w:val="18"/>
          <w:szCs w:val="18"/>
          <w:color w:val="auto"/>
        </w:rPr>
        <w:t>Date: May 16,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 w:lineRule="exact"/>
        <w:rPr>
          <w:sz w:val="20"/>
          <w:szCs w:val="20"/>
          <w:color w:val="auto"/>
        </w:rPr>
      </w:pPr>
    </w:p>
    <w:p>
      <w:pPr>
        <w:jc w:val="center"/>
        <w:ind w:left="5940"/>
        <w:spacing w:after="0"/>
        <w:rPr>
          <w:sz w:val="20"/>
          <w:szCs w:val="20"/>
          <w:color w:val="auto"/>
        </w:rPr>
      </w:pPr>
      <w:r>
        <w:rPr>
          <w:rFonts w:ascii="Arial" w:cs="Arial" w:eastAsia="Arial" w:hAnsi="Arial"/>
          <w:sz w:val="16"/>
          <w:szCs w:val="16"/>
          <w:b w:val="1"/>
          <w:bCs w:val="1"/>
          <w:color w:val="auto"/>
        </w:rPr>
        <w:t>Derek Watson</w:t>
      </w:r>
    </w:p>
    <w:p>
      <w:pPr>
        <w:spacing w:after="0" w:line="26"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In connection with the Quarterly Report of Columbia Care Inc. (the “Company”) on Form 10-Q for the period ending March 31, 2022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7980" w:val="left"/>
        </w:tabs>
        <w:rPr>
          <w:sz w:val="20"/>
          <w:szCs w:val="20"/>
          <w:color w:val="auto"/>
        </w:rPr>
      </w:pPr>
      <w:r>
        <w:rPr>
          <w:rFonts w:ascii="Arial" w:cs="Arial" w:eastAsia="Arial" w:hAnsi="Arial"/>
          <w:sz w:val="18"/>
          <w:szCs w:val="18"/>
          <w:color w:val="auto"/>
        </w:rPr>
        <w:t>Date: May 16,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Nicholas Vita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0"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Nicholas Vita</w:t>
      </w:r>
    </w:p>
    <w:p>
      <w:pPr>
        <w:spacing w:after="0" w:line="28"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35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In connection with the Quarterly Report of Columbia Care Inc. (the “Company”) on Form 10-Q for the period ending March 31, 2022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7960" w:val="left"/>
        </w:tabs>
        <w:rPr>
          <w:sz w:val="20"/>
          <w:szCs w:val="20"/>
          <w:color w:val="auto"/>
        </w:rPr>
      </w:pPr>
      <w:r>
        <w:rPr>
          <w:rFonts w:ascii="Arial" w:cs="Arial" w:eastAsia="Arial" w:hAnsi="Arial"/>
          <w:sz w:val="18"/>
          <w:szCs w:val="18"/>
          <w:color w:val="auto"/>
        </w:rPr>
        <w:t>Date: May 16,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0"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Derek Watson</w:t>
      </w:r>
    </w:p>
    <w:p>
      <w:pPr>
        <w:spacing w:after="0" w:line="28"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3"/>
    </w:lvl>
  </w:abstractNum>
  <w:abstractNum w:abstractNumId="4">
    <w:nsid w:val="1190CDE7"/>
    <w:multiLevelType w:val="hybridMultilevel"/>
    <w:lvl w:ilvl="0">
      <w:lvlJc w:val="left"/>
      <w:lvlText w:val="%1."/>
      <w:numFmt w:val="decimal"/>
      <w:start w:val="4"/>
    </w:lvl>
  </w:abstractNum>
  <w:abstractNum w:abstractNumId="5">
    <w:nsid w:val="66EF438D"/>
    <w:multiLevelType w:val="hybridMultilevel"/>
    <w:lvl w:ilvl="0">
      <w:lvlJc w:val="left"/>
      <w:lvlText w:val="%1."/>
      <w:numFmt w:val="decimal"/>
      <w:start w:val="5"/>
    </w:lvl>
  </w:abstractNum>
  <w:abstractNum w:abstractNumId="6">
    <w:nsid w:val="140E0F76"/>
    <w:multiLevelType w:val="hybridMultilevel"/>
    <w:lvl w:ilvl="0">
      <w:lvlJc w:val="left"/>
      <w:lvlText w:val="%1."/>
      <w:numFmt w:val="decimal"/>
      <w:start w:val="6"/>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2"/>
    </w:lvl>
  </w:abstractNum>
  <w:abstractNum w:abstractNumId="9">
    <w:nsid w:val="DED7263"/>
    <w:multiLevelType w:val="hybridMultilevel"/>
    <w:lvl w:ilvl="0">
      <w:lvlJc w:val="left"/>
      <w:lvlText w:val="%1."/>
      <w:numFmt w:val="decimal"/>
      <w:start w:val="14"/>
    </w:lvl>
  </w:abstractNum>
  <w:abstractNum w:abstractNumId="10">
    <w:nsid w:val="7FDCC233"/>
    <w:multiLevelType w:val="hybridMultilevel"/>
    <w:lvl w:ilvl="0">
      <w:lvlJc w:val="left"/>
      <w:lvlText w:val="%1."/>
      <w:numFmt w:val="decimal"/>
      <w:start w:val="15"/>
    </w:lvl>
  </w:abstractNum>
  <w:abstractNum w:abstractNumId="11">
    <w:nsid w:val="1BEFD79F"/>
    <w:multiLevelType w:val="hybridMultilevel"/>
    <w:lvl w:ilvl="0">
      <w:lvlJc w:val="left"/>
      <w:lvlText w:val="%1."/>
      <w:numFmt w:val="decimal"/>
      <w:start w:val="18"/>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lvl w:ilvl="1">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65" Type="http://schemas.openxmlformats.org/officeDocument/2006/relationships/hyperlink" Target="http://www.sec.gov/Archives/edgar/data/1776738/000119312522088069/d292116dex21.htm" TargetMode="External"/><Relationship Id="rId66" Type="http://schemas.openxmlformats.org/officeDocument/2006/relationships/hyperlink" Target="http://www.sec.gov/Archives/edgar/data/1776738/000119312521356939/d252333dex31.htm" TargetMode="External"/><Relationship Id="rId67" Type="http://schemas.openxmlformats.org/officeDocument/2006/relationships/hyperlink" Target="http://www.sec.gov/Archives/edgar/data/1776738/000119312521356939/d252333dex41.htm" TargetMode="External"/><Relationship Id="rId68" Type="http://schemas.openxmlformats.org/officeDocument/2006/relationships/hyperlink" Target="http://www.sec.gov/Archives/edgar/data/1776738/000119312521356939/d252333dex42.htm" TargetMode="External"/><Relationship Id="rId69" Type="http://schemas.openxmlformats.org/officeDocument/2006/relationships/hyperlink" Target="http://www.sec.gov/Archives/edgar/data/1776738/000119312521356939/d252333dex43.htm" TargetMode="External"/><Relationship Id="rId70" Type="http://schemas.openxmlformats.org/officeDocument/2006/relationships/hyperlink" Target="http://www.sec.gov/Archives/edgar/data/1776738/000119312521356939/d252333dex44.htm" TargetMode="External"/><Relationship Id="rId71" Type="http://schemas.openxmlformats.org/officeDocument/2006/relationships/hyperlink" Target="http://www.sec.gov/Archives/edgar/data/1776738/000119312521356939/d252333dex45.htm" TargetMode="External"/><Relationship Id="rId72" Type="http://schemas.openxmlformats.org/officeDocument/2006/relationships/hyperlink" Target="http://www.sec.gov/Archives/edgar/data/1776738/000119312521356939/d252333dex46.htm" TargetMode="External"/><Relationship Id="rId73" Type="http://schemas.openxmlformats.org/officeDocument/2006/relationships/hyperlink" Target="http://www.sec.gov/Archives/edgar/data/1776738/000119312521356939/d252333dex47.htm" TargetMode="External"/><Relationship Id="rId74" Type="http://schemas.openxmlformats.org/officeDocument/2006/relationships/hyperlink" Target="http://www.sec.gov/Archives/edgar/data/1776738/000119312521356939/d252333dex48.htm" TargetMode="External"/><Relationship Id="rId75" Type="http://schemas.openxmlformats.org/officeDocument/2006/relationships/hyperlink" Target="http://www.sec.gov/Archives/edgar/data/1776738/000119312521356939/d252333dex49.htm" TargetMode="External"/><Relationship Id="rId76" Type="http://schemas.openxmlformats.org/officeDocument/2006/relationships/hyperlink" Target="http://www.sec.gov/Archives/edgar/data/1776738/000119312522021793/d252333dex410.htm" TargetMode="External"/><Relationship Id="rId77" Type="http://schemas.openxmlformats.org/officeDocument/2006/relationships/hyperlink" Target="http://www.sec.gov/Archives/edgar/data/1776738/000119312522043452/d252333dex411.htm" TargetMode="External"/><Relationship Id="rId78" Type="http://schemas.openxmlformats.org/officeDocument/2006/relationships/hyperlink" Target="http://www.sec.gov/Archives/edgar/data/1776738/000119312522043452/d252333dex412.htm" TargetMode="External"/><Relationship Id="rId79" Type="http://schemas.openxmlformats.org/officeDocument/2006/relationships/hyperlink" Target="http://www.sec.gov/Archives/edgar/data/1776738/000119312522088069/d292116dex101.htm" TargetMode="External"/><Relationship Id="rId80" Type="http://schemas.openxmlformats.org/officeDocument/2006/relationships/hyperlink" Target="http://www.sec.gov/Archives/edgar/data/1776738/000119312522088069/d29211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2022-05-16T15:18:14Z</dcterms:created>
  <dcterms:modified xsi:type="dcterms:W3CDTF">2022-05-16T15:18:14Z</dcterms:modified>
</cp:coreProperties>
</file>