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880" w:right="1620" w:hanging="3859"/>
        <w:spacing w:after="0" w:line="380"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160" w:right="1600" w:hanging="4139"/>
        <w:spacing w:after="0" w:line="383" w:lineRule="auto"/>
        <w:tabs>
          <w:tab w:leader="none" w:pos="47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__to 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4843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3"/>
              </w:rPr>
              <w:t>British Columbia</w:t>
            </w:r>
          </w:p>
        </w:tc>
        <w:tc>
          <w:tcPr>
            <w:tcW w:w="1520" w:type="dxa"/>
            <w:vAlign w:val="bottom"/>
          </w:tcPr>
          <w:p>
            <w:pPr>
              <w:spacing w:after="0"/>
              <w:rPr>
                <w:sz w:val="20"/>
                <w:szCs w:val="20"/>
                <w:color w:val="auto"/>
              </w:rPr>
            </w:pPr>
          </w:p>
        </w:tc>
        <w:tc>
          <w:tcPr>
            <w:tcW w:w="4500" w:type="dxa"/>
            <w:vAlign w:val="bottom"/>
            <w:gridSpan w:val="3"/>
          </w:tcPr>
          <w:p>
            <w:pPr>
              <w:jc w:val="right"/>
              <w:ind w:right="2290"/>
              <w:spacing w:after="0"/>
              <w:rPr>
                <w:sz w:val="20"/>
                <w:szCs w:val="20"/>
                <w:color w:val="auto"/>
              </w:rPr>
            </w:pPr>
            <w:r>
              <w:rPr>
                <w:rFonts w:ascii="Arial" w:cs="Arial" w:eastAsia="Arial" w:hAnsi="Arial"/>
                <w:sz w:val="18"/>
                <w:szCs w:val="18"/>
                <w:b w:val="1"/>
                <w:bCs w:val="1"/>
                <w:color w:val="auto"/>
              </w:rPr>
              <w:t>98-1488978</w:t>
            </w:r>
          </w:p>
        </w:tc>
      </w:tr>
      <w:tr>
        <w:trPr>
          <w:trHeight w:val="225"/>
        </w:trPr>
        <w:tc>
          <w:tcPr>
            <w:tcW w:w="5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(State or other jurisdiction of</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(I.R.S. Employer</w:t>
            </w:r>
          </w:p>
        </w:tc>
      </w:tr>
      <w:tr>
        <w:trPr>
          <w:trHeight w:val="248"/>
        </w:trPr>
        <w:tc>
          <w:tcPr>
            <w:tcW w:w="5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incorporation or organization)</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Identification No.)</w:t>
            </w:r>
          </w:p>
        </w:tc>
      </w:tr>
      <w:tr>
        <w:trPr>
          <w:trHeight w:val="225"/>
        </w:trPr>
        <w:tc>
          <w:tcPr>
            <w:tcW w:w="5220" w:type="dxa"/>
            <w:vAlign w:val="bottom"/>
            <w:gridSpan w:val="4"/>
          </w:tcPr>
          <w:p>
            <w:pPr>
              <w:ind w:left="1880"/>
              <w:spacing w:after="0"/>
              <w:rPr>
                <w:sz w:val="20"/>
                <w:szCs w:val="20"/>
                <w:color w:val="auto"/>
              </w:rPr>
            </w:pPr>
            <w:r>
              <w:rPr>
                <w:rFonts w:ascii="Arial" w:cs="Arial" w:eastAsia="Arial" w:hAnsi="Arial"/>
                <w:sz w:val="18"/>
                <w:szCs w:val="18"/>
                <w:b w:val="1"/>
                <w:bCs w:val="1"/>
                <w:color w:val="auto"/>
              </w:rPr>
              <w:t>680 Fifth Ave., 24th Floor</w:t>
            </w:r>
          </w:p>
        </w:tc>
        <w:tc>
          <w:tcPr>
            <w:tcW w:w="1520" w:type="dxa"/>
            <w:vAlign w:val="bottom"/>
          </w:tcPr>
          <w:p>
            <w:pPr>
              <w:spacing w:after="0"/>
              <w:rPr>
                <w:sz w:val="19"/>
                <w:szCs w:val="19"/>
                <w:color w:val="auto"/>
              </w:rPr>
            </w:pPr>
          </w:p>
        </w:tc>
        <w:tc>
          <w:tcPr>
            <w:tcW w:w="45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10019</w:t>
            </w:r>
          </w:p>
        </w:tc>
      </w:tr>
      <w:tr>
        <w:trPr>
          <w:trHeight w:val="234"/>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7"/>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(Zip Code)</w:t>
            </w:r>
          </w:p>
        </w:tc>
      </w:tr>
      <w:tr>
        <w:trPr>
          <w:trHeight w:val="297"/>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(212) 634-7100</w:t>
            </w:r>
          </w:p>
        </w:tc>
      </w:tr>
      <w:tr>
        <w:trPr>
          <w:trHeight w:val="135"/>
        </w:trPr>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r>
      <w:tr>
        <w:trPr>
          <w:trHeight w:val="318"/>
        </w:trPr>
        <w:tc>
          <w:tcPr>
            <w:tcW w:w="5220" w:type="dxa"/>
            <w:vAlign w:val="bottom"/>
            <w:gridSpan w:val="4"/>
          </w:tcPr>
          <w:p>
            <w:pPr>
              <w:ind w:left="600"/>
              <w:spacing w:after="0"/>
              <w:rPr>
                <w:sz w:val="20"/>
                <w:szCs w:val="20"/>
                <w:color w:val="auto"/>
              </w:rPr>
            </w:pPr>
            <w:r>
              <w:rPr>
                <w:rFonts w:ascii="Arial" w:cs="Arial" w:eastAsia="Arial" w:hAnsi="Arial"/>
                <w:sz w:val="18"/>
                <w:szCs w:val="18"/>
                <w:color w:val="auto"/>
                <w:w w:val="91"/>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27"/>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41"/>
        </w:trPr>
        <w:tc>
          <w:tcPr>
            <w:tcW w:w="43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Title of each class</w:t>
            </w:r>
          </w:p>
        </w:tc>
        <w:tc>
          <w:tcPr>
            <w:tcW w:w="140" w:type="dxa"/>
            <w:vAlign w:val="bottom"/>
            <w:gridSpan w:val="2"/>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Symbol(s)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Name of each exchange on which registered</w:t>
            </w:r>
          </w:p>
        </w:tc>
      </w:tr>
    </w:tbl>
    <w:p>
      <w:pPr>
        <w:spacing w:after="0" w:line="148" w:lineRule="exact"/>
        <w:rPr>
          <w:sz w:val="24"/>
          <w:szCs w:val="24"/>
          <w:color w:val="auto"/>
        </w:rPr>
      </w:pPr>
    </w:p>
    <w:p>
      <w:pPr>
        <w:jc w:val="both"/>
        <w:ind w:right="60" w:firstLine="59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60" w:firstLine="59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60" w:firstLine="59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39" w:lineRule="exact"/>
        <w:rPr>
          <w:sz w:val="24"/>
          <w:szCs w:val="24"/>
          <w:color w:val="auto"/>
        </w:rPr>
      </w:pPr>
    </w:p>
    <w:p>
      <w:pPr>
        <w:jc w:val="both"/>
        <w:ind w:right="220" w:firstLine="59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60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75" w:lineRule="exact"/>
        <w:rPr>
          <w:sz w:val="24"/>
          <w:szCs w:val="24"/>
          <w:color w:val="auto"/>
        </w:rPr>
      </w:pPr>
    </w:p>
    <w:p>
      <w:pPr>
        <w:ind w:right="140" w:firstLine="599"/>
        <w:spacing w:after="0" w:line="238"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left="600"/>
        <w:spacing w:after="0"/>
        <w:rPr>
          <w:sz w:val="20"/>
          <w:szCs w:val="20"/>
          <w:color w:val="auto"/>
        </w:rPr>
      </w:pPr>
      <w:r>
        <w:rPr>
          <w:rFonts w:ascii="Arial" w:cs="Arial" w:eastAsia="Arial" w:hAnsi="Arial"/>
          <w:sz w:val="17"/>
          <w:szCs w:val="17"/>
          <w:color w:val="auto"/>
        </w:rPr>
        <w:t>As of August 10, 2023, there were 406,983,693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r>
      <w:tr>
        <w:trPr>
          <w:trHeight w:val="176"/>
        </w:trPr>
        <w:tc>
          <w:tcPr>
            <w:tcW w:w="10440" w:type="dxa"/>
            <w:vAlign w:val="bottom"/>
            <w:gridSpan w:val="22"/>
          </w:tcPr>
          <w:p>
            <w:pPr>
              <w:spacing w:after="0" w:line="176" w:lineRule="exact"/>
              <w:rPr>
                <w:sz w:val="20"/>
                <w:szCs w:val="20"/>
                <w:color w:val="auto"/>
              </w:rPr>
            </w:pPr>
            <w:r>
              <w:rPr>
                <w:rFonts w:ascii="Arial" w:cs="Arial" w:eastAsia="Arial" w:hAnsi="Arial"/>
                <w:sz w:val="18"/>
                <w:szCs w:val="18"/>
                <w:color w:val="0000FF"/>
              </w:rPr>
              <w:t>FORWARD-LOOKING STATEMENTS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1"/>
                <w:szCs w:val="21"/>
                <w:color w:val="auto"/>
              </w:rPr>
            </w:pPr>
          </w:p>
        </w:tc>
      </w:tr>
      <w:tr>
        <w:trPr>
          <w:trHeight w:val="243"/>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202"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Changes in Equity</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Condensed Consolidated Statements of Cash Flows</w:t>
            </w:r>
          </w:p>
        </w:tc>
        <w:tc>
          <w:tcPr>
            <w:tcW w:w="51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40" w:type="dxa"/>
            <w:vAlign w:val="bottom"/>
            <w:tcBorders>
              <w:bottom w:val="single" w:sz="8" w:color="0000EE"/>
            </w:tcBorders>
          </w:tcPr>
          <w:p>
            <w:pPr>
              <w:spacing w:after="0"/>
              <w:rPr>
                <w:sz w:val="18"/>
                <w:szCs w:val="18"/>
                <w:color w:val="auto"/>
              </w:rPr>
            </w:pPr>
          </w:p>
        </w:tc>
        <w:tc>
          <w:tcPr>
            <w:tcW w:w="74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Quarterly Report on Form 10-Q contains “forward-looking statements” regarding Columbia Care Inc. and its subsidiaries (collectively referred to as “Columbia Care,”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8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termination of the Cresco Transaction (as defined herein) on the Company’s current and future operations, financial condition and prospects;</w:t>
      </w:r>
    </w:p>
    <w:p>
      <w:pPr>
        <w:spacing w:after="0" w:line="138" w:lineRule="exact"/>
        <w:rPr>
          <w:rFonts w:ascii="Arial" w:cs="Arial" w:eastAsia="Arial" w:hAnsi="Arial"/>
          <w:sz w:val="15"/>
          <w:szCs w:val="15"/>
          <w:color w:val="auto"/>
        </w:rPr>
      </w:pPr>
    </w:p>
    <w:p>
      <w:pPr>
        <w:ind w:left="380" w:hanging="372"/>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costs of the Cresco Transaction (as defined herein) and potential payment of a termination fee in connection with the Cresco Transaction (as defined herein);</w:t>
      </w:r>
    </w:p>
    <w:p>
      <w:pPr>
        <w:spacing w:after="0" w:line="138" w:lineRule="exact"/>
        <w:rPr>
          <w:rFonts w:ascii="Arial" w:cs="Arial" w:eastAsia="Arial" w:hAnsi="Arial"/>
          <w:sz w:val="15"/>
          <w:szCs w:val="15"/>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exchange of the Company's 2024 notes (as defined herein) for the Company's 9.5% senior secured notes due February 2026;</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Company's corporate restucturing plan;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fact that marijuana remains illegal under federal law;</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anti-money laundering laws and regulations to the Company;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regulatory, or political change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public and private capital;</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publicity or consumer perception of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expansion to the adult-use markets;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laws, regulations, and guidelines;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Section 280E of the Internal Revenue Code;</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state laws pertaining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reliance on key inputs, suppliers and skilled labor;</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forecasting the Company’s sales;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constraints on marketing products;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cyber-attacks and security breaches;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operating loss and other tax attribute limitations;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changes in tax laws;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market price of the Common Shares;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reliance on management;</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results and financial projections; and</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global financial conditions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2022.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7"/>
              </w:rPr>
              <w:t>June 30, 2023</w:t>
            </w:r>
          </w:p>
        </w:tc>
        <w:tc>
          <w:tcPr>
            <w:tcW w:w="1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36,997</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48,154</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Accounts receivable, net of allowances of $2,643 and, $2,504, respectively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131,342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127,905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21,942</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37,585</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248,555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237,177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328,026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357,993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 of use assets - operating leases, net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166,641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174,472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Right of use assets - finance leases,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40,488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45,423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19,274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132,166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145,265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15,122</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951,990</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994,726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34,955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23,775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58,022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64,574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payable</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46,919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33,961</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Current portion of lease liability - operating leases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lease liability - finance leases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47,814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47,315</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Liabilities held for sale</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25,409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227,471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203,118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279,629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281,705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Long-term lease liability - operating leases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166,871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174,312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lease liability - finance leases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47,442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Derivative liability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75,516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797,194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787,823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no par value, unlimited shares authorized as of June 30, 2023 and</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 respectively, 396,823,519 and 391,238,484 shares issued and outstanding</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June 30, 2023 and December 31, 2022, respectively</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7720" w:type="dxa"/>
            <w:vAlign w:val="bottom"/>
          </w:tcPr>
          <w:p>
            <w:pPr>
              <w:ind w:left="200"/>
              <w:spacing w:after="0"/>
              <w:rPr>
                <w:sz w:val="20"/>
                <w:szCs w:val="20"/>
                <w:color w:val="auto"/>
              </w:rPr>
            </w:pPr>
            <w:r>
              <w:rPr>
                <w:rFonts w:ascii="Arial" w:cs="Arial" w:eastAsia="Arial" w:hAnsi="Arial"/>
                <w:sz w:val="16"/>
                <w:szCs w:val="16"/>
                <w:color w:val="auto"/>
              </w:rPr>
              <w:t>Preferred Stock, no par value, unlimited shares authorized as of June 30, 2023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Arial" w:cs="Arial" w:eastAsia="Arial" w:hAnsi="Arial"/>
                <w:sz w:val="16"/>
                <w:szCs w:val="16"/>
                <w:color w:val="auto"/>
              </w:rPr>
              <w:t>December 31, 2022, respectively, none issued and outstanding as of June 30, 2023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6"/>
                <w:szCs w:val="16"/>
                <w:color w:val="auto"/>
              </w:rPr>
              <w:t>December 31, 2022</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Proportionate voting shares, no par value, unlimited shares authorized as of June 30, 2023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December 31, 2022, respectively; 9,955,661 and 10,009,819 shares issued and outstanding</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June 30, 2023 and December 31, 2022, respectively</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1,126,837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1,117,287</w:t>
            </w:r>
          </w:p>
        </w:tc>
        <w:tc>
          <w:tcPr>
            <w:tcW w:w="100" w:type="dxa"/>
            <w:vAlign w:val="bottom"/>
          </w:tcPr>
          <w:p>
            <w:pPr>
              <w:spacing w:after="0"/>
              <w:rPr>
                <w:sz w:val="19"/>
                <w:szCs w:val="19"/>
                <w:color w:val="auto"/>
              </w:rPr>
            </w:pPr>
          </w:p>
        </w:tc>
      </w:tr>
      <w:tr>
        <w:trPr>
          <w:trHeight w:val="233"/>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(970,206 )</w:t>
            </w: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(904,003 )</w:t>
            </w:r>
          </w:p>
        </w:tc>
      </w:tr>
      <w:tr>
        <w:trPr>
          <w:trHeight w:val="223"/>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Equity attributable to Columbia Care Inc.</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156,631</w:t>
            </w: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213,284</w:t>
            </w:r>
          </w:p>
        </w:tc>
        <w:tc>
          <w:tcPr>
            <w:tcW w:w="100" w:type="dxa"/>
            <w:vAlign w:val="bottom"/>
            <w:tcBorders>
              <w:top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(1,835 )</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(6,381 )</w:t>
            </w:r>
          </w:p>
        </w:tc>
      </w:tr>
      <w:tr>
        <w:trPr>
          <w:trHeight w:val="223"/>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equity</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154,796</w:t>
            </w: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206,903</w:t>
            </w:r>
          </w:p>
        </w:tc>
        <w:tc>
          <w:tcPr>
            <w:tcW w:w="100" w:type="dxa"/>
            <w:vAlign w:val="bottom"/>
            <w:tcBorders>
              <w:top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951,990</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994,726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-6745605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-6745605</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-5262880</wp:posOffset>
            </wp:positionV>
            <wp:extent cx="12344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-3779520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for number of shares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7"/>
              </w:rPr>
              <w:t>June 30, 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9"/>
              </w:rPr>
              <w:t>June 30, 2022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7"/>
              </w:rPr>
              <w:t>June 30, 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7"/>
              </w:rPr>
              <w:t>June 30, 2022</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net of discounts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129,244</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129,571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253,779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252,658</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Cost of sales related to inventory production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(77,122 )</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(78,723 )</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(154,576 )</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(145,183 )</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52,122</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50,848</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99,203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107,475</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(52,073 )</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(72,956 )</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(107,423 )</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(144,248 )</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Profit (loss) from operations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(22,108 )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(8,220 )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(36,773 )</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on leases</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(2,157 )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(2,796 )</w:t>
            </w:r>
          </w:p>
        </w:tc>
        <w:tc>
          <w:tcPr>
            <w:tcW w:w="0" w:type="dxa"/>
            <w:vAlign w:val="bottom"/>
          </w:tcPr>
          <w:p>
            <w:pPr>
              <w:spacing w:after="0"/>
              <w:rPr>
                <w:sz w:val="1"/>
                <w:szCs w:val="1"/>
                <w:color w:val="auto"/>
              </w:rPr>
            </w:pPr>
          </w:p>
        </w:tc>
      </w:tr>
      <w:tr>
        <w:trPr>
          <w:trHeight w:val="220"/>
        </w:trPr>
        <w:tc>
          <w:tcPr>
            <w:tcW w:w="426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(12,726 )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(11,484 )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(25,299 )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(22,728 )</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(8,996 )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(591 )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(12,939 )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(530 )</w:t>
            </w:r>
          </w:p>
        </w:tc>
        <w:tc>
          <w:tcPr>
            <w:tcW w:w="0" w:type="dxa"/>
            <w:vAlign w:val="bottom"/>
          </w:tcPr>
          <w:p>
            <w:pPr>
              <w:spacing w:after="0"/>
              <w:rPr>
                <w:sz w:val="1"/>
                <w:szCs w:val="1"/>
                <w:color w:val="auto"/>
              </w:rPr>
            </w:pPr>
          </w:p>
        </w:tc>
      </w:tr>
      <w:tr>
        <w:trPr>
          <w:trHeight w:val="223"/>
        </w:trPr>
        <w:tc>
          <w:tcPr>
            <w:tcW w:w="4260" w:type="dxa"/>
            <w:vAlign w:val="bottom"/>
          </w:tcPr>
          <w:p>
            <w:pPr>
              <w:ind w:left="38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(22,781 )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(13,445 )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(40,395 )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(26,054 )</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(22,732 )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(35,553 )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(48,615 )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(62,827 )</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(6,305 )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(18,702 )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(16,994 )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(19,334 )</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(29,037 )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(54,255 )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(65,609 )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(82,161 )</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(loss) attributable to non-controlling interests</w:t>
            </w: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(1,697 )</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6"/>
                <w:szCs w:val="16"/>
                <w:color w:val="auto"/>
              </w:rPr>
              <w:t>Net loss attributable to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(28,863 )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(53,828 )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(66,203 )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(80,464 )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w w:val="93"/>
              </w:rPr>
              <w:t>Weighted-average number of shares used in earnings per share</w:t>
            </w:r>
          </w:p>
        </w:tc>
        <w:tc>
          <w:tcPr>
            <w:tcW w:w="200" w:type="dxa"/>
            <w:vAlign w:val="bottom"/>
          </w:tcPr>
          <w:p>
            <w:pPr>
              <w:spacing w:after="0"/>
              <w:rPr>
                <w:sz w:val="17"/>
                <w:szCs w:val="17"/>
                <w:color w:val="auto"/>
              </w:rPr>
            </w:pPr>
          </w:p>
        </w:tc>
        <w:tc>
          <w:tcPr>
            <w:tcW w:w="1480" w:type="dxa"/>
            <w:vAlign w:val="bottom"/>
            <w:vMerge w:val="restart"/>
          </w:tcPr>
          <w:p>
            <w:pPr>
              <w:jc w:val="right"/>
              <w:ind w:right="59"/>
              <w:spacing w:after="0"/>
              <w:rPr>
                <w:sz w:val="20"/>
                <w:szCs w:val="20"/>
                <w:color w:val="auto"/>
              </w:rPr>
            </w:pPr>
            <w:r>
              <w:rPr>
                <w:rFonts w:ascii="Arial" w:cs="Arial" w:eastAsia="Arial" w:hAnsi="Arial"/>
                <w:sz w:val="16"/>
                <w:szCs w:val="16"/>
                <w:color w:val="auto"/>
              </w:rPr>
              <w:t>405,782,234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394,023,144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vMerge w:val="restart"/>
          </w:tcPr>
          <w:p>
            <w:pPr>
              <w:jc w:val="right"/>
              <w:ind w:right="39"/>
              <w:spacing w:after="0"/>
              <w:rPr>
                <w:sz w:val="20"/>
                <w:szCs w:val="20"/>
                <w:color w:val="auto"/>
              </w:rPr>
            </w:pPr>
            <w:r>
              <w:rPr>
                <w:rFonts w:ascii="Arial" w:cs="Arial" w:eastAsia="Arial" w:hAnsi="Arial"/>
                <w:sz w:val="16"/>
                <w:szCs w:val="16"/>
                <w:color w:val="auto"/>
              </w:rPr>
              <w:t>403,622,389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vMerge w:val="restart"/>
          </w:tcPr>
          <w:p>
            <w:pPr>
              <w:jc w:val="right"/>
              <w:ind w:right="39"/>
              <w:spacing w:after="0"/>
              <w:rPr>
                <w:sz w:val="20"/>
                <w:szCs w:val="20"/>
                <w:color w:val="auto"/>
              </w:rPr>
            </w:pPr>
            <w:r>
              <w:rPr>
                <w:rFonts w:ascii="Arial" w:cs="Arial" w:eastAsia="Arial" w:hAnsi="Arial"/>
                <w:sz w:val="16"/>
                <w:szCs w:val="16"/>
                <w:color w:val="auto"/>
              </w:rPr>
              <w:t>385,258,892</w:t>
            </w:r>
          </w:p>
        </w:tc>
        <w:tc>
          <w:tcPr>
            <w:tcW w:w="0" w:type="dxa"/>
            <w:vAlign w:val="bottom"/>
          </w:tcPr>
          <w:p>
            <w:pPr>
              <w:spacing w:after="0"/>
              <w:rPr>
                <w:sz w:val="1"/>
                <w:szCs w:val="1"/>
                <w:color w:val="auto"/>
              </w:rPr>
            </w:pPr>
          </w:p>
        </w:tc>
      </w:tr>
      <w:tr>
        <w:trPr>
          <w:trHeight w:val="185"/>
        </w:trPr>
        <w:tc>
          <w:tcPr>
            <w:tcW w:w="4260" w:type="dxa"/>
            <w:vAlign w:val="bottom"/>
          </w:tcPr>
          <w:p>
            <w:pPr>
              <w:ind w:left="20"/>
              <w:spacing w:after="0"/>
              <w:rPr>
                <w:sz w:val="20"/>
                <w:szCs w:val="20"/>
                <w:color w:val="auto"/>
              </w:rPr>
            </w:pPr>
            <w:r>
              <w:rPr>
                <w:rFonts w:ascii="Arial" w:cs="Arial" w:eastAsia="Arial" w:hAnsi="Arial"/>
                <w:sz w:val="16"/>
                <w:szCs w:val="16"/>
                <w:color w:val="auto"/>
              </w:rPr>
              <w:t>- basic and diluted</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attributable to shares (basic and diluted)</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(0.16 )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-2682240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-2682240</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-2682240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-2382520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-2382520</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-2382520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-1645285</wp:posOffset>
            </wp:positionV>
            <wp:extent cx="857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-1645285</wp:posOffset>
            </wp:positionV>
            <wp:extent cx="7683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-1645285</wp:posOffset>
            </wp:positionV>
            <wp:extent cx="7747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-1045210</wp:posOffset>
            </wp:positionV>
            <wp:extent cx="857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-1045210</wp:posOffset>
            </wp:positionV>
            <wp:extent cx="7683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7747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-745490</wp:posOffset>
            </wp:positionV>
            <wp:extent cx="8572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-745490</wp:posOffset>
            </wp:positionV>
            <wp:extent cx="7683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-745490</wp:posOffset>
            </wp:positionV>
            <wp:extent cx="7747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Statements of Operations and Comprehensive Loss.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COLUMBIA CARE INC.</w:t>
      </w:r>
    </w:p>
    <w:p>
      <w:pPr>
        <w:jc w:val="center"/>
        <w:spacing w:after="0" w:line="216" w:lineRule="auto"/>
        <w:rPr>
          <w:sz w:val="20"/>
          <w:szCs w:val="20"/>
          <w:color w:val="auto"/>
        </w:rPr>
      </w:pPr>
      <w:r>
        <w:rPr>
          <w:rFonts w:ascii="Arial" w:cs="Arial" w:eastAsia="Arial" w:hAnsi="Arial"/>
          <w:sz w:val="13"/>
          <w:szCs w:val="13"/>
          <w:color w:val="auto"/>
        </w:rPr>
        <w:t>CONDENSED CONSOLIDATED INTERIM STATEMENTS OF CHANGES IN EQUITY</w:t>
      </w:r>
    </w:p>
    <w:p>
      <w:pPr>
        <w:jc w:val="center"/>
        <w:spacing w:after="0" w:line="217" w:lineRule="auto"/>
        <w:rPr>
          <w:sz w:val="20"/>
          <w:szCs w:val="20"/>
          <w:color w:val="auto"/>
        </w:rPr>
      </w:pPr>
      <w:r>
        <w:rPr>
          <w:rFonts w:ascii="Arial" w:cs="Arial" w:eastAsia="Arial" w:hAnsi="Arial"/>
          <w:sz w:val="13"/>
          <w:szCs w:val="13"/>
          <w:color w:val="auto"/>
        </w:rPr>
        <w:t>(Unaudited)</w:t>
      </w:r>
    </w:p>
    <w:p>
      <w:pPr>
        <w:jc w:val="center"/>
        <w:spacing w:after="0"/>
        <w:rPr>
          <w:sz w:val="20"/>
          <w:szCs w:val="20"/>
          <w:color w:val="auto"/>
        </w:rPr>
      </w:pPr>
      <w:r>
        <w:rPr>
          <w:rFonts w:ascii="Arial" w:cs="Arial" w:eastAsia="Arial" w:hAnsi="Arial"/>
          <w:sz w:val="13"/>
          <w:szCs w:val="13"/>
          <w:color w:val="auto"/>
        </w:rPr>
        <w:t>(Expressed in thousands of U.S. dollars, except for number of shares)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90"/>
              </w:rPr>
              <w:t>Accumulate</w:t>
            </w: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93"/>
              </w:rPr>
              <w:t>Total Columbia Care</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179"/>
              <w:spacing w:after="0"/>
              <w:rPr>
                <w:sz w:val="20"/>
                <w:szCs w:val="20"/>
                <w:color w:val="auto"/>
              </w:rPr>
            </w:pPr>
            <w:r>
              <w:rPr>
                <w:rFonts w:ascii="Arial" w:cs="Arial" w:eastAsia="Arial" w:hAnsi="Arial"/>
                <w:sz w:val="16"/>
                <w:szCs w:val="16"/>
                <w:b w:val="1"/>
                <w:bCs w:val="1"/>
                <w:color w:val="auto"/>
              </w:rPr>
              <w:t>d</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center"/>
              <w:ind w:right="399"/>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r>
      <w:tr>
        <w:trPr>
          <w:trHeight w:val="223"/>
        </w:trPr>
        <w:tc>
          <w:tcPr>
            <w:tcW w:w="2460" w:type="dxa"/>
            <w:vAlign w:val="bottom"/>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2"/>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Equity</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w w:val="96"/>
              </w:rPr>
              <w:t>Balance as of December 31, 2021</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361,423,270</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14,729,636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1,039,726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(468,335 )</w:t>
            </w:r>
          </w:p>
        </w:tc>
        <w:tc>
          <w:tcPr>
            <w:tcW w:w="140" w:type="dxa"/>
            <w:vAlign w:val="bottom"/>
          </w:tcPr>
          <w:p>
            <w:pPr>
              <w:spacing w:after="0"/>
              <w:rPr>
                <w:sz w:val="19"/>
                <w:szCs w:val="19"/>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571,391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(20,568 )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550,823</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237,486</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6,358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6,358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6,358</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Warrants exercised</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180,000</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425</w:t>
            </w: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(26,636 )</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(26,636 )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(1,270 )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(27,906 )</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361,840,756</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14,729,636</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1,046,509</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(494,971 )</w:t>
            </w:r>
          </w:p>
        </w:tc>
        <w:tc>
          <w:tcPr>
            <w:tcW w:w="500" w:type="dxa"/>
            <w:vAlign w:val="bottom"/>
            <w:gridSpan w:val="2"/>
          </w:tcPr>
          <w:p>
            <w:pPr>
              <w:jc w:val="right"/>
              <w:ind w:right="202"/>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551,538</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(21,838 )</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529,700</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21,034,418</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49,346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49,346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49,346</w:t>
            </w: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w w:val="90"/>
              </w:rPr>
              <w:t>Issuance of shares in connection with</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1,099,549</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3,178</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Cancellation of restricted stock</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Conversion of convertible notes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Conversion between classes of</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2,431,508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(2,431,508 )</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Non-controlling interest buyout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(19,663 )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(19,663 )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19,663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Warrants exercised</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(53,828 )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(53,828 )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(54,255 )</w:t>
            </w:r>
          </w:p>
        </w:tc>
      </w:tr>
      <w:tr>
        <w:trPr>
          <w:trHeight w:val="26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June 30, 2022</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386,406,231</w:t>
            </w:r>
          </w:p>
        </w:tc>
        <w:tc>
          <w:tcPr>
            <w:tcW w:w="1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12,298,128</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1,099,033</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(568,462 )</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530,571</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(2,602 )</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527,969</w:t>
            </w:r>
          </w:p>
        </w:tc>
      </w:tr>
      <w:tr>
        <w:trPr>
          <w:trHeight w:val="419"/>
        </w:trPr>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24"/>
                <w:szCs w:val="24"/>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Accumulate</w:t>
            </w:r>
          </w:p>
        </w:tc>
        <w:tc>
          <w:tcPr>
            <w:tcW w:w="140" w:type="dxa"/>
            <w:vAlign w:val="bottom"/>
          </w:tcPr>
          <w:p>
            <w:pPr>
              <w:spacing w:after="0"/>
              <w:rPr>
                <w:sz w:val="24"/>
                <w:szCs w:val="24"/>
                <w:color w:val="auto"/>
              </w:rPr>
            </w:pPr>
          </w:p>
        </w:tc>
        <w:tc>
          <w:tcPr>
            <w:tcW w:w="168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93"/>
              </w:rPr>
              <w:t>Total Columbia Care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179"/>
              <w:spacing w:after="0"/>
              <w:rPr>
                <w:sz w:val="20"/>
                <w:szCs w:val="20"/>
                <w:color w:val="auto"/>
              </w:rPr>
            </w:pPr>
            <w:r>
              <w:rPr>
                <w:rFonts w:ascii="Arial" w:cs="Arial" w:eastAsia="Arial" w:hAnsi="Arial"/>
                <w:sz w:val="16"/>
                <w:szCs w:val="16"/>
                <w:b w:val="1"/>
                <w:bCs w:val="1"/>
                <w:color w:val="auto"/>
              </w:rPr>
              <w:t>d</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center"/>
              <w:ind w:right="399"/>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r>
      <w:tr>
        <w:trPr>
          <w:trHeight w:val="223"/>
        </w:trPr>
        <w:tc>
          <w:tcPr>
            <w:tcW w:w="2460" w:type="dxa"/>
            <w:vAlign w:val="bottom"/>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2"/>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Equity</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w w:val="96"/>
              </w:rPr>
              <w:t>Balance as of December 31, 2022</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391,238,484</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10,009,819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1,117,287</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(904,003 )</w:t>
            </w:r>
          </w:p>
        </w:tc>
        <w:tc>
          <w:tcPr>
            <w:tcW w:w="140" w:type="dxa"/>
            <w:vAlign w:val="bottom"/>
          </w:tcPr>
          <w:p>
            <w:pPr>
              <w:spacing w:after="0"/>
              <w:rPr>
                <w:sz w:val="19"/>
                <w:szCs w:val="19"/>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213,284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(6,381 )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206,903</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2,116,944</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6,611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6,611</w:t>
            </w: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Conversion between classes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shares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54,158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(54,158 )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Deconsolidation of subsidiary</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4,383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4,383</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(37,340 )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(37,340 )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(36,572 )</w:t>
            </w:r>
          </w:p>
        </w:tc>
      </w:tr>
      <w:tr>
        <w:trPr>
          <w:trHeight w:val="230"/>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393,409,586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9,955,661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1,123,898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(941,343 )</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182,555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(1,230 )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181,325</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3,413,933</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2,939</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Distributions to non-controlling</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holders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(431 )</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(28,863 )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(28,863 )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(29,037 )</w:t>
            </w: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June 30, 2023</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396,823,519</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9,955,661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1,126,837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(970,206 )</w:t>
            </w:r>
          </w:p>
        </w:tc>
        <w:tc>
          <w:tcPr>
            <w:tcW w:w="14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156,631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(1,835 )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154,796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-4161790</wp:posOffset>
            </wp:positionV>
            <wp:extent cx="7683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-4161790</wp:posOffset>
            </wp:positionV>
            <wp:extent cx="8572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-4161790</wp:posOffset>
            </wp:positionV>
            <wp:extent cx="857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-4161790</wp:posOffset>
            </wp:positionV>
            <wp:extent cx="7683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-4161790</wp:posOffset>
            </wp:positionV>
            <wp:extent cx="7683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-4161790</wp:posOffset>
            </wp:positionV>
            <wp:extent cx="7747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-2301875</wp:posOffset>
            </wp:positionV>
            <wp:extent cx="4294505" cy="728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94505" cy="728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amounts shown are net of any shares withheld by the Company to satisfy certain tax withholdings in connection with vesting of equity-based awards.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7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June 30, 2022</w:t>
            </w:r>
          </w:p>
        </w:tc>
      </w:tr>
      <w:tr>
        <w:trPr>
          <w:trHeight w:val="169"/>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(65,609 )</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(82,161 )</w:t>
            </w:r>
          </w:p>
        </w:tc>
      </w:tr>
      <w:tr>
        <w:trPr>
          <w:trHeight w:val="176"/>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29,678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41,268</w:t>
            </w:r>
          </w:p>
        </w:tc>
      </w:tr>
      <w:tr>
        <w:trPr>
          <w:trHeight w:val="176"/>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Equity-based compensation</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9,983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14,052</w:t>
            </w: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Debt amortization expense</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4,485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4,073</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deconsolidation of subsidiary</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2,473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Loss on disposal group</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9,649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Earnout adjustment</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476</w:t>
            </w: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Provision for obsolete inventory and other assets</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979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272</w:t>
            </w:r>
          </w:p>
        </w:tc>
      </w:tr>
      <w:tr>
        <w:trPr>
          <w:trHeight w:val="176"/>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taxes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(4,384 )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13,762</w:t>
            </w: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Change in fair value of derivative liability</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(5,697 )</w:t>
            </w:r>
          </w:p>
        </w:tc>
      </w:tr>
      <w:tr>
        <w:trPr>
          <w:trHeight w:val="176"/>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730</w:t>
            </w: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 net of acquisitions</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(4,454 )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6,978</w:t>
            </w:r>
          </w:p>
        </w:tc>
      </w:tr>
      <w:tr>
        <w:trPr>
          <w:trHeight w:val="175"/>
        </w:trPr>
        <w:tc>
          <w:tcPr>
            <w:tcW w:w="7820" w:type="dxa"/>
            <w:vAlign w:val="bottom"/>
          </w:tcPr>
          <w:p>
            <w:pPr>
              <w:ind w:left="38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(5,397 )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(27,218 )</w:t>
            </w:r>
          </w:p>
        </w:tc>
      </w:tr>
      <w:tr>
        <w:trPr>
          <w:trHeight w:val="176"/>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(6,538 )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(1,684 )</w:t>
            </w:r>
          </w:p>
        </w:tc>
      </w:tr>
      <w:tr>
        <w:trPr>
          <w:trHeight w:val="176"/>
        </w:trPr>
        <w:tc>
          <w:tcPr>
            <w:tcW w:w="782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9,317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(12,961 )</w:t>
            </w:r>
          </w:p>
        </w:tc>
      </w:tr>
      <w:tr>
        <w:trPr>
          <w:trHeight w:val="175"/>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10,949</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(2,920 )</w:t>
            </w:r>
          </w:p>
        </w:tc>
      </w:tr>
      <w:tr>
        <w:trPr>
          <w:trHeight w:val="176"/>
        </w:trPr>
        <w:tc>
          <w:tcPr>
            <w:tcW w:w="7820" w:type="dxa"/>
            <w:vAlign w:val="bottom"/>
          </w:tcPr>
          <w:p>
            <w:pPr>
              <w:ind w:left="380"/>
              <w:spacing w:after="0"/>
              <w:rPr>
                <w:sz w:val="20"/>
                <w:szCs w:val="20"/>
                <w:color w:val="auto"/>
              </w:rPr>
            </w:pPr>
            <w:r>
              <w:rPr>
                <w:rFonts w:ascii="Arial" w:cs="Arial" w:eastAsia="Arial" w:hAnsi="Arial"/>
                <w:sz w:val="14"/>
                <w:szCs w:val="14"/>
                <w:color w:val="auto"/>
              </w:rPr>
              <w:t>Payroll liabilities</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(859 )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(1,230 )</w:t>
            </w:r>
          </w:p>
        </w:tc>
      </w:tr>
      <w:tr>
        <w:trPr>
          <w:trHeight w:val="175"/>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(4,241 )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(22,842 )</w:t>
            </w:r>
          </w:p>
        </w:tc>
      </w:tr>
      <w:tr>
        <w:trPr>
          <w:trHeight w:val="176"/>
        </w:trPr>
        <w:tc>
          <w:tcPr>
            <w:tcW w:w="7820" w:type="dxa"/>
            <w:vAlign w:val="bottom"/>
          </w:tcPr>
          <w:p>
            <w:pPr>
              <w:ind w:left="38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13,485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(38,047 )</w:t>
            </w:r>
          </w:p>
        </w:tc>
      </w:tr>
      <w:tr>
        <w:trPr>
          <w:trHeight w:val="176"/>
        </w:trPr>
        <w:tc>
          <w:tcPr>
            <w:tcW w:w="7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(4,496 )</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13,366</w:t>
            </w:r>
          </w:p>
        </w:tc>
      </w:tr>
      <w:tr>
        <w:trPr>
          <w:trHeight w:val="169"/>
        </w:trPr>
        <w:tc>
          <w:tcPr>
            <w:tcW w:w="7820" w:type="dxa"/>
            <w:vAlign w:val="bottom"/>
          </w:tcPr>
          <w:p>
            <w:pPr>
              <w:ind w:left="200"/>
              <w:spacing w:after="0"/>
              <w:rPr>
                <w:sz w:val="20"/>
                <w:szCs w:val="20"/>
                <w:color w:val="auto"/>
              </w:rPr>
            </w:pPr>
            <w:r>
              <w:rPr>
                <w:rFonts w:ascii="Arial" w:cs="Arial" w:eastAsia="Arial" w:hAnsi="Arial"/>
                <w:sz w:val="14"/>
                <w:szCs w:val="14"/>
                <w:color w:val="auto"/>
              </w:rPr>
              <w:t>Net cash used in operating activities</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(3,718 )</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(99,783 )</w:t>
            </w:r>
          </w:p>
        </w:tc>
      </w:tr>
      <w:tr>
        <w:trPr>
          <w:trHeight w:val="169"/>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(5,740 )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(58,673 )</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acquisitions, net of cash acquired</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(963 )</w:t>
            </w: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Proceeds from sale of plant, property and equipment</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255</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deconsolidation of Missouri entity</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3,040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Cash received on deposits, net</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216</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1,699</w:t>
            </w:r>
          </w:p>
        </w:tc>
      </w:tr>
      <w:tr>
        <w:trPr>
          <w:trHeight w:val="169"/>
        </w:trPr>
        <w:tc>
          <w:tcPr>
            <w:tcW w:w="7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(2,315 )</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(57,682 )</w:t>
            </w:r>
          </w:p>
        </w:tc>
      </w:tr>
      <w:tr>
        <w:trPr>
          <w:trHeight w:val="169"/>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debt and warrants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153,250</w:t>
            </w: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Payment of debt issuance costs</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(7,698 )</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of lease liabilities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(3,196 )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(2,966 )</w:t>
            </w: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Repayment of sellers note</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(1,125 )</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debt</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(278 )</w:t>
            </w: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Issuance of Mortgage</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16,500</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Distributions to non-controlling interest holders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820" w:type="dxa"/>
            <w:vAlign w:val="bottom"/>
          </w:tcPr>
          <w:p>
            <w:pPr>
              <w:ind w:left="200"/>
              <w:spacing w:after="0"/>
              <w:rPr>
                <w:sz w:val="20"/>
                <w:szCs w:val="20"/>
                <w:color w:val="auto"/>
              </w:rPr>
            </w:pPr>
            <w:r>
              <w:rPr>
                <w:rFonts w:ascii="Arial" w:cs="Arial" w:eastAsia="Arial" w:hAnsi="Arial"/>
                <w:sz w:val="14"/>
                <w:szCs w:val="14"/>
                <w:color w:val="auto"/>
              </w:rPr>
              <w:t>Exercise of warrants</w:t>
            </w:r>
          </w:p>
        </w:tc>
        <w:tc>
          <w:tcPr>
            <w:tcW w:w="20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425</w:t>
            </w:r>
          </w:p>
        </w:tc>
      </w:tr>
      <w:tr>
        <w:trPr>
          <w:trHeight w:val="175"/>
        </w:trPr>
        <w:tc>
          <w:tcPr>
            <w:tcW w:w="7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Taxes paid on equity based compensation</w:t>
            </w:r>
          </w:p>
        </w:tc>
        <w:tc>
          <w:tcPr>
            <w:tcW w:w="2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(433 )</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(401 )</w:t>
            </w:r>
          </w:p>
        </w:tc>
      </w:tr>
      <w:tr>
        <w:trPr>
          <w:trHeight w:val="169"/>
        </w:trPr>
        <w:tc>
          <w:tcPr>
            <w:tcW w:w="7820" w:type="dxa"/>
            <w:vAlign w:val="bottom"/>
          </w:tcPr>
          <w:p>
            <w:pPr>
              <w:ind w:left="200"/>
              <w:spacing w:after="0"/>
              <w:rPr>
                <w:sz w:val="20"/>
                <w:szCs w:val="20"/>
                <w:color w:val="auto"/>
              </w:rPr>
            </w:pPr>
            <w:r>
              <w:rPr>
                <w:rFonts w:ascii="Arial" w:cs="Arial" w:eastAsia="Arial" w:hAnsi="Arial"/>
                <w:sz w:val="14"/>
                <w:szCs w:val="14"/>
                <w:color w:val="auto"/>
              </w:rPr>
              <w:t>Net cash (used in)/provided by financing activities</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(5,123 )</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157,707</w:t>
            </w:r>
          </w:p>
        </w:tc>
      </w:tr>
      <w:tr>
        <w:trPr>
          <w:trHeight w:val="169"/>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(decrease)/increase in cash</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(11,156 )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242</w:t>
            </w: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Cash and restricted cash at beginning of the period</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49,488</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82,533</w:t>
            </w:r>
          </w:p>
        </w:tc>
      </w:tr>
      <w:tr>
        <w:trPr>
          <w:trHeight w:val="209"/>
        </w:trPr>
        <w:tc>
          <w:tcPr>
            <w:tcW w:w="78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Cash and restricted cash at end of period</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38,332</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82,775</w:t>
            </w:r>
          </w:p>
        </w:tc>
      </w:tr>
      <w:tr>
        <w:trPr>
          <w:trHeight w:val="156"/>
        </w:trPr>
        <w:tc>
          <w:tcPr>
            <w:tcW w:w="78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36,997</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81,440</w:t>
            </w: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1,335</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1,335</w:t>
            </w:r>
          </w:p>
        </w:tc>
      </w:tr>
      <w:tr>
        <w:trPr>
          <w:trHeight w:val="209"/>
        </w:trPr>
        <w:tc>
          <w:tcPr>
            <w:tcW w:w="78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Cash and restricted cash, end of period</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38,332</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82,775</w:t>
            </w:r>
          </w:p>
        </w:tc>
      </w:tr>
      <w:tr>
        <w:trPr>
          <w:trHeight w:val="156"/>
        </w:trPr>
        <w:tc>
          <w:tcPr>
            <w:tcW w:w="78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76"/>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Operating cash flows from operating leases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11,393</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12,424</w:t>
            </w:r>
          </w:p>
        </w:tc>
      </w:tr>
      <w:tr>
        <w:trPr>
          <w:trHeight w:val="175"/>
        </w:trPr>
        <w:tc>
          <w:tcPr>
            <w:tcW w:w="7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cash flows from finance leases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2,117</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2,913</w:t>
            </w:r>
          </w:p>
        </w:tc>
      </w:tr>
      <w:tr>
        <w:trPr>
          <w:trHeight w:val="175"/>
        </w:trPr>
        <w:tc>
          <w:tcPr>
            <w:tcW w:w="7820" w:type="dxa"/>
            <w:vAlign w:val="bottom"/>
          </w:tcPr>
          <w:p>
            <w:pPr>
              <w:ind w:left="200"/>
              <w:spacing w:after="0"/>
              <w:rPr>
                <w:sz w:val="20"/>
                <w:szCs w:val="20"/>
                <w:color w:val="auto"/>
              </w:rPr>
            </w:pPr>
            <w:r>
              <w:rPr>
                <w:rFonts w:ascii="Arial" w:cs="Arial" w:eastAsia="Arial" w:hAnsi="Arial"/>
                <w:sz w:val="14"/>
                <w:szCs w:val="14"/>
                <w:color w:val="auto"/>
              </w:rPr>
              <w:t>Financing cash flows from finance leases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3,196</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2,965</w:t>
            </w: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 on other obligations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21,342</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12,180</w:t>
            </w:r>
          </w:p>
        </w:tc>
      </w:tr>
      <w:tr>
        <w:trPr>
          <w:trHeight w:val="176"/>
        </w:trPr>
        <w:tc>
          <w:tcPr>
            <w:tcW w:w="782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8,336</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43,759</w:t>
            </w: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 liabilities arising from the recognition of finance right-of-use assets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1,016</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1,851</w:t>
            </w: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Lease liabilities arising from the recognition of operating right-of-use assets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4,711</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10,406</w:t>
            </w:r>
          </w:p>
        </w:tc>
      </w:tr>
      <w:tr>
        <w:trPr>
          <w:trHeight w:val="176"/>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Non-cash fixed asset additions within accounts payable and accrued expenses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2,637</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7,957</w:t>
            </w: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equity issuance costs within accrued expenses and accounts payable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-4465320</wp:posOffset>
            </wp:positionV>
            <wp:extent cx="939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-3681095</wp:posOffset>
            </wp:positionV>
            <wp:extent cx="7132320" cy="252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27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-2425065</wp:posOffset>
            </wp:positionV>
            <wp:extent cx="9398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2400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-1842135</wp:posOffset>
            </wp:positionV>
            <wp:extent cx="939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-1362075</wp:posOffset>
            </wp:positionV>
            <wp:extent cx="939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65" w:lineRule="auto"/>
        <w:rPr>
          <w:sz w:val="20"/>
          <w:szCs w:val="20"/>
          <w:color w:val="auto"/>
        </w:rPr>
      </w:pPr>
      <w:r>
        <w:rPr>
          <w:rFonts w:ascii="Arial" w:cs="Arial" w:eastAsia="Arial" w:hAnsi="Arial"/>
          <w:sz w:val="17"/>
          <w:szCs w:val="17"/>
          <w:color w:val="auto"/>
        </w:rPr>
        <w:t>NOTES TO THE CONDENSED INTERIM CONSOLIDATED FINANCIAL STATEMENTS FOR THE THREE AND SIX MONTHS ENDED JUNE 30, 2023, AND 2022 (Expressed in thousands of U.S. dollars, except for share and per share amounts)</w:t>
      </w: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 OF THE COMPANY</w:t>
      </w:r>
    </w:p>
    <w:p>
      <w:pPr>
        <w:spacing w:after="0" w:line="161"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Columbia Care Inc. (“the Company” or “the Parent”),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9"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26, 2019, the Company completed a reverse takeover (“RTO”) transaction and private placement. Following the RTO, the Company’s Common Shares were listed on the Aequitas NEO exchange, trading under the symbol “CCHW”. As of the time of this report, the Company’s Common Shares are also listed on the Canadian Securities Exchange (the “CSE”) under the symbol “CCHW”, the OTCQX Best Market under the symbol “CCHWF” and on the Frankfurt Stock Exchange under the symbol “3LP”.</w:t>
      </w:r>
    </w:p>
    <w:p>
      <w:pPr>
        <w:spacing w:after="0" w:line="105" w:lineRule="exact"/>
        <w:rPr>
          <w:rFonts w:ascii="Arial" w:cs="Arial" w:eastAsia="Arial" w:hAnsi="Arial"/>
          <w:sz w:val="18"/>
          <w:szCs w:val="18"/>
          <w:b w:val="1"/>
          <w:bCs w:val="1"/>
          <w:color w:val="auto"/>
        </w:rPr>
      </w:pPr>
    </w:p>
    <w:p>
      <w:pPr>
        <w:jc w:val="both"/>
        <w:ind w:left="3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23, 2022, the Company and Cresco Labs LLC (“Cresco Labs”) entered into a definitive arrangement agreement, as amended on February 27, 2023 (the “Arrangement Agreement”) pursuant to which Cresco Labs agreed to acquire all of the issued and outstanding shares of the Company (the “Cresco Transaction”). Subject to closing conditions and necessary regulatory approvals, closure of the Cresco Transaction was to have occurred no later than June 30, 2023 per the terms of the Arrangement Agreement. As set forth below in Note 19, “Subsequent Events,” on July 31, 2023, the Company and Cresco Labs entered into a termination agreement (the “Termination Agreement”), pursuant to which Columbia Care and Cresco Labs agreed to terminate the Arrangement Agreement.</w:t>
      </w:r>
    </w:p>
    <w:p>
      <w:pPr>
        <w:spacing w:after="0" w:line="269" w:lineRule="exact"/>
        <w:rPr>
          <w:rFonts w:ascii="Arial" w:cs="Arial" w:eastAsia="Arial" w:hAnsi="Arial"/>
          <w:sz w:val="18"/>
          <w:szCs w:val="18"/>
          <w:b w:val="1"/>
          <w:bCs w:val="1"/>
          <w:color w:val="auto"/>
        </w:rPr>
      </w:pPr>
    </w:p>
    <w:p>
      <w:pPr>
        <w:ind w:left="380" w:right="6160" w:hanging="372"/>
        <w:spacing w:after="0" w:line="417" w:lineRule="auto"/>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preparation</w:t>
      </w: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interim consolidated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16" w:lineRule="exact"/>
        <w:rPr>
          <w:rFonts w:ascii="Arial" w:cs="Arial" w:eastAsia="Arial" w:hAnsi="Arial"/>
          <w:sz w:val="18"/>
          <w:szCs w:val="18"/>
          <w:b w:val="1"/>
          <w:bCs w:val="1"/>
          <w:color w:val="auto"/>
        </w:rPr>
      </w:pPr>
    </w:p>
    <w:p>
      <w:pPr>
        <w:jc w:val="both"/>
        <w:ind w:left="3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interim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six months ended June 30, 2023 are not necessarily indicative of the results that may be expected for the current year ending December 31, 2023. The financial data presented herein should be read in conjunction with the audited consolidated financial statements and accompanying notes as of and for the years ended December 31, 2022, and 2021 included in the Annual Report on Form 10-K for the year ended December 31, 2022 (the “2022 Form 10-K”).</w:t>
      </w:r>
    </w:p>
    <w:p>
      <w:pPr>
        <w:spacing w:after="0" w:line="109" w:lineRule="exact"/>
        <w:rPr>
          <w:rFonts w:ascii="Arial" w:cs="Arial" w:eastAsia="Arial" w:hAnsi="Arial"/>
          <w:sz w:val="18"/>
          <w:szCs w:val="18"/>
          <w:b w:val="1"/>
          <w:bCs w:val="1"/>
          <w:color w:val="auto"/>
        </w:rPr>
      </w:pPr>
    </w:p>
    <w:p>
      <w:pPr>
        <w:jc w:val="both"/>
        <w:ind w:lef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these unaudited condensed interim consolidated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84" w:lineRule="exact"/>
        <w:rPr>
          <w:rFonts w:ascii="Arial" w:cs="Arial" w:eastAsia="Arial" w:hAnsi="Arial"/>
          <w:sz w:val="18"/>
          <w:szCs w:val="18"/>
          <w:b w:val="1"/>
          <w:bCs w:val="1"/>
          <w:color w:val="auto"/>
        </w:rPr>
      </w:pPr>
    </w:p>
    <w:p>
      <w:pPr>
        <w:ind w:left="3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1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Accounting Judgments, Estimates and Assumptions</w:t>
      </w:r>
    </w:p>
    <w:p>
      <w:pPr>
        <w:spacing w:after="0" w:line="157"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to the Company’s 2022 Form 10-K, filed with the SEC, on March 29, 2023. There have been no material changes to the Company’s significant accounting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left="38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revenues are disaggregated as follows:</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2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4"/>
              </w:rPr>
              <w:t>June 30, 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4"/>
              </w:rPr>
              <w:t>June 30, 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June 30, 2023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June 30, 2022</w:t>
            </w: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Dispensary</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114,038</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109,457</w:t>
            </w:r>
          </w:p>
        </w:tc>
        <w:tc>
          <w:tcPr>
            <w:tcW w:w="120" w:type="dxa"/>
            <w:vAlign w:val="bottom"/>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223,194</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212,799</w:t>
            </w: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Cultivation and wholesale</w:t>
            </w: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39,815</w:t>
            </w:r>
          </w:p>
        </w:tc>
      </w:tr>
      <w:tr>
        <w:trPr>
          <w:trHeight w:val="236"/>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44</w:t>
            </w:r>
          </w:p>
        </w:tc>
      </w:tr>
      <w:tr>
        <w:trPr>
          <w:trHeight w:val="219"/>
        </w:trPr>
        <w:tc>
          <w:tcPr>
            <w:tcW w:w="2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129,244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129,571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253,779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252,658</w:t>
            </w: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-179070</wp:posOffset>
            </wp:positionV>
            <wp:extent cx="8572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-179070</wp:posOffset>
            </wp:positionV>
            <wp:extent cx="7683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114"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During the three and six months ended June 30, 2023 the Company netted discounts of $34,539 and $67,764, respectively, against the revenues. During the three and six months ended June 30, 2022, the Company netted discounts of $22,712 and $48,618, respectively, against the revenues, respectively. Discounts are provided by the Company during promotional days or weekends. Discounts are also provided to employees, seniors and other categories of customers and may include price reductions and coupons.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380"/>
        <w:spacing w:after="0" w:line="271" w:lineRule="auto"/>
        <w:rPr>
          <w:sz w:val="20"/>
          <w:szCs w:val="20"/>
          <w:color w:val="auto"/>
        </w:rPr>
      </w:pPr>
      <w:r>
        <w:rPr>
          <w:rFonts w:ascii="Arial" w:cs="Arial" w:eastAsia="Arial" w:hAnsi="Arial"/>
          <w:sz w:val="17"/>
          <w:szCs w:val="17"/>
          <w:color w:val="auto"/>
        </w:rPr>
        <w:t>The Company calculated its actual effective tax rate for the interim period and applied that rate to the interim period results. In accordance with ASC 740-270, at the end of each interim period the Company is required to determine its best estimate of its annual effective tax rate and apply that rate in providing income taxes on an interim period. However, in certain circumstances when the Company concludes it is unable to reliably estimate the annual effective tax rate for the year, the actual effective tax rate for the interim period may be used. The Company believes that, at this time, the use of the actual effective tax rate is more appropriate than the estimated annual effective tax rate method as the estimated annual effective tax rate method is not reliable due to the high degree of uncertainty in estimating annual pre-tax income due to the stage of growth of the business, the correlation of Selling, General, and Administrative ("SG&amp;A") expenses to revenue that are permanently disallowed via Section 280E of the Internal Revenue Code, and the timing of the completion of the Cresco transaction.</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Modification of debt</w:t>
      </w:r>
    </w:p>
    <w:p>
      <w:pPr>
        <w:spacing w:after="0" w:line="15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Company accounts for modifications of debt arrangements in accordance with ASC 470-50 Modifications and Extinguishments (“ASC 470-50”). As such, the Company continues to amortize any remaining unamortized debt discount as of the debt modification date over the term of the amended debt. The Company expenses any fees paid to third parties and capitalizes creditor fees associated with the modification as a debt discount and amortizes them over the term of the amended debt.</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We include the results of operations of the businesses that we acquire as of the acquisition date. We allocate the purchase price of the acquisitions to the assets acquired and liabilities assumed based on their estimated fair values. The excess of the purchase price over the fair values of identifiable assets and liabilities is recorded as goodwill. Acquisition-related expenses are recognized separately from the business combination and are expensed as incurred.</w:t>
      </w:r>
    </w:p>
    <w:p>
      <w:pPr>
        <w:spacing w:after="0" w:line="33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tab/>
        <w:t>INVENTORY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Details of the Company’s inventory are shown in the table below:</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December 31, 2022</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Accessories and supplies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1,506</w:t>
            </w:r>
          </w:p>
        </w:tc>
      </w:tr>
      <w:tr>
        <w:trPr>
          <w:trHeight w:val="220"/>
        </w:trPr>
        <w:tc>
          <w:tcPr>
            <w:tcW w:w="5040" w:type="dxa"/>
            <w:vAlign w:val="bottom"/>
          </w:tcPr>
          <w:p>
            <w:pPr>
              <w:spacing w:after="0"/>
              <w:rPr>
                <w:sz w:val="20"/>
                <w:szCs w:val="20"/>
                <w:color w:val="auto"/>
              </w:rPr>
            </w:pPr>
            <w:r>
              <w:rPr>
                <w:rFonts w:ascii="Arial" w:cs="Arial" w:eastAsia="Arial" w:hAnsi="Arial"/>
                <w:sz w:val="16"/>
                <w:szCs w:val="16"/>
                <w:color w:val="auto"/>
              </w:rPr>
              <w:t>Work-in-process - cannabis in cures and final vault</w:t>
            </w:r>
          </w:p>
        </w:tc>
        <w:tc>
          <w:tcPr>
            <w:tcW w:w="24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93,643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92,963</w:t>
            </w:r>
          </w:p>
        </w:tc>
      </w:tr>
      <w:tr>
        <w:trPr>
          <w:trHeight w:val="23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Finished goods - dried cannabis, concentrate and edible products</w:t>
            </w: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36,191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33,436</w:t>
            </w:r>
          </w:p>
        </w:tc>
      </w:tr>
      <w:tr>
        <w:trPr>
          <w:trHeight w:val="226"/>
        </w:trPr>
        <w:tc>
          <w:tcPr>
            <w:tcW w:w="5040" w:type="dxa"/>
            <w:vAlign w:val="bottom"/>
          </w:tcPr>
          <w:p>
            <w:pPr>
              <w:spacing w:after="0"/>
              <w:rPr>
                <w:sz w:val="20"/>
                <w:szCs w:val="20"/>
                <w:color w:val="auto"/>
              </w:rPr>
            </w:pPr>
            <w:r>
              <w:rPr>
                <w:rFonts w:ascii="Arial" w:cs="Arial" w:eastAsia="Arial" w:hAnsi="Arial"/>
                <w:sz w:val="16"/>
                <w:szCs w:val="16"/>
                <w:b w:val="1"/>
                <w:bCs w:val="1"/>
                <w:color w:val="auto"/>
              </w:rPr>
              <w:t>Total inventory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131,342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127,905</w:t>
            </w: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-179070</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8" w:lineRule="exact"/>
        <w:rPr>
          <w:sz w:val="20"/>
          <w:szCs w:val="20"/>
          <w:color w:val="auto"/>
        </w:rPr>
      </w:pPr>
    </w:p>
    <w:p>
      <w:pPr>
        <w:jc w:val="both"/>
        <w:ind w:left="380"/>
        <w:spacing w:after="0" w:line="286" w:lineRule="auto"/>
        <w:rPr>
          <w:sz w:val="20"/>
          <w:szCs w:val="20"/>
          <w:color w:val="auto"/>
        </w:rPr>
      </w:pPr>
      <w:r>
        <w:rPr>
          <w:rFonts w:ascii="Arial" w:cs="Arial" w:eastAsia="Arial" w:hAnsi="Arial"/>
          <w:sz w:val="17"/>
          <w:szCs w:val="17"/>
          <w:color w:val="auto"/>
        </w:rPr>
        <w:t>The inventory values are net of inventory write-downs as a result of obsolescence or unmarketability charged to cost of sales. As a result of certain restructuring efforts, there were write-downs of $36 and $637, respectively, during the three and six months ended June 30, 2023. As a result of local market conditions in Colorado, there was a $2,400 write-down during the three and six months ended June 30, 2022.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LONG-TERM DEBT</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Current and long-term obligations, net, are shown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 2022</w:t>
            </w: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2026 Notes</w:t>
            </w: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80" w:type="dxa"/>
            <w:vAlign w:val="bottom"/>
            <w:shd w:val="clear" w:color="auto" w:fill="CFF0FC"/>
          </w:tcPr>
          <w:p>
            <w:pPr>
              <w:spacing w:after="0"/>
              <w:rPr>
                <w:sz w:val="19"/>
                <w:szCs w:val="19"/>
                <w:color w:val="auto"/>
              </w:rPr>
            </w:pPr>
          </w:p>
        </w:tc>
      </w:tr>
      <w:tr>
        <w:trPr>
          <w:trHeight w:val="220"/>
        </w:trPr>
        <w:tc>
          <w:tcPr>
            <w:tcW w:w="5140" w:type="dxa"/>
            <w:vAlign w:val="bottom"/>
          </w:tcPr>
          <w:p>
            <w:pPr>
              <w:spacing w:after="0"/>
              <w:rPr>
                <w:sz w:val="20"/>
                <w:szCs w:val="20"/>
                <w:color w:val="auto"/>
              </w:rPr>
            </w:pPr>
            <w:r>
              <w:rPr>
                <w:rFonts w:ascii="Arial" w:cs="Arial" w:eastAsia="Arial" w:hAnsi="Arial"/>
                <w:sz w:val="16"/>
                <w:szCs w:val="16"/>
                <w:color w:val="auto"/>
              </w:rPr>
              <w:t>Term debt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38,215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38,215</w:t>
            </w:r>
          </w:p>
        </w:tc>
        <w:tc>
          <w:tcPr>
            <w:tcW w:w="80" w:type="dxa"/>
            <w:vAlign w:val="bottom"/>
          </w:tcPr>
          <w:p>
            <w:pPr>
              <w:spacing w:after="0"/>
              <w:rPr>
                <w:sz w:val="19"/>
                <w:szCs w:val="19"/>
                <w:color w:val="auto"/>
              </w:rPr>
            </w:pPr>
          </w:p>
        </w:tc>
      </w:tr>
      <w:tr>
        <w:trPr>
          <w:trHeight w:val="23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2025 Convertible Notes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80" w:type="dxa"/>
            <w:vAlign w:val="bottom"/>
            <w:shd w:val="clear" w:color="auto" w:fill="CFF0FC"/>
          </w:tcPr>
          <w:p>
            <w:pPr>
              <w:spacing w:after="0"/>
              <w:rPr>
                <w:sz w:val="20"/>
                <w:szCs w:val="20"/>
                <w:color w:val="auto"/>
              </w:rPr>
            </w:pPr>
          </w:p>
        </w:tc>
      </w:tr>
      <w:tr>
        <w:trPr>
          <w:trHeight w:val="220"/>
        </w:trPr>
        <w:tc>
          <w:tcPr>
            <w:tcW w:w="5140" w:type="dxa"/>
            <w:vAlign w:val="bottom"/>
          </w:tcPr>
          <w:p>
            <w:pPr>
              <w:spacing w:after="0"/>
              <w:rPr>
                <w:sz w:val="20"/>
                <w:szCs w:val="20"/>
                <w:color w:val="auto"/>
              </w:rPr>
            </w:pPr>
            <w:r>
              <w:rPr>
                <w:rFonts w:ascii="Arial" w:cs="Arial" w:eastAsia="Arial" w:hAnsi="Arial"/>
                <w:sz w:val="16"/>
                <w:szCs w:val="16"/>
                <w:color w:val="auto"/>
              </w:rPr>
              <w:t>Mortgage Note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35,703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35,965</w:t>
            </w:r>
          </w:p>
        </w:tc>
        <w:tc>
          <w:tcPr>
            <w:tcW w:w="80" w:type="dxa"/>
            <w:vAlign w:val="bottom"/>
          </w:tcPr>
          <w:p>
            <w:pPr>
              <w:spacing w:after="0"/>
              <w:rPr>
                <w:sz w:val="19"/>
                <w:szCs w:val="19"/>
                <w:color w:val="auto"/>
              </w:rPr>
            </w:pPr>
          </w:p>
        </w:tc>
      </w:tr>
      <w:tr>
        <w:trPr>
          <w:trHeight w:val="23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2023 Convertible Notes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80" w:type="dxa"/>
            <w:vAlign w:val="bottom"/>
            <w:shd w:val="clear" w:color="auto" w:fill="CFF0FC"/>
          </w:tcPr>
          <w:p>
            <w:pPr>
              <w:spacing w:after="0"/>
              <w:rPr>
                <w:sz w:val="20"/>
                <w:szCs w:val="20"/>
                <w:color w:val="auto"/>
              </w:rPr>
            </w:pPr>
          </w:p>
        </w:tc>
      </w:tr>
      <w:tr>
        <w:trPr>
          <w:trHeight w:val="220"/>
        </w:trPr>
        <w:tc>
          <w:tcPr>
            <w:tcW w:w="5140" w:type="dxa"/>
            <w:vAlign w:val="bottom"/>
          </w:tcPr>
          <w:p>
            <w:pPr>
              <w:spacing w:after="0"/>
              <w:rPr>
                <w:sz w:val="20"/>
                <w:szCs w:val="20"/>
                <w:color w:val="auto"/>
              </w:rPr>
            </w:pPr>
            <w:r>
              <w:rPr>
                <w:rFonts w:ascii="Arial" w:cs="Arial" w:eastAsia="Arial" w:hAnsi="Arial"/>
                <w:sz w:val="16"/>
                <w:szCs w:val="16"/>
                <w:color w:val="auto"/>
              </w:rPr>
              <w:t>Acquisition related real estate notes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19"/>
                <w:szCs w:val="19"/>
                <w:color w:val="auto"/>
              </w:rPr>
            </w:pPr>
          </w:p>
        </w:tc>
      </w:tr>
      <w:tr>
        <w:trPr>
          <w:trHeight w:val="23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promissory notes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FF0FC"/>
          </w:tcPr>
          <w:p>
            <w:pPr>
              <w:spacing w:after="0"/>
              <w:rPr>
                <w:sz w:val="20"/>
                <w:szCs w:val="20"/>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6"/>
                <w:szCs w:val="16"/>
                <w:color w:val="auto"/>
              </w:rPr>
              <w:t>Acquisition related term debt</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346,430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352,494</w:t>
            </w:r>
          </w:p>
        </w:tc>
        <w:tc>
          <w:tcPr>
            <w:tcW w:w="80" w:type="dxa"/>
            <w:vAlign w:val="bottom"/>
            <w:shd w:val="clear" w:color="auto" w:fill="CFF0FC"/>
          </w:tcPr>
          <w:p>
            <w:pPr>
              <w:spacing w:after="0"/>
              <w:rPr>
                <w:sz w:val="19"/>
                <w:szCs w:val="19"/>
                <w:color w:val="auto"/>
              </w:rPr>
            </w:pPr>
          </w:p>
        </w:tc>
      </w:tr>
      <w:tr>
        <w:trPr>
          <w:trHeight w:val="220"/>
        </w:trPr>
        <w:tc>
          <w:tcPr>
            <w:tcW w:w="514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(9,807 )</w:t>
            </w:r>
          </w:p>
        </w:tc>
        <w:tc>
          <w:tcPr>
            <w:tcW w:w="1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(12,483 )</w:t>
            </w:r>
          </w:p>
        </w:tc>
      </w:tr>
      <w:tr>
        <w:trPr>
          <w:trHeight w:val="23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Unamortized deferred financing costs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(9,180 )</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(11,016 )</w:t>
            </w:r>
          </w:p>
        </w:tc>
      </w:tr>
      <w:tr>
        <w:trPr>
          <w:trHeight w:val="223"/>
        </w:trPr>
        <w:tc>
          <w:tcPr>
            <w:tcW w:w="5140" w:type="dxa"/>
            <w:vAlign w:val="bottom"/>
          </w:tcPr>
          <w:p>
            <w:pPr>
              <w:spacing w:after="0"/>
              <w:rPr>
                <w:sz w:val="20"/>
                <w:szCs w:val="20"/>
                <w:color w:val="auto"/>
              </w:rPr>
            </w:pPr>
            <w:r>
              <w:rPr>
                <w:rFonts w:ascii="Arial" w:cs="Arial" w:eastAsia="Arial" w:hAnsi="Arial"/>
                <w:sz w:val="16"/>
                <w:szCs w:val="16"/>
                <w:color w:val="auto"/>
              </w:rPr>
              <w:t>Unamortized debt premium</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debt, net</w:t>
            </w: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327,443</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329,020</w:t>
            </w:r>
          </w:p>
        </w:tc>
        <w:tc>
          <w:tcPr>
            <w:tcW w:w="8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line="230" w:lineRule="exact"/>
              <w:rPr>
                <w:sz w:val="20"/>
                <w:szCs w:val="20"/>
                <w:color w:val="auto"/>
              </w:rPr>
            </w:pPr>
            <w:r>
              <w:rPr>
                <w:rFonts w:ascii="Arial" w:cs="Arial" w:eastAsia="Arial" w:hAnsi="Arial"/>
                <w:sz w:val="16"/>
                <w:szCs w:val="16"/>
                <w:color w:val="auto"/>
              </w:rPr>
              <w:t>Less current portion, net</w:t>
            </w:r>
            <w:r>
              <w:rPr>
                <w:rFonts w:ascii="Arial" w:cs="Arial" w:eastAsia="Arial" w:hAnsi="Arial"/>
                <w:sz w:val="21"/>
                <w:szCs w:val="21"/>
                <w:color w:val="auto"/>
                <w:vertAlign w:val="superscript"/>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(47,814 )</w:t>
            </w:r>
          </w:p>
        </w:tc>
        <w:tc>
          <w:tcPr>
            <w:tcW w:w="1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(47,315 )</w:t>
            </w:r>
          </w:p>
        </w:tc>
      </w:tr>
      <w:tr>
        <w:trPr>
          <w:trHeight w:val="257"/>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Long-term portion</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279,629</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281,705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4" w:lineRule="exact"/>
        <w:rPr>
          <w:sz w:val="20"/>
          <w:szCs w:val="20"/>
          <w:color w:val="auto"/>
        </w:rPr>
      </w:pPr>
    </w:p>
    <w:p>
      <w:pPr>
        <w:jc w:val="both"/>
        <w:ind w:left="380" w:right="20"/>
        <w:spacing w:after="0" w:line="308" w:lineRule="auto"/>
        <w:rPr>
          <w:sz w:val="20"/>
          <w:szCs w:val="20"/>
          <w:color w:val="auto"/>
        </w:rPr>
      </w:pPr>
      <w:r>
        <w:rPr>
          <w:rFonts w:ascii="Arial" w:cs="Arial" w:eastAsia="Arial" w:hAnsi="Arial"/>
          <w:sz w:val="17"/>
          <w:szCs w:val="17"/>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146"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Company was in compliance with all financial covenants and was not in default of any provisions under any of its debt arrangements as of June 30, 2023.</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2025 Convertible Notes</w:t>
      </w:r>
    </w:p>
    <w:p>
      <w:pPr>
        <w:spacing w:after="0" w:line="225" w:lineRule="exact"/>
        <w:rPr>
          <w:sz w:val="20"/>
          <w:szCs w:val="20"/>
          <w:color w:val="auto"/>
        </w:rPr>
      </w:pPr>
    </w:p>
    <w:p>
      <w:pPr>
        <w:jc w:val="both"/>
        <w:ind w:left="380"/>
        <w:spacing w:after="0" w:line="269" w:lineRule="auto"/>
        <w:rPr>
          <w:sz w:val="20"/>
          <w:szCs w:val="20"/>
          <w:color w:val="auto"/>
        </w:rPr>
      </w:pPr>
      <w:r>
        <w:rPr>
          <w:rFonts w:ascii="Arial" w:cs="Arial" w:eastAsia="Arial" w:hAnsi="Arial"/>
          <w:sz w:val="17"/>
          <w:szCs w:val="17"/>
          <w:color w:val="auto"/>
        </w:rPr>
        <w:t>On June 29, 2021, the Company completed an offering of 6.0% Secured Convertible Notes Due 2025 (“2025 Convertible Notes”) for an aggregate principal amount of $74,500.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US$6.49 payable on the business day prior to the date of conversion, adjusted downwards for any cash dividends paid to holders of Common Shares and other customary adjustments. The Company may redeem the Notes at par, in whole or in part, on or after June 29, 2023, if the volume weighted average price of the Common Shares trading on the Canadian Stock Exchange or the NEO Exchange for 15 of the 30 trading days immediately preceding the day on which the Company exercises its redemption right, exceeds 120.0% of the conversion price of the Notes at a Redemption Price equal to 100.0% of the principal amount of the 2025 Convertible Notes redeemed, plus accrued but unpaid interest, if any, up to but excluding the Redemption Date.</w:t>
      </w:r>
    </w:p>
    <w:p>
      <w:pPr>
        <w:spacing w:after="0" w:line="185" w:lineRule="exact"/>
        <w:rPr>
          <w:sz w:val="20"/>
          <w:szCs w:val="20"/>
          <w:color w:val="auto"/>
        </w:rPr>
      </w:pPr>
    </w:p>
    <w:p>
      <w:pPr>
        <w:jc w:val="both"/>
        <w:ind w:left="380"/>
        <w:spacing w:after="0" w:line="288" w:lineRule="auto"/>
        <w:rPr>
          <w:sz w:val="20"/>
          <w:szCs w:val="20"/>
          <w:color w:val="auto"/>
        </w:rPr>
      </w:pPr>
      <w:r>
        <w:rPr>
          <w:rFonts w:ascii="Arial" w:cs="Arial" w:eastAsia="Arial" w:hAnsi="Arial"/>
          <w:sz w:val="16"/>
          <w:szCs w:val="16"/>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2023 Convertible Notes</w:t>
      </w:r>
    </w:p>
    <w:p>
      <w:pPr>
        <w:spacing w:after="0" w:line="225"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On June 19, 2020, the Company completed the first tranche of an offering of senior secured convertible notes (“Convertible Notes”) for an aggregate principal amount of $12,800. During July 2020, the Company completed subsequent tranches for an aggregate principal amount of $5,960. The Convertible Notes can be exchanged into Common Shares at a conversion price of $3.79 (Canadian Dollars). For the purposes of determining the number of Common Shares issuable upon conversion of the Convertible Notes, the principal amount of the Convertible Notes surrendered for conversion shall be deemed converted from U.S. Dollars into Canadian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Dollars, using the end-of-day exchange rate published by the Bank of Canada on the date immediately preceding the date that the Convertible Note is surrendered for conversion. The Convertible Notes require interest-only payments until December 19, 2023, at a rate of 5.0% per annum, payable semi-annually on June 30 and December 31 commencing on December 31, 2020. The Convertible Notes are due in full on December 19, 2023. The Company incurred financing costs of $175 in connection with issuance of the Convertible Notes. The Company determined that the Convertible Notes represent an obligation to issue a variable number of shares for a variable amount of liability, as the amount of the liability to be settled depends on the applicable foreign exchange rate at the date of settlement.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and comprehensive loss. Upon initial recognition, the Company recorded a derivative liability of $5,364 within other long-term liabilities in the consolidated balance sheets and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2023 Convertible Notes.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premium and paid interest were paid out of funds raised from the February 2022 Private Placement. The total unamortized debt and debt issuance costs of $2,153, related to the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Convertible notes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2021, the Company offered an incentive program to the holders of the Convertible Notes, pursuant to which, the Company would issue to each noteholder that surrendered its Convertible Notes for conversion on or before May 28, 2021, 20 Common Shares of the Company on a private placement basis for each one-thousand US dollars aggregate principal amount of Convertible Notes surrendered for conversion. Pursuant to this incentive program, 4,550,139 shares were issued upon of conversion of $13,160 of Convertible Notes. These conversions resulted in recognition of a loss on conversion of $1,580, write down of derivative liability, debt discount and debt amortization of $12,127, $2,855 and $93, respectively and a corresponding credit to paid in capital of $23,919. Convertible note holders of $5,600 of the convertible debt issued in 2020 did not convert their debt into Common Shares and as of September 30, 2021, $5,600 of the convertible debt issued in 2020 was still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the Company entered into a term loan and security agreement with a bank. The agreement provides for $20,000 mortgage on real property in New York and carries interest at a variable rate per annum equal to the Wall Street Prime Rate (“Index”) plus 2.25%. The debt is repayable in 59 monthly installments and a final balloon payment due on January 1, 2027, which is estimated at $18,133 as of June 30, 2023. In connection with this Mortgage, the Company incurred financing costs of $655.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the Company entered into a term loan and security agreement with a bank. The agreement provides for $16,500 mortgage on real property in New Jersey and carries interest at a variable rate per annum equal to the Wall Street Prime Rate (“Index”) plus 2.25%. The debt is repayable in 59 monthly installments and a final balloon payment due on July 15, 2027, which is estimated at $15,734 as of June 30, 2023. In connection with this Mortgage, the Company incurred financing costs of $209.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31, 2020 and April 23, 2020, the Company completed the first and second tranches of a private placement of notes (“Private Notes”) for an aggregate principal amount of $14,250 and $1,000, respectively. The Private Notes required interest-only payments through March 30, 2024, at a rate of 9.9% per annum, payable semi-annually on March 31 and September 30 commencing</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11" w:name="page12"/>
    <w:bookmarkEnd w:id="11"/>
    <w:p>
      <w:pPr>
        <w:jc w:val="both"/>
        <w:ind w:left="380"/>
        <w:spacing w:after="0" w:line="277" w:lineRule="auto"/>
        <w:rPr>
          <w:sz w:val="20"/>
          <w:szCs w:val="20"/>
          <w:color w:val="auto"/>
        </w:rPr>
      </w:pPr>
      <w:r>
        <w:rPr>
          <w:rFonts w:ascii="Arial" w:cs="Arial" w:eastAsia="Arial" w:hAnsi="Arial"/>
          <w:sz w:val="18"/>
          <w:szCs w:val="18"/>
          <w:color w:val="auto"/>
        </w:rPr>
        <w:t>on September 30, 2020. The Private Notes are due in full on March 30, 2024. In connection with the first and second tranche offerings of the Private Notes, the Company issued 1,723,250 common share purchase warrants at an exercise price of $3.10 (Canadian Dollars).</w:t>
      </w:r>
    </w:p>
    <w:p>
      <w:pPr>
        <w:spacing w:after="0" w:line="170" w:lineRule="exact"/>
        <w:rPr>
          <w:sz w:val="20"/>
          <w:szCs w:val="20"/>
          <w:color w:val="auto"/>
        </w:rPr>
      </w:pPr>
    </w:p>
    <w:p>
      <w:pPr>
        <w:jc w:val="both"/>
        <w:ind w:left="380"/>
        <w:spacing w:after="0" w:line="275" w:lineRule="auto"/>
        <w:rPr>
          <w:sz w:val="20"/>
          <w:szCs w:val="20"/>
          <w:color w:val="auto"/>
        </w:rPr>
      </w:pPr>
      <w:r>
        <w:rPr>
          <w:rFonts w:ascii="Arial" w:cs="Arial" w:eastAsia="Arial" w:hAnsi="Arial"/>
          <w:sz w:val="17"/>
          <w:szCs w:val="17"/>
          <w:color w:val="auto"/>
        </w:rPr>
        <w:t>On May 14, 2020, the Company completed a private placement of an aggregate of 19,115 senior secured first-lien note units (the “May Units”) for aggregate gross proceeds of $19,115, each May Unit being comprised of (i) $1,000 principal amount of 13.0% senior secured first-lien notes (“Notes”) and (ii) 120 Common Share purchase warrants (the “May Warrants”) with an exercise price of $2.95 (Canadian Dollars) per underlying Common Share (the “May Private Placement”). Concurrent with the closing of the May Private Placement, the Private Notes were exchanged for Notes. In addition, holders of Private Notes were issued additional 130,388 May Warrants with an exercise price of $2.95 (Canadian Dollars).</w:t>
      </w:r>
    </w:p>
    <w:p>
      <w:pPr>
        <w:spacing w:after="0" w:line="176"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July 2, 2020, the Company completed a second private placement of an aggregate of 4,000 units (the “July Units”) for aggregate gross proceeds of $4,000, each July Unit being comprised of (i) $1,000 Notes and (ii) 75 Common Share purchase warrants (the “July Warrants”) with an exercise price of $4.53 (Canadian Dollars) per underlying Common Share.</w:t>
      </w:r>
    </w:p>
    <w:p>
      <w:pPr>
        <w:spacing w:after="0" w:line="184" w:lineRule="exact"/>
        <w:rPr>
          <w:sz w:val="20"/>
          <w:szCs w:val="20"/>
          <w:color w:val="auto"/>
        </w:rPr>
      </w:pPr>
    </w:p>
    <w:p>
      <w:pPr>
        <w:jc w:val="both"/>
        <w:ind w:left="380"/>
        <w:spacing w:after="0" w:line="291" w:lineRule="auto"/>
        <w:rPr>
          <w:sz w:val="20"/>
          <w:szCs w:val="20"/>
          <w:color w:val="auto"/>
        </w:rPr>
      </w:pPr>
      <w:r>
        <w:rPr>
          <w:rFonts w:ascii="Arial" w:cs="Arial" w:eastAsia="Arial" w:hAnsi="Arial"/>
          <w:sz w:val="16"/>
          <w:szCs w:val="16"/>
          <w:color w:val="auto"/>
        </w:rPr>
        <w:t>On October 29, 2020, November 10, 2020 and November 27, 2020, the Company completed private placements of an aggregate of 20,000, 8,400 and 3,000 units (the “Early November Units”), respectively, for aggregate gross proceeds of $32,054, each unit being comprised of (i) $1,000 Notes and</w:t>
      </w:r>
    </w:p>
    <w:p>
      <w:pPr>
        <w:ind w:left="380" w:firstLine="2"/>
        <w:spacing w:after="0" w:line="260" w:lineRule="auto"/>
        <w:tabs>
          <w:tab w:leader="none" w:pos="672" w:val="left"/>
        </w:tabs>
        <w:numPr>
          <w:ilvl w:val="0"/>
          <w:numId w:val="7"/>
        </w:numPr>
        <w:rPr>
          <w:rFonts w:ascii="Arial" w:cs="Arial" w:eastAsia="Arial" w:hAnsi="Arial"/>
          <w:sz w:val="18"/>
          <w:szCs w:val="18"/>
          <w:color w:val="auto"/>
        </w:rPr>
      </w:pPr>
      <w:r>
        <w:rPr>
          <w:rFonts w:ascii="Arial" w:cs="Arial" w:eastAsia="Arial" w:hAnsi="Arial"/>
          <w:sz w:val="18"/>
          <w:szCs w:val="18"/>
          <w:color w:val="auto"/>
        </w:rPr>
        <w:t>60 Common Share purchase warrants (the “Fall Warrants” and together with the May Warrants and July Warrants, the “Warrants”) with an exercise price of $5.84 (Canadian Dollars) per underlying Common Share.</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November 30, 2020, the Company completed another private placement of an aggregate of 200 units (the “Late November Units”) and together with the May Units, the July Units and the Early November Units (the “Units”), respectively for aggregate gross proceeds of $200, each unit being comprised of (i) $1,000 Notes and (ii) 125 Fall Warrants.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option of the holder, each Warrant can be exchanged for one Common Share. The Warrants expired on May 14, 2023.</w:t>
      </w:r>
    </w:p>
    <w:p>
      <w:pPr>
        <w:spacing w:after="0" w:line="225"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The Notes require interest-only payments through May 14, 2024, at a rate of 13.0% per annum, payable semi-annually on May 31 and November 30, which commenced on November 30, 2020. The Notes are due in full on May 14, 2024. The Company incurred financing costs of $3,373 in connection with the issuance of these Notes. The Notes contain customary terms and conditions, representations and warranties, and events of default.</w:t>
      </w:r>
    </w:p>
    <w:p>
      <w:pPr>
        <w:spacing w:after="0" w:line="149"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Upon initial recognition, the Company recorded $6,298 to equity reserves, reflecting the fair value of the warrants issued, with a corresponding reduction to the carrying value of the Notes. The debt discount will be amortized to interest expense over the term of the notes using the effective interest method.</w:t>
      </w:r>
    </w:p>
    <w:p>
      <w:pPr>
        <w:spacing w:after="0" w:line="184"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Total interest and amortization expense on the Company’s debt obligations during the three and six months ended June 30, 2023 and 2022 are as follows:</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62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8"/>
              </w:rPr>
              <w:t>June 30, 2023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8"/>
              </w:rPr>
              <w:t>June 30, 2022</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8"/>
              </w:rPr>
              <w:t>June 30, 2023</w:t>
            </w:r>
          </w:p>
        </w:tc>
        <w:tc>
          <w:tcPr>
            <w:tcW w:w="8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w w:val="94"/>
              </w:rPr>
              <w:t>June 30, 2022</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on debt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10,638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9,426</w:t>
            </w:r>
          </w:p>
        </w:tc>
        <w:tc>
          <w:tcPr>
            <w:tcW w:w="10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21,033</w:t>
            </w:r>
          </w:p>
        </w:tc>
        <w:tc>
          <w:tcPr>
            <w:tcW w:w="64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18,852</w:t>
            </w:r>
          </w:p>
        </w:tc>
      </w:tr>
      <w:tr>
        <w:trPr>
          <w:trHeight w:val="220"/>
        </w:trPr>
        <w:tc>
          <w:tcPr>
            <w:tcW w:w="3840" w:type="dxa"/>
            <w:vAlign w:val="bottom"/>
          </w:tcPr>
          <w:p>
            <w:pPr>
              <w:spacing w:after="0"/>
              <w:rPr>
                <w:sz w:val="20"/>
                <w:szCs w:val="20"/>
                <w:color w:val="auto"/>
              </w:rPr>
            </w:pPr>
            <w:r>
              <w:rPr>
                <w:rFonts w:ascii="Arial" w:cs="Arial" w:eastAsia="Arial" w:hAnsi="Arial"/>
                <w:sz w:val="16"/>
                <w:szCs w:val="16"/>
                <w:color w:val="auto"/>
              </w:rPr>
              <w:t>Amortization of debt discount</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2,597</w:t>
            </w:r>
          </w:p>
        </w:tc>
      </w:tr>
      <w:tr>
        <w:trPr>
          <w:trHeight w:val="23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debt premium</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(87 )</w:t>
            </w:r>
          </w:p>
        </w:tc>
      </w:tr>
      <w:tr>
        <w:trPr>
          <w:trHeight w:val="220"/>
        </w:trPr>
        <w:tc>
          <w:tcPr>
            <w:tcW w:w="384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1,834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1,564</w:t>
            </w:r>
          </w:p>
        </w:tc>
      </w:tr>
      <w:tr>
        <w:trPr>
          <w:trHeight w:val="23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interest (expense) income, net</w:t>
            </w: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(219 )</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(198 )</w:t>
            </w:r>
          </w:p>
        </w:tc>
      </w:tr>
      <w:tr>
        <w:trPr>
          <w:trHeight w:val="223"/>
        </w:trPr>
        <w:tc>
          <w:tcPr>
            <w:tcW w:w="3840" w:type="dxa"/>
            <w:vAlign w:val="bottom"/>
          </w:tcPr>
          <w:p>
            <w:pPr>
              <w:spacing w:after="0"/>
              <w:rPr>
                <w:sz w:val="20"/>
                <w:szCs w:val="20"/>
                <w:color w:val="auto"/>
              </w:rPr>
            </w:pPr>
            <w:r>
              <w:rPr>
                <w:rFonts w:ascii="Arial" w:cs="Arial" w:eastAsia="Arial" w:hAnsi="Arial"/>
                <w:sz w:val="16"/>
                <w:szCs w:val="16"/>
                <w:b w:val="1"/>
                <w:bCs w:val="1"/>
                <w:color w:val="auto"/>
              </w:rPr>
              <w:t>Total interest expense, net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12,726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25,299</w:t>
            </w:r>
          </w:p>
        </w:tc>
        <w:tc>
          <w:tcPr>
            <w:tcW w:w="64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22,728</w:t>
            </w:r>
          </w:p>
        </w:tc>
      </w:tr>
      <w:tr>
        <w:trPr>
          <w:trHeight w:val="20"/>
        </w:trPr>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-179705</wp:posOffset>
            </wp:positionV>
            <wp:extent cx="6032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-179705</wp:posOffset>
            </wp:positionV>
            <wp:extent cx="5143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interest rate on the Company’s indebtedness was 8.83%.</w:t>
      </w:r>
    </w:p>
    <w:p>
      <w:pPr>
        <w:spacing w:after="0" w:line="15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Green Leaf Medical</w:t>
      </w:r>
    </w:p>
    <w:p>
      <w:pPr>
        <w:spacing w:after="0" w:line="225" w:lineRule="exact"/>
        <w:rPr>
          <w:sz w:val="20"/>
          <w:szCs w:val="20"/>
          <w:color w:val="auto"/>
        </w:rPr>
      </w:pPr>
    </w:p>
    <w:p>
      <w:pPr>
        <w:jc w:val="both"/>
        <w:ind w:left="520" w:right="20"/>
        <w:spacing w:after="0" w:line="263" w:lineRule="auto"/>
        <w:rPr>
          <w:sz w:val="20"/>
          <w:szCs w:val="20"/>
          <w:color w:val="auto"/>
        </w:rPr>
      </w:pPr>
      <w:r>
        <w:rPr>
          <w:rFonts w:ascii="Arial" w:cs="Arial" w:eastAsia="Arial" w:hAnsi="Arial"/>
          <w:sz w:val="18"/>
          <w:szCs w:val="18"/>
          <w:color w:val="auto"/>
        </w:rPr>
        <w:t>On June 11, 2021, the Company acquired (the “Green Leaf Transaction”) a 100% ownership interest in Green Leaf Medical, LLC (“Green Leaf”). On July 7, 2021, the Company acquired (“the Green Leaf-Ohio Transaction”) a residual 49% ownership interest (constituting 949,379 Common Shares) in Green Leaf Medical of Ohio II, LLC (“Green Leaf-Ohio”).</w:t>
      </w:r>
    </w:p>
    <w:p>
      <w:pPr>
        <w:spacing w:after="0" w:line="18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Green Leaf was formed in April 2014 for the purpose of selling medicinal and recreational cannabis products in the states of Maryland, Pennsylvania, Ohio, and Virginia. Green Leaf owns and operates vertically integrated cultivation facilities, manufacturing facilities and retail dispensaries in the states of Maryland, Pennsylvania, Ohio, and Virginia.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3"/>
        <w:spacing w:after="0" w:line="277" w:lineRule="auto"/>
        <w:rPr>
          <w:sz w:val="20"/>
          <w:szCs w:val="20"/>
          <w:color w:val="auto"/>
        </w:rPr>
      </w:pPr>
      <w:r>
        <w:rPr>
          <w:rFonts w:ascii="Arial" w:cs="Arial" w:eastAsia="Arial" w:hAnsi="Arial"/>
          <w:sz w:val="18"/>
          <w:szCs w:val="18"/>
          <w:color w:val="auto"/>
        </w:rPr>
        <w:t>executed the Green Leaf Transaction in order to continue to grow revenues; expand its cultivation facilities, manufacturing facilities and dispensaries; and enter, or expand in the Maryland, Pennsylvania, Ohio, and Virginia markets.</w:t>
      </w:r>
    </w:p>
    <w:p>
      <w:pPr>
        <w:spacing w:after="0" w:line="278" w:lineRule="exact"/>
        <w:rPr>
          <w:sz w:val="20"/>
          <w:szCs w:val="20"/>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Futurevision Holdings, Inc., Futurevision 2020, LLC and Medicine Man Longmont, LLC</w:t>
      </w:r>
    </w:p>
    <w:p>
      <w:pPr>
        <w:spacing w:after="0" w:line="225" w:lineRule="exact"/>
        <w:rPr>
          <w:sz w:val="20"/>
          <w:szCs w:val="20"/>
          <w:color w:val="auto"/>
        </w:rPr>
      </w:pPr>
    </w:p>
    <w:p>
      <w:pPr>
        <w:jc w:val="both"/>
        <w:ind w:left="3"/>
        <w:spacing w:after="0" w:line="255" w:lineRule="auto"/>
        <w:rPr>
          <w:sz w:val="20"/>
          <w:szCs w:val="20"/>
          <w:color w:val="auto"/>
        </w:rPr>
      </w:pPr>
      <w:r>
        <w:rPr>
          <w:rFonts w:ascii="Arial" w:cs="Arial" w:eastAsia="Arial" w:hAnsi="Arial"/>
          <w:sz w:val="18"/>
          <w:szCs w:val="18"/>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on August 12, 2022 upon completion of the sale of the TGS Longmont location as required under the Merger Agreement, with the correspondent measurement period adjustments applied subsequently to the period of acquisition against goodwill from the acquisition.</w:t>
      </w:r>
    </w:p>
    <w:p>
      <w:pPr>
        <w:spacing w:after="0" w:line="192" w:lineRule="exact"/>
        <w:rPr>
          <w:sz w:val="20"/>
          <w:szCs w:val="20"/>
          <w:color w:val="auto"/>
        </w:rPr>
      </w:pPr>
    </w:p>
    <w:p>
      <w:pPr>
        <w:jc w:val="both"/>
        <w:ind w:left="3"/>
        <w:spacing w:after="0" w:line="259" w:lineRule="auto"/>
        <w:rPr>
          <w:sz w:val="20"/>
          <w:szCs w:val="20"/>
          <w:color w:val="auto"/>
        </w:rPr>
      </w:pPr>
      <w:r>
        <w:rPr>
          <w:rFonts w:ascii="Arial" w:cs="Arial" w:eastAsia="Arial" w:hAnsi="Arial"/>
          <w:sz w:val="18"/>
          <w:szCs w:val="18"/>
          <w:color w:val="auto"/>
        </w:rPr>
        <w:t>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enter, or expand in the Colorado market.</w:t>
      </w:r>
    </w:p>
    <w:p>
      <w:pPr>
        <w:spacing w:after="0" w:line="295" w:lineRule="exact"/>
        <w:rPr>
          <w:sz w:val="20"/>
          <w:szCs w:val="20"/>
          <w:color w:val="auto"/>
        </w:rPr>
      </w:pPr>
    </w:p>
    <w:p>
      <w:pPr>
        <w:ind w:left="503" w:hanging="503"/>
        <w:spacing w:after="0"/>
        <w:tabs>
          <w:tab w:leader="none" w:pos="503"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Healing Center San Diego (THCSD)</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On January 6, 2021, the Company acquired a 100% ownership interest in The Healing Center of San Diego, Inc. (“THCSD”).</w:t>
      </w:r>
    </w:p>
    <w:p>
      <w:pPr>
        <w:spacing w:after="0" w:line="23" w:lineRule="exact"/>
        <w:rPr>
          <w:sz w:val="20"/>
          <w:szCs w:val="20"/>
          <w:color w:val="auto"/>
        </w:rPr>
      </w:pPr>
    </w:p>
    <w:p>
      <w:pPr>
        <w:jc w:val="both"/>
        <w:ind w:left="3"/>
        <w:spacing w:after="0" w:line="255" w:lineRule="auto"/>
        <w:rPr>
          <w:sz w:val="20"/>
          <w:szCs w:val="20"/>
          <w:color w:val="auto"/>
        </w:rPr>
      </w:pPr>
      <w:r>
        <w:rPr>
          <w:rFonts w:ascii="Arial" w:cs="Arial" w:eastAsia="Arial" w:hAnsi="Arial"/>
          <w:sz w:val="18"/>
          <w:szCs w:val="18"/>
          <w:color w:val="auto"/>
        </w:rPr>
        <w:t>THCSD was formed in 2016 for the purpose of selling recreational and related cannabis products in San Diego, California, where it owns and operates a dispensary. The Company executed the THCSD Transaction in order to continue to grow revenues; expand its dispensaries; and penetrate the San Diego market.</w:t>
      </w:r>
    </w:p>
    <w:p>
      <w:pPr>
        <w:spacing w:after="0" w:line="298" w:lineRule="exact"/>
        <w:rPr>
          <w:sz w:val="20"/>
          <w:szCs w:val="20"/>
          <w:color w:val="auto"/>
        </w:rPr>
      </w:pPr>
    </w:p>
    <w:p>
      <w:pPr>
        <w:ind w:left="503" w:hanging="503"/>
        <w:spacing w:after="0"/>
        <w:tabs>
          <w:tab w:leader="none" w:pos="503"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Project Cannabis</w:t>
      </w:r>
    </w:p>
    <w:p>
      <w:pPr>
        <w:spacing w:after="0" w:line="225" w:lineRule="exact"/>
        <w:rPr>
          <w:sz w:val="20"/>
          <w:szCs w:val="20"/>
          <w:color w:val="auto"/>
        </w:rPr>
      </w:pPr>
    </w:p>
    <w:p>
      <w:pPr>
        <w:jc w:val="both"/>
        <w:ind w:left="3"/>
        <w:spacing w:after="0" w:line="263" w:lineRule="auto"/>
        <w:rPr>
          <w:sz w:val="20"/>
          <w:szCs w:val="20"/>
          <w:color w:val="auto"/>
        </w:rPr>
      </w:pPr>
      <w:r>
        <w:rPr>
          <w:rFonts w:ascii="Arial" w:cs="Arial" w:eastAsia="Arial" w:hAnsi="Arial"/>
          <w:sz w:val="18"/>
          <w:szCs w:val="18"/>
          <w:color w:val="auto"/>
        </w:rPr>
        <w:t>On December 1, 2020, the Company acquired (the “Project Cannabis Transaction”) a 100% ownership interest in Resource Referral Services Inc., PHC Facilities Inc. and Wellness Earth Energy Dispensary, Inc., and acquired a 49.9% ownership interest in Access Bryant SPC (collectively, “Project Cannabis”).</w:t>
      </w:r>
    </w:p>
    <w:p>
      <w:pPr>
        <w:spacing w:after="0" w:line="184" w:lineRule="exact"/>
        <w:rPr>
          <w:sz w:val="20"/>
          <w:szCs w:val="20"/>
          <w:color w:val="auto"/>
        </w:rPr>
      </w:pPr>
    </w:p>
    <w:p>
      <w:pPr>
        <w:jc w:val="both"/>
        <w:ind w:left="3"/>
        <w:spacing w:after="0" w:line="279" w:lineRule="auto"/>
        <w:rPr>
          <w:sz w:val="20"/>
          <w:szCs w:val="20"/>
          <w:color w:val="auto"/>
        </w:rPr>
      </w:pPr>
      <w:r>
        <w:rPr>
          <w:rFonts w:ascii="Arial" w:cs="Arial" w:eastAsia="Arial" w:hAnsi="Arial"/>
          <w:sz w:val="17"/>
          <w:szCs w:val="17"/>
          <w:color w:val="auto"/>
        </w:rPr>
        <w:t>Project Cannabis was formed in August 2014 for the purpose of selling medicinal and recreational cannabis products in the state of California, on both a wholesale and retail basis. Project Cannabis owns and operates vertically integrated cultivation facilities, manufacturing facilities and retail dispensaries in the state of California. The Company executed the Project Cannabis Transaction in order to continue to grow revenues; expand its cultivation facilities, manufacturing facilities and dispensaries; and penetrate the California market.</w:t>
      </w:r>
    </w:p>
    <w:p>
      <w:pPr>
        <w:spacing w:after="0" w:line="171" w:lineRule="exact"/>
        <w:rPr>
          <w:sz w:val="20"/>
          <w:szCs w:val="20"/>
          <w:color w:val="auto"/>
        </w:rPr>
      </w:pPr>
    </w:p>
    <w:p>
      <w:pPr>
        <w:ind w:left="503" w:hanging="503"/>
        <w:spacing w:after="0"/>
        <w:tabs>
          <w:tab w:leader="none" w:pos="503"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Corsa Verde</w:t>
      </w:r>
    </w:p>
    <w:p>
      <w:pPr>
        <w:spacing w:after="0" w:line="225" w:lineRule="exact"/>
        <w:rPr>
          <w:sz w:val="20"/>
          <w:szCs w:val="20"/>
          <w:color w:val="auto"/>
        </w:rPr>
      </w:pPr>
    </w:p>
    <w:p>
      <w:pPr>
        <w:ind w:left="3"/>
        <w:spacing w:after="0" w:line="277" w:lineRule="auto"/>
        <w:rPr>
          <w:sz w:val="20"/>
          <w:szCs w:val="20"/>
          <w:color w:val="auto"/>
        </w:rPr>
      </w:pPr>
      <w:r>
        <w:rPr>
          <w:rFonts w:ascii="Arial" w:cs="Arial" w:eastAsia="Arial" w:hAnsi="Arial"/>
          <w:sz w:val="18"/>
          <w:szCs w:val="18"/>
          <w:color w:val="auto"/>
        </w:rPr>
        <w:t>On May 4, 2021, the Company acquired Corsa Verde, LLC (“Corsa Verde”). Corsa Verde is an Ohio-based limited liability company formed in October 2017 that operates a medical marijuana processing facility.</w:t>
      </w:r>
    </w:p>
    <w:p>
      <w:pPr>
        <w:spacing w:after="0" w:line="278" w:lineRule="exact"/>
        <w:rPr>
          <w:sz w:val="20"/>
          <w:szCs w:val="20"/>
          <w:color w:val="auto"/>
        </w:rPr>
      </w:pPr>
    </w:p>
    <w:p>
      <w:pPr>
        <w:ind w:left="503" w:hanging="503"/>
        <w:spacing w:after="0"/>
        <w:tabs>
          <w:tab w:leader="none" w:pos="503"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CannAscend</w:t>
      </w:r>
    </w:p>
    <w:p>
      <w:pPr>
        <w:spacing w:after="0" w:line="225" w:lineRule="exact"/>
        <w:rPr>
          <w:sz w:val="20"/>
          <w:szCs w:val="20"/>
          <w:color w:val="auto"/>
        </w:rPr>
      </w:pPr>
    </w:p>
    <w:p>
      <w:pPr>
        <w:jc w:val="both"/>
        <w:ind w:left="3"/>
        <w:spacing w:after="0" w:line="263" w:lineRule="auto"/>
        <w:rPr>
          <w:sz w:val="20"/>
          <w:szCs w:val="20"/>
          <w:color w:val="auto"/>
        </w:rPr>
      </w:pPr>
      <w:r>
        <w:rPr>
          <w:rFonts w:ascii="Arial" w:cs="Arial" w:eastAsia="Arial" w:hAnsi="Arial"/>
          <w:sz w:val="18"/>
          <w:szCs w:val="18"/>
          <w:color w:val="auto"/>
        </w:rPr>
        <w:t>On October 25, 2018, the Company, CannAscend Alternative, LLC (“CAA), and CannAscend Alternative Logan, LLC (“CAA Logan”) entered into a Membership Interest Purchase Option Agreement. CAA and CAA Logan are both Ohio-based limited liability companies formed in November 2017 that operate four dispensaries. The Company closed the acquisition on July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41" w:right="339" w:bottom="1440" w:gutter="0" w:footer="0" w:header="0"/>
        </w:sectPr>
      </w:pPr>
    </w:p>
    <w:bookmarkStart w:id="13" w:name="page14"/>
    <w:bookmarkEnd w:id="13"/>
    <w:p>
      <w:pPr>
        <w:ind w:left="372" w:hanging="372"/>
        <w:spacing w:after="0"/>
        <w:tabs>
          <w:tab w:leader="none" w:pos="37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61"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property and equipment and related depreciation expense are summarized in the tables below:</w:t>
      </w:r>
    </w:p>
    <w:p>
      <w:pPr>
        <w:spacing w:after="0" w:line="158" w:lineRule="exact"/>
        <w:rPr>
          <w:sz w:val="20"/>
          <w:szCs w:val="20"/>
          <w:color w:val="auto"/>
        </w:rPr>
      </w:pPr>
    </w:p>
    <w:tbl>
      <w:tblPr>
        <w:tblLayout w:type="fixed"/>
        <w:tblInd w:w="1132"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Land and buildings</w:t>
            </w: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115,079</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128,389</w:t>
            </w:r>
          </w:p>
        </w:tc>
        <w:tc>
          <w:tcPr>
            <w:tcW w:w="80" w:type="dxa"/>
            <w:vAlign w:val="bottom"/>
            <w:shd w:val="clear" w:color="auto" w:fill="CFF0FC"/>
          </w:tcPr>
          <w:p>
            <w:pPr>
              <w:spacing w:after="0"/>
              <w:rPr>
                <w:sz w:val="19"/>
                <w:szCs w:val="19"/>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8,773</w:t>
            </w:r>
          </w:p>
        </w:tc>
        <w:tc>
          <w:tcPr>
            <w:tcW w:w="80" w:type="dxa"/>
            <w:vAlign w:val="bottom"/>
          </w:tcPr>
          <w:p>
            <w:pPr>
              <w:spacing w:after="0"/>
              <w:rPr>
                <w:sz w:val="19"/>
                <w:szCs w:val="19"/>
                <w:color w:val="auto"/>
              </w:rPr>
            </w:pPr>
          </w:p>
        </w:tc>
      </w:tr>
      <w:tr>
        <w:trPr>
          <w:trHeight w:val="23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Equipment</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37,362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38,467</w:t>
            </w:r>
          </w:p>
        </w:tc>
        <w:tc>
          <w:tcPr>
            <w:tcW w:w="80" w:type="dxa"/>
            <w:vAlign w:val="bottom"/>
            <w:shd w:val="clear" w:color="auto" w:fill="CFF0FC"/>
          </w:tcPr>
          <w:p>
            <w:pPr>
              <w:spacing w:after="0"/>
              <w:rPr>
                <w:sz w:val="20"/>
                <w:szCs w:val="20"/>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6"/>
                <w:szCs w:val="16"/>
                <w:color w:val="auto"/>
              </w:rPr>
              <w:t>Computers and software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3,537</w:t>
            </w:r>
          </w:p>
        </w:tc>
        <w:tc>
          <w:tcPr>
            <w:tcW w:w="80" w:type="dxa"/>
            <w:vAlign w:val="bottom"/>
          </w:tcPr>
          <w:p>
            <w:pPr>
              <w:spacing w:after="0"/>
              <w:rPr>
                <w:sz w:val="19"/>
                <w:szCs w:val="19"/>
                <w:color w:val="auto"/>
              </w:rPr>
            </w:pPr>
          </w:p>
        </w:tc>
      </w:tr>
      <w:tr>
        <w:trPr>
          <w:trHeight w:val="23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193,090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193,454</w:t>
            </w:r>
          </w:p>
        </w:tc>
        <w:tc>
          <w:tcPr>
            <w:tcW w:w="80" w:type="dxa"/>
            <w:vAlign w:val="bottom"/>
            <w:shd w:val="clear" w:color="auto" w:fill="CFF0FC"/>
          </w:tcPr>
          <w:p>
            <w:pPr>
              <w:spacing w:after="0"/>
              <w:rPr>
                <w:sz w:val="20"/>
                <w:szCs w:val="20"/>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6"/>
                <w:szCs w:val="16"/>
                <w:color w:val="auto"/>
              </w:rPr>
              <w:t>Construction in process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54,450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56,398</w:t>
            </w:r>
          </w:p>
        </w:tc>
        <w:tc>
          <w:tcPr>
            <w:tcW w:w="80" w:type="dxa"/>
            <w:vAlign w:val="bottom"/>
          </w:tcPr>
          <w:p>
            <w:pPr>
              <w:spacing w:after="0"/>
              <w:rPr>
                <w:sz w:val="19"/>
                <w:szCs w:val="19"/>
                <w:color w:val="auto"/>
              </w:rPr>
            </w:pPr>
          </w:p>
        </w:tc>
      </w:tr>
      <w:tr>
        <w:trPr>
          <w:trHeight w:val="226"/>
        </w:trPr>
        <w:tc>
          <w:tcPr>
            <w:tcW w:w="536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Total property and equipment, gross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412,593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429,018</w:t>
            </w:r>
          </w:p>
        </w:tc>
        <w:tc>
          <w:tcPr>
            <w:tcW w:w="80" w:type="dxa"/>
            <w:vAlign w:val="bottom"/>
            <w:shd w:val="clear" w:color="auto" w:fill="CFF0FC"/>
          </w:tcPr>
          <w:p>
            <w:pPr>
              <w:spacing w:after="0"/>
              <w:rPr>
                <w:sz w:val="19"/>
                <w:szCs w:val="19"/>
                <w:color w:val="auto"/>
              </w:rPr>
            </w:pPr>
          </w:p>
        </w:tc>
      </w:tr>
      <w:tr>
        <w:trPr>
          <w:trHeight w:val="227"/>
        </w:trPr>
        <w:tc>
          <w:tcPr>
            <w:tcW w:w="5360" w:type="dxa"/>
            <w:vAlign w:val="bottom"/>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(84,567 )</w:t>
            </w:r>
          </w:p>
        </w:tc>
        <w:tc>
          <w:tcPr>
            <w:tcW w:w="1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(71,025 )</w:t>
            </w:r>
          </w:p>
        </w:tc>
      </w:tr>
      <w:tr>
        <w:trPr>
          <w:trHeight w:val="266"/>
        </w:trPr>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b w:val="1"/>
                <w:bCs w:val="1"/>
                <w:color w:val="auto"/>
              </w:rPr>
              <w:t>Total property and equipment, net</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328,026</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357,993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-25400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-8255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-25400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-8255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tbl>
      <w:tblPr>
        <w:tblLayout w:type="fixed"/>
        <w:tblInd w:w="1132"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02"/>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r>
      <w:tr>
        <w:trPr>
          <w:trHeight w:val="223"/>
        </w:trPr>
        <w:tc>
          <w:tcPr>
            <w:tcW w:w="4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Total depreciation expense for year ended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7,644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7,804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15,497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15,132</w:t>
            </w:r>
          </w:p>
        </w:tc>
      </w:tr>
      <w:tr>
        <w:trPr>
          <w:trHeight w:val="220"/>
        </w:trPr>
        <w:tc>
          <w:tcPr>
            <w:tcW w:w="4680" w:type="dxa"/>
            <w:vAlign w:val="bottom"/>
          </w:tcPr>
          <w:p>
            <w:pPr>
              <w:spacing w:after="0"/>
              <w:rPr>
                <w:sz w:val="20"/>
                <w:szCs w:val="20"/>
                <w:color w:val="auto"/>
              </w:rPr>
            </w:pPr>
            <w:r>
              <w:rPr>
                <w:rFonts w:ascii="Arial" w:cs="Arial" w:eastAsia="Arial" w:hAnsi="Arial"/>
                <w:sz w:val="16"/>
                <w:szCs w:val="16"/>
                <w:color w:val="auto"/>
              </w:rPr>
              <w:t>Included in:</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Costs of sales related to inventory production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4,499</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4,361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9,225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8,488</w:t>
            </w:r>
          </w:p>
        </w:tc>
      </w:tr>
      <w:tr>
        <w:trPr>
          <w:trHeight w:val="210"/>
        </w:trPr>
        <w:tc>
          <w:tcPr>
            <w:tcW w:w="46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3,145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6,644</w:t>
            </w:r>
          </w:p>
        </w:tc>
      </w:tr>
    </w:tbl>
    <w:p>
      <w:pPr>
        <w:spacing w:after="0" w:line="217" w:lineRule="exact"/>
        <w:rPr>
          <w:sz w:val="20"/>
          <w:szCs w:val="20"/>
          <w:color w:val="auto"/>
        </w:rPr>
      </w:pPr>
    </w:p>
    <w:p>
      <w:pPr>
        <w:ind w:left="372" w:hanging="372"/>
        <w:spacing w:after="0"/>
        <w:tabs>
          <w:tab w:leader="none" w:pos="3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61"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prepaid expenses and other current assets are summarized in the table below:</w:t>
      </w:r>
    </w:p>
    <w:p>
      <w:pPr>
        <w:spacing w:after="0" w:line="172" w:lineRule="exact"/>
        <w:rPr>
          <w:sz w:val="20"/>
          <w:szCs w:val="20"/>
          <w:color w:val="auto"/>
        </w:rPr>
      </w:pPr>
    </w:p>
    <w:tbl>
      <w:tblPr>
        <w:tblLayout w:type="fixed"/>
        <w:tblInd w:w="1252" w:type="dxa"/>
        <w:tblCellMar>
          <w:top w:w="0" w:type="dxa"/>
          <w:left w:w="0" w:type="dxa"/>
          <w:bottom w:w="0" w:type="dxa"/>
          <w:right w:w="0" w:type="dxa"/>
        </w:tblCellMar>
      </w:tblPr>
      <w:tr>
        <w:trPr>
          <w:trHeight w:val="223"/>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7,151</w:t>
            </w:r>
          </w:p>
        </w:tc>
      </w:tr>
      <w:tr>
        <w:trPr>
          <w:trHeight w:val="220"/>
        </w:trPr>
        <w:tc>
          <w:tcPr>
            <w:tcW w:w="5240" w:type="dxa"/>
            <w:vAlign w:val="bottom"/>
          </w:tcPr>
          <w:p>
            <w:pPr>
              <w:ind w:left="20"/>
              <w:spacing w:after="0"/>
              <w:rPr>
                <w:sz w:val="20"/>
                <w:szCs w:val="20"/>
                <w:color w:val="auto"/>
              </w:rPr>
            </w:pPr>
            <w:r>
              <w:rPr>
                <w:rFonts w:ascii="Arial" w:cs="Arial" w:eastAsia="Arial" w:hAnsi="Arial"/>
                <w:sz w:val="16"/>
                <w:szCs w:val="16"/>
                <w:color w:val="auto"/>
              </w:rPr>
              <w:t>Short term deposits</w:t>
            </w:r>
          </w:p>
        </w:tc>
        <w:tc>
          <w:tcPr>
            <w:tcW w:w="2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1,814</w:t>
            </w:r>
          </w:p>
        </w:tc>
      </w:tr>
      <w:tr>
        <w:trPr>
          <w:trHeight w:val="23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17,580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12,286</w:t>
            </w:r>
          </w:p>
        </w:tc>
      </w:tr>
      <w:tr>
        <w:trPr>
          <w:trHeight w:val="223"/>
        </w:trPr>
        <w:tc>
          <w:tcPr>
            <w:tcW w:w="52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Excise and sales tax receivable</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Prepaid expenses and other current assets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28,346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21,942</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-179070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372" w:hanging="372"/>
        <w:spacing w:after="0"/>
        <w:tabs>
          <w:tab w:leader="none" w:pos="37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61"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other non-current assets are summarized in the table below:</w:t>
      </w:r>
    </w:p>
    <w:p>
      <w:pPr>
        <w:spacing w:after="0" w:line="158" w:lineRule="exact"/>
        <w:rPr>
          <w:sz w:val="20"/>
          <w:szCs w:val="20"/>
          <w:color w:val="auto"/>
        </w:rPr>
      </w:pPr>
    </w:p>
    <w:tbl>
      <w:tblPr>
        <w:tblLayout w:type="fixed"/>
        <w:tblInd w:w="1192"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 term deposits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7,965</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8,090</w:t>
            </w:r>
          </w:p>
        </w:tc>
      </w:tr>
      <w:tr>
        <w:trPr>
          <w:trHeight w:val="220"/>
        </w:trPr>
        <w:tc>
          <w:tcPr>
            <w:tcW w:w="5380" w:type="dxa"/>
            <w:vAlign w:val="bottom"/>
          </w:tcPr>
          <w:p>
            <w:pPr>
              <w:ind w:left="20"/>
              <w:spacing w:after="0"/>
              <w:rPr>
                <w:sz w:val="20"/>
                <w:szCs w:val="20"/>
                <w:color w:val="auto"/>
              </w:rPr>
            </w:pPr>
            <w:r>
              <w:rPr>
                <w:rFonts w:ascii="Arial" w:cs="Arial" w:eastAsia="Arial" w:hAnsi="Arial"/>
                <w:sz w:val="16"/>
                <w:szCs w:val="16"/>
                <w:color w:val="auto"/>
              </w:rPr>
              <w:t>Indemnification receivable</w:t>
            </w: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2,774</w:t>
            </w:r>
          </w:p>
        </w:tc>
      </w:tr>
      <w:tr>
        <w:trPr>
          <w:trHeight w:val="239"/>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in affiliates</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775</w:t>
            </w:r>
          </w:p>
        </w:tc>
      </w:tr>
      <w:tr>
        <w:trPr>
          <w:trHeight w:val="220"/>
        </w:trPr>
        <w:tc>
          <w:tcPr>
            <w:tcW w:w="53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1,335</w:t>
            </w:r>
          </w:p>
        </w:tc>
      </w:tr>
      <w:tr>
        <w:trPr>
          <w:trHeight w:val="239"/>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receivable</w:t>
            </w:r>
          </w:p>
        </w:tc>
        <w:tc>
          <w:tcPr>
            <w:tcW w:w="2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2,615</w:t>
            </w: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2,148</w:t>
            </w:r>
          </w:p>
        </w:tc>
      </w:tr>
      <w:tr>
        <w:trPr>
          <w:trHeight w:val="217"/>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15,464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15,122</w:t>
            </w:r>
          </w:p>
        </w:tc>
      </w:tr>
      <w:tr>
        <w:trPr>
          <w:trHeight w:val="20"/>
        </w:trPr>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72" w:hanging="372"/>
        <w:spacing w:after="0"/>
        <w:tabs>
          <w:tab w:leader="none" w:pos="37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61"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accrued expenses and other current liabilities are summarized in the table below:</w:t>
      </w:r>
    </w:p>
    <w:p>
      <w:pPr>
        <w:spacing w:after="0" w:line="172" w:lineRule="exact"/>
        <w:rPr>
          <w:sz w:val="20"/>
          <w:szCs w:val="20"/>
          <w:color w:val="auto"/>
        </w:rPr>
      </w:pPr>
    </w:p>
    <w:tbl>
      <w:tblPr>
        <w:tblLayout w:type="fixed"/>
        <w:tblInd w:w="1192" w:type="dxa"/>
        <w:tblCellMar>
          <w:top w:w="0" w:type="dxa"/>
          <w:left w:w="0" w:type="dxa"/>
          <w:bottom w:w="0" w:type="dxa"/>
          <w:right w:w="0" w:type="dxa"/>
        </w:tblCellMar>
      </w:tblP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1"/>
              </w:rPr>
              <w:t>December 31, 2022</w:t>
            </w:r>
          </w:p>
        </w:tc>
      </w:tr>
      <w:tr>
        <w:trPr>
          <w:trHeight w:val="206"/>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Accrued acquisition and settlement of pre-existing</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26"/>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relationships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r>
      <w:tr>
        <w:trPr>
          <w:trHeight w:val="220"/>
        </w:trPr>
        <w:tc>
          <w:tcPr>
            <w:tcW w:w="5220" w:type="dxa"/>
            <w:vAlign w:val="bottom"/>
          </w:tcPr>
          <w:p>
            <w:pPr>
              <w:spacing w:after="0"/>
              <w:rPr>
                <w:sz w:val="20"/>
                <w:szCs w:val="20"/>
                <w:color w:val="auto"/>
              </w:rPr>
            </w:pPr>
            <w:r>
              <w:rPr>
                <w:rFonts w:ascii="Arial" w:cs="Arial" w:eastAsia="Arial" w:hAnsi="Arial"/>
                <w:sz w:val="16"/>
                <w:szCs w:val="16"/>
                <w:color w:val="auto"/>
              </w:rPr>
              <w:t>Taxes - property and other</w:t>
            </w: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9,432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9,306</w:t>
            </w:r>
          </w:p>
        </w:tc>
      </w:tr>
      <w:tr>
        <w:trPr>
          <w:trHeight w:val="23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Other accrued expenses</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27,975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29,021</w:t>
            </w:r>
          </w:p>
        </w:tc>
      </w:tr>
      <w:tr>
        <w:trPr>
          <w:trHeight w:val="220"/>
        </w:trPr>
        <w:tc>
          <w:tcPr>
            <w:tcW w:w="5220" w:type="dxa"/>
            <w:vAlign w:val="bottom"/>
          </w:tcPr>
          <w:p>
            <w:pPr>
              <w:spacing w:after="0"/>
              <w:rPr>
                <w:sz w:val="20"/>
                <w:szCs w:val="20"/>
                <w:color w:val="auto"/>
              </w:rPr>
            </w:pPr>
            <w:r>
              <w:rPr>
                <w:rFonts w:ascii="Arial" w:cs="Arial" w:eastAsia="Arial" w:hAnsi="Arial"/>
                <w:sz w:val="16"/>
                <w:szCs w:val="16"/>
                <w:color w:val="auto"/>
              </w:rPr>
              <w:t>Payroll liabilities</w:t>
            </w: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13,647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14,516</w:t>
            </w:r>
          </w:p>
        </w:tc>
      </w:tr>
      <w:tr>
        <w:trPr>
          <w:trHeight w:val="23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6,968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10,011</w:t>
            </w:r>
          </w:p>
        </w:tc>
      </w:tr>
      <w:tr>
        <w:trPr>
          <w:trHeight w:val="223"/>
        </w:trPr>
        <w:tc>
          <w:tcPr>
            <w:tcW w:w="522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1,620</w:t>
            </w:r>
          </w:p>
        </w:tc>
      </w:tr>
      <w:tr>
        <w:trPr>
          <w:trHeight w:val="26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58,022</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-24765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jc w:val="both"/>
        <w:ind w:left="372"/>
        <w:spacing w:after="0" w:line="263" w:lineRule="auto"/>
        <w:rPr>
          <w:sz w:val="20"/>
          <w:szCs w:val="20"/>
          <w:color w:val="auto"/>
        </w:rPr>
      </w:pPr>
      <w:r>
        <w:rPr>
          <w:rFonts w:ascii="Arial" w:cs="Arial" w:eastAsia="Arial" w:hAnsi="Arial"/>
          <w:sz w:val="18"/>
          <w:szCs w:val="18"/>
          <w:color w:val="auto"/>
        </w:rPr>
        <w:t>As of June 30, 2023, other accrued expenses include approximately $15,231 relating to a combination of indemnification claims, notices and demand letters received by the Company, including, without limitation, potential disputes arising out of the Green Leaf Transaction, together with a general accrual for estimated fees anticipated to close these matters. The outcome of any of these</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14" w:name="page15"/>
    <w:bookmarkEnd w:id="14"/>
    <w:p>
      <w:pPr>
        <w:ind w:left="372"/>
        <w:spacing w:after="0"/>
        <w:rPr>
          <w:sz w:val="20"/>
          <w:szCs w:val="20"/>
          <w:color w:val="auto"/>
        </w:rPr>
      </w:pPr>
      <w:r>
        <w:rPr>
          <w:rFonts w:ascii="Arial" w:cs="Arial" w:eastAsia="Arial" w:hAnsi="Arial"/>
          <w:sz w:val="18"/>
          <w:szCs w:val="18"/>
          <w:color w:val="auto"/>
        </w:rPr>
        <w:t>matters cannot yet be determined with any certainty and the Company will continue to rigorously defend any claims made against it.</w:t>
      </w:r>
    </w:p>
    <w:p>
      <w:pPr>
        <w:spacing w:after="0" w:line="154" w:lineRule="exact"/>
        <w:rPr>
          <w:sz w:val="20"/>
          <w:szCs w:val="20"/>
          <w:color w:val="auto"/>
        </w:rPr>
      </w:pPr>
    </w:p>
    <w:p>
      <w:pPr>
        <w:ind w:left="372" w:hanging="372"/>
        <w:spacing w:after="0"/>
        <w:tabs>
          <w:tab w:leader="none" w:pos="37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48"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The Company had the following activity during the six months ended June 30, 2023:</w:t>
      </w:r>
    </w:p>
    <w:p>
      <w:pPr>
        <w:spacing w:after="0" w:line="225" w:lineRule="exact"/>
        <w:rPr>
          <w:rFonts w:ascii="Arial" w:cs="Arial" w:eastAsia="Arial" w:hAnsi="Arial"/>
          <w:sz w:val="18"/>
          <w:szCs w:val="18"/>
          <w:b w:val="1"/>
          <w:bCs w:val="1"/>
          <w:color w:val="auto"/>
        </w:rPr>
      </w:pPr>
    </w:p>
    <w:p>
      <w:pPr>
        <w:ind w:left="1012" w:hanging="503"/>
        <w:spacing w:after="0"/>
        <w:tabs>
          <w:tab w:leader="none" w:pos="10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Issued 5,530,877 Common Shares upon vesting of Restricted Stock Units (RSUs) during the six months ended June 30, 2023.</w:t>
      </w:r>
    </w:p>
    <w:p>
      <w:pPr>
        <w:spacing w:after="0" w:line="221" w:lineRule="exact"/>
        <w:rPr>
          <w:rFonts w:ascii="Arial" w:cs="Arial" w:eastAsia="Arial" w:hAnsi="Arial"/>
          <w:sz w:val="18"/>
          <w:szCs w:val="18"/>
          <w:color w:val="auto"/>
        </w:rPr>
      </w:pPr>
    </w:p>
    <w:p>
      <w:pPr>
        <w:ind w:left="372" w:hanging="372"/>
        <w:spacing w:after="0"/>
        <w:tabs>
          <w:tab w:leader="none" w:pos="37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372"/>
        <w:spacing w:after="0"/>
        <w:rPr>
          <w:sz w:val="20"/>
          <w:szCs w:val="20"/>
          <w:color w:val="auto"/>
        </w:rPr>
      </w:pPr>
      <w:r>
        <w:rPr>
          <w:rFonts w:ascii="Arial" w:cs="Arial" w:eastAsia="Arial" w:hAnsi="Arial"/>
          <w:sz w:val="17"/>
          <w:szCs w:val="17"/>
          <w:color w:val="auto"/>
        </w:rPr>
        <w:t>As of June 30, 2023 and December 31, 2022, outstanding equity-classified warrants to purchase Common Shares consisted of the following:</w:t>
      </w:r>
    </w:p>
    <w:p>
      <w:pPr>
        <w:spacing w:after="0" w:line="183" w:lineRule="exact"/>
        <w:rPr>
          <w:sz w:val="20"/>
          <w:szCs w:val="20"/>
          <w:color w:val="auto"/>
        </w:rPr>
      </w:pPr>
    </w:p>
    <w:tbl>
      <w:tblPr>
        <w:tblLayout w:type="fixed"/>
        <w:tblInd w:w="372" w:type="dxa"/>
        <w:tblCellMar>
          <w:top w:w="0" w:type="dxa"/>
          <w:left w:w="0" w:type="dxa"/>
          <w:bottom w:w="0" w:type="dxa"/>
          <w:right w:w="0" w:type="dxa"/>
        </w:tblCellMar>
      </w:tblPr>
      <w:tr>
        <w:trPr>
          <w:trHeight w:val="223"/>
        </w:trPr>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Borders>
              <w:bottom w:val="single" w:sz="8" w:color="auto"/>
            </w:tcBorders>
            <w:gridSpan w:val="6"/>
          </w:tcPr>
          <w:p>
            <w:pPr>
              <w:jc w:val="right"/>
              <w:ind w:right="146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320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6"/>
                <w:szCs w:val="16"/>
                <w:b w:val="1"/>
                <w:bCs w:val="1"/>
                <w:color w:val="auto"/>
              </w:rPr>
              <w:t>December 31, 2022</w:t>
            </w:r>
          </w:p>
        </w:tc>
        <w:tc>
          <w:tcPr>
            <w:tcW w:w="480" w:type="dxa"/>
            <w:vAlign w:val="bottom"/>
            <w:tcBorders>
              <w:bottom w:val="single" w:sz="8" w:color="auto"/>
            </w:tcBorders>
          </w:tcPr>
          <w:p>
            <w:pPr>
              <w:spacing w:after="0"/>
              <w:rPr>
                <w:sz w:val="19"/>
                <w:szCs w:val="19"/>
                <w:color w:val="auto"/>
              </w:rPr>
            </w:pPr>
          </w:p>
        </w:tc>
      </w:tr>
      <w:tr>
        <w:trPr>
          <w:trHeight w:val="202"/>
        </w:trPr>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6"/>
                <w:szCs w:val="16"/>
                <w:b w:val="1"/>
                <w:bCs w:val="1"/>
                <w:color w:val="auto"/>
                <w:w w:val="89"/>
              </w:rPr>
              <w:t>Number of Shares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Exercise Price</w:t>
            </w:r>
          </w:p>
        </w:tc>
      </w:tr>
      <w:tr>
        <w:trPr>
          <w:trHeight w:val="223"/>
        </w:trPr>
        <w:tc>
          <w:tcPr>
            <w:tcW w:w="760" w:type="dxa"/>
            <w:vAlign w:val="bottom"/>
          </w:tcPr>
          <w:p>
            <w:pPr>
              <w:spacing w:after="0"/>
              <w:rPr>
                <w:sz w:val="19"/>
                <w:szCs w:val="19"/>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Expiration</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Issued and Exercisable</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3"/>
              </w:rPr>
              <w:t>(Canadian Dollars)</w:t>
            </w:r>
          </w:p>
        </w:tc>
        <w:tc>
          <w:tcPr>
            <w:tcW w:w="10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w w:val="96"/>
              </w:rPr>
              <w:t>Issued and Exercisable</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w w:val="99"/>
              </w:rPr>
              <w:t>(Canadian Dollars)</w:t>
            </w:r>
          </w:p>
        </w:tc>
      </w:tr>
      <w:tr>
        <w:trPr>
          <w:trHeight w:val="229"/>
        </w:trPr>
        <w:tc>
          <w:tcPr>
            <w:tcW w:w="760" w:type="dxa"/>
            <w:vAlign w:val="bottom"/>
          </w:tcPr>
          <w:p>
            <w:pPr>
              <w:spacing w:after="0"/>
              <w:rPr>
                <w:sz w:val="19"/>
                <w:szCs w:val="19"/>
                <w:color w:val="auto"/>
              </w:rPr>
            </w:pPr>
          </w:p>
        </w:tc>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May 8, 2021</w:t>
            </w:r>
          </w:p>
        </w:tc>
        <w:tc>
          <w:tcPr>
            <w:tcW w:w="1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5.71</w:t>
            </w:r>
          </w:p>
        </w:tc>
      </w:tr>
      <w:tr>
        <w:trPr>
          <w:trHeight w:val="220"/>
        </w:trPr>
        <w:tc>
          <w:tcPr>
            <w:tcW w:w="76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October 1, 2025</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648,783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8.12</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648,783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8.12</w:t>
            </w:r>
          </w:p>
        </w:tc>
      </w:tr>
      <w:tr>
        <w:trPr>
          <w:trHeight w:val="239"/>
        </w:trPr>
        <w:tc>
          <w:tcPr>
            <w:tcW w:w="760" w:type="dxa"/>
            <w:vAlign w:val="bottom"/>
          </w:tcPr>
          <w:p>
            <w:pPr>
              <w:spacing w:after="0"/>
              <w:rPr>
                <w:sz w:val="20"/>
                <w:szCs w:val="20"/>
                <w:color w:val="auto"/>
              </w:rPr>
            </w:pPr>
          </w:p>
        </w:tc>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April 26, 2024</w:t>
            </w:r>
          </w:p>
        </w:tc>
        <w:tc>
          <w:tcPr>
            <w:tcW w:w="1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5,394,945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10.35</w:t>
            </w:r>
          </w:p>
        </w:tc>
        <w:tc>
          <w:tcPr>
            <w:tcW w:w="19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5,394,945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10.35</w:t>
            </w:r>
          </w:p>
        </w:tc>
      </w:tr>
      <w:tr>
        <w:trPr>
          <w:trHeight w:val="220"/>
        </w:trPr>
        <w:tc>
          <w:tcPr>
            <w:tcW w:w="76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March 31, 2023</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3.10</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1,723,250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3.10</w:t>
            </w:r>
          </w:p>
        </w:tc>
      </w:tr>
      <w:tr>
        <w:trPr>
          <w:trHeight w:val="239"/>
        </w:trPr>
        <w:tc>
          <w:tcPr>
            <w:tcW w:w="760" w:type="dxa"/>
            <w:vAlign w:val="bottom"/>
          </w:tcPr>
          <w:p>
            <w:pPr>
              <w:spacing w:after="0"/>
              <w:rPr>
                <w:sz w:val="20"/>
                <w:szCs w:val="20"/>
                <w:color w:val="auto"/>
              </w:rPr>
            </w:pPr>
          </w:p>
        </w:tc>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May 14, 2023</w:t>
            </w:r>
          </w:p>
        </w:tc>
        <w:tc>
          <w:tcPr>
            <w:tcW w:w="1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2.95</w:t>
            </w:r>
          </w:p>
        </w:tc>
        <w:tc>
          <w:tcPr>
            <w:tcW w:w="19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1,818,788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2.95</w:t>
            </w:r>
          </w:p>
        </w:tc>
      </w:tr>
      <w:tr>
        <w:trPr>
          <w:trHeight w:val="220"/>
        </w:trPr>
        <w:tc>
          <w:tcPr>
            <w:tcW w:w="76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May 14, 2023</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236"/>
        </w:trPr>
        <w:tc>
          <w:tcPr>
            <w:tcW w:w="760" w:type="dxa"/>
            <w:vAlign w:val="bottom"/>
          </w:tcPr>
          <w:p>
            <w:pPr>
              <w:spacing w:after="0"/>
              <w:rPr>
                <w:sz w:val="20"/>
                <w:szCs w:val="20"/>
                <w:color w:val="auto"/>
              </w:rPr>
            </w:pPr>
          </w:p>
        </w:tc>
        <w:tc>
          <w:tcPr>
            <w:tcW w:w="1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May 14, 2023</w:t>
            </w:r>
          </w:p>
        </w:tc>
        <w:tc>
          <w:tcPr>
            <w:tcW w:w="1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1,897,000</w:t>
            </w: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5.84</w:t>
            </w:r>
          </w:p>
        </w:tc>
      </w:tr>
      <w:tr>
        <w:trPr>
          <w:trHeight w:val="226"/>
        </w:trPr>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6,043,728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11,482,766</w:t>
            </w:r>
          </w:p>
        </w:tc>
        <w:tc>
          <w:tcPr>
            <w:tcW w:w="80" w:type="dxa"/>
            <w:vAlign w:val="bottom"/>
            <w:tcBorders>
              <w:bottom w:val="single" w:sz="8" w:color="auto"/>
            </w:tcBorders>
          </w:tcPr>
          <w:p>
            <w:pPr>
              <w:spacing w:after="0"/>
              <w:rPr>
                <w:sz w:val="19"/>
                <w:szCs w:val="19"/>
                <w:color w:val="auto"/>
              </w:rPr>
            </w:pPr>
          </w:p>
        </w:tc>
        <w:tc>
          <w:tcPr>
            <w:tcW w:w="124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20"/>
        </w:trPr>
        <w:tc>
          <w:tcPr>
            <w:tcW w:w="2200" w:type="dxa"/>
            <w:vAlign w:val="bottom"/>
            <w:gridSpan w:val="3"/>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7620" w:type="dxa"/>
            <w:vAlign w:val="bottom"/>
            <w:gridSpan w:val="12"/>
          </w:tcPr>
          <w:p>
            <w:pPr>
              <w:spacing w:after="0"/>
              <w:rPr>
                <w:sz w:val="20"/>
                <w:szCs w:val="20"/>
                <w:color w:val="auto"/>
              </w:rPr>
            </w:pPr>
            <w:r>
              <w:rPr>
                <w:rFonts w:ascii="Arial" w:cs="Arial" w:eastAsia="Arial" w:hAnsi="Arial"/>
                <w:sz w:val="18"/>
                <w:szCs w:val="18"/>
                <w:color w:val="auto"/>
                <w:w w:val="93"/>
              </w:rPr>
              <w:t>Warrant activity for the six months ended June 30, 2023 and 2022 are summarized in the table below:</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9"/>
        </w:trPr>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480" w:type="dxa"/>
            <w:vAlign w:val="bottom"/>
          </w:tcPr>
          <w:p>
            <w:pPr>
              <w:spacing w:after="0"/>
              <w:rPr>
                <w:sz w:val="24"/>
                <w:szCs w:val="24"/>
                <w:color w:val="auto"/>
              </w:rPr>
            </w:pPr>
          </w:p>
        </w:tc>
      </w:tr>
      <w:tr>
        <w:trPr>
          <w:trHeight w:val="229"/>
        </w:trPr>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4"/>
              </w:rPr>
              <w:t>Number of</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exercise price</w:t>
            </w:r>
          </w:p>
        </w:tc>
        <w:tc>
          <w:tcPr>
            <w:tcW w:w="480" w:type="dxa"/>
            <w:vAlign w:val="bottom"/>
          </w:tcPr>
          <w:p>
            <w:pPr>
              <w:spacing w:after="0"/>
              <w:rPr>
                <w:sz w:val="19"/>
                <w:szCs w:val="19"/>
                <w:color w:val="auto"/>
              </w:rPr>
            </w:pPr>
          </w:p>
        </w:tc>
      </w:tr>
      <w:tr>
        <w:trPr>
          <w:trHeight w:val="276"/>
        </w:trPr>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7"/>
              </w:rPr>
              <w:t>Warrants</w:t>
            </w:r>
          </w:p>
        </w:tc>
        <w:tc>
          <w:tcPr>
            <w:tcW w:w="320" w:type="dxa"/>
            <w:vAlign w:val="bottom"/>
          </w:tcPr>
          <w:p>
            <w:pPr>
              <w:spacing w:after="0"/>
              <w:rPr>
                <w:sz w:val="24"/>
                <w:szCs w:val="24"/>
                <w:color w:val="auto"/>
              </w:rPr>
            </w:pPr>
          </w:p>
        </w:tc>
        <w:tc>
          <w:tcPr>
            <w:tcW w:w="180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w w:val="94"/>
              </w:rPr>
              <w:t>(Canadian Dollars)</w:t>
            </w:r>
          </w:p>
        </w:tc>
      </w:tr>
      <w:tr>
        <w:trPr>
          <w:trHeight w:val="223"/>
        </w:trPr>
        <w:tc>
          <w:tcPr>
            <w:tcW w:w="760" w:type="dxa"/>
            <w:vAlign w:val="bottom"/>
          </w:tcPr>
          <w:p>
            <w:pPr>
              <w:spacing w:after="0"/>
              <w:rPr>
                <w:sz w:val="19"/>
                <w:szCs w:val="19"/>
                <w:color w:val="auto"/>
              </w:rPr>
            </w:pPr>
          </w:p>
        </w:tc>
        <w:tc>
          <w:tcPr>
            <w:tcW w:w="3420" w:type="dxa"/>
            <w:vAlign w:val="bottom"/>
            <w:tcBorders>
              <w:top w:val="single" w:sz="8" w:color="CCEEFF"/>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2021</w:t>
            </w:r>
          </w:p>
        </w:tc>
        <w:tc>
          <w:tcPr>
            <w:tcW w:w="140" w:type="dxa"/>
            <w:vAlign w:val="bottom"/>
            <w:tcBorders>
              <w:top w:val="single" w:sz="8" w:color="CCEEFF"/>
            </w:tcBorders>
            <w:shd w:val="clear" w:color="auto" w:fill="CFF0FC"/>
          </w:tcPr>
          <w:p>
            <w:pPr>
              <w:spacing w:after="0"/>
              <w:rPr>
                <w:sz w:val="19"/>
                <w:szCs w:val="19"/>
                <w:color w:val="auto"/>
              </w:rPr>
            </w:pPr>
          </w:p>
        </w:tc>
        <w:tc>
          <w:tcPr>
            <w:tcW w:w="100" w:type="dxa"/>
            <w:vAlign w:val="bottom"/>
            <w:tcBorders>
              <w:top w:val="single" w:sz="8" w:color="CCEEFF"/>
            </w:tcBorders>
            <w:shd w:val="clear" w:color="auto" w:fill="CFF0FC"/>
          </w:tcPr>
          <w:p>
            <w:pPr>
              <w:spacing w:after="0"/>
              <w:rPr>
                <w:sz w:val="19"/>
                <w:szCs w:val="19"/>
                <w:color w:val="auto"/>
              </w:rPr>
            </w:pPr>
          </w:p>
        </w:tc>
        <w:tc>
          <w:tcPr>
            <w:tcW w:w="1020" w:type="dxa"/>
            <w:vAlign w:val="bottom"/>
            <w:tcBorders>
              <w:top w:val="single" w:sz="8" w:color="CCEEFF"/>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11,662,766</w:t>
            </w:r>
          </w:p>
        </w:tc>
        <w:tc>
          <w:tcPr>
            <w:tcW w:w="180" w:type="dxa"/>
            <w:vAlign w:val="bottom"/>
            <w:tcBorders>
              <w:top w:val="single" w:sz="8" w:color="CCEEFF"/>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7.15</w:t>
            </w:r>
          </w:p>
        </w:tc>
      </w:tr>
      <w:tr>
        <w:trPr>
          <w:trHeight w:val="223"/>
        </w:trPr>
        <w:tc>
          <w:tcPr>
            <w:tcW w:w="76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(180,000 )</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263"/>
        </w:trPr>
        <w:tc>
          <w:tcPr>
            <w:tcW w:w="760" w:type="dxa"/>
            <w:vAlign w:val="bottom"/>
          </w:tcPr>
          <w:p>
            <w:pPr>
              <w:spacing w:after="0"/>
              <w:rPr>
                <w:sz w:val="22"/>
                <w:szCs w:val="22"/>
                <w:color w:val="auto"/>
              </w:rPr>
            </w:pPr>
          </w:p>
        </w:tc>
        <w:tc>
          <w:tcPr>
            <w:tcW w:w="34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11,482,766</w:t>
            </w:r>
          </w:p>
        </w:tc>
        <w:tc>
          <w:tcPr>
            <w:tcW w:w="18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7.22</w:t>
            </w:r>
          </w:p>
        </w:tc>
      </w:tr>
      <w:tr>
        <w:trPr>
          <w:trHeight w:val="436"/>
        </w:trPr>
        <w:tc>
          <w:tcPr>
            <w:tcW w:w="76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6"/>
                <w:szCs w:val="16"/>
                <w:b w:val="1"/>
                <w:bCs w:val="1"/>
                <w:color w:val="auto"/>
              </w:rPr>
              <w:t>Balance as of December 31, 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11,482,766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239"/>
        </w:trPr>
        <w:tc>
          <w:tcPr>
            <w:tcW w:w="760" w:type="dxa"/>
            <w:vAlign w:val="bottom"/>
          </w:tcPr>
          <w:p>
            <w:pPr>
              <w:spacing w:after="0"/>
              <w:rPr>
                <w:sz w:val="20"/>
                <w:szCs w:val="20"/>
                <w:color w:val="auto"/>
              </w:rPr>
            </w:pPr>
          </w:p>
        </w:tc>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76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Expired</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(5,439,038 )</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w:t>
            </w:r>
          </w:p>
        </w:tc>
      </w:tr>
      <w:tr>
        <w:trPr>
          <w:trHeight w:val="263"/>
        </w:trPr>
        <w:tc>
          <w:tcPr>
            <w:tcW w:w="760" w:type="dxa"/>
            <w:vAlign w:val="bottom"/>
          </w:tcPr>
          <w:p>
            <w:pPr>
              <w:spacing w:after="0"/>
              <w:rPr>
                <w:sz w:val="22"/>
                <w:szCs w:val="22"/>
                <w:color w:val="auto"/>
              </w:rPr>
            </w:pPr>
          </w:p>
        </w:tc>
        <w:tc>
          <w:tcPr>
            <w:tcW w:w="34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2023</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6,043,728</w:t>
            </w:r>
          </w:p>
        </w:tc>
        <w:tc>
          <w:tcPr>
            <w:tcW w:w="18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10.11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-2202815</wp:posOffset>
            </wp:positionV>
            <wp:extent cx="9461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-2202815</wp:posOffset>
            </wp:positionV>
            <wp:extent cx="8572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72" w:hanging="372"/>
        <w:spacing w:after="0"/>
        <w:tabs>
          <w:tab w:leader="none" w:pos="37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48"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the Company was calculated as follows:</w:t>
      </w:r>
    </w:p>
    <w:p>
      <w:pPr>
        <w:spacing w:after="0" w:line="172" w:lineRule="exact"/>
        <w:rPr>
          <w:sz w:val="20"/>
          <w:szCs w:val="20"/>
          <w:color w:val="auto"/>
        </w:rPr>
      </w:pPr>
    </w:p>
    <w:tbl>
      <w:tblPr>
        <w:tblLayout w:type="fixed"/>
        <w:tblInd w:w="1132"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02"/>
        </w:trPr>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r>
      <w:tr>
        <w:trPr>
          <w:trHeight w:val="223"/>
        </w:trPr>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Numerator:</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0"/>
        </w:trPr>
        <w:tc>
          <w:tcPr>
            <w:tcW w:w="46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(29,037 )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(54,255 )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(65,609 )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(82,161 )</w:t>
            </w:r>
          </w:p>
        </w:tc>
      </w:tr>
      <w:tr>
        <w:trPr>
          <w:trHeight w:val="233"/>
        </w:trPr>
        <w:tc>
          <w:tcPr>
            <w:tcW w:w="46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Less: Net loss attributable to non-controlling interests</w:t>
            </w:r>
          </w:p>
        </w:tc>
        <w:tc>
          <w:tcPr>
            <w:tcW w:w="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(427 )</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(1,697 )</w:t>
            </w:r>
          </w:p>
        </w:tc>
      </w:tr>
      <w:tr>
        <w:trPr>
          <w:trHeight w:val="223"/>
        </w:trPr>
        <w:tc>
          <w:tcPr>
            <w:tcW w:w="4680" w:type="dxa"/>
            <w:vAlign w:val="bottom"/>
          </w:tcPr>
          <w:p>
            <w:pPr>
              <w:ind w:left="360"/>
              <w:spacing w:after="0"/>
              <w:rPr>
                <w:sz w:val="20"/>
                <w:szCs w:val="20"/>
                <w:color w:val="auto"/>
              </w:rPr>
            </w:pPr>
            <w:r>
              <w:rPr>
                <w:rFonts w:ascii="Arial" w:cs="Arial" w:eastAsia="Arial" w:hAnsi="Arial"/>
                <w:sz w:val="16"/>
                <w:szCs w:val="16"/>
                <w:color w:val="auto"/>
              </w:rPr>
              <w:t>Net loss attributable to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(28,863 )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(53,828 )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(66,203 )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(80,464 )</w:t>
            </w:r>
          </w:p>
        </w:tc>
      </w:tr>
      <w:tr>
        <w:trPr>
          <w:trHeight w:val="20"/>
        </w:trPr>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20"/>
        </w:trPr>
        <w:tc>
          <w:tcPr>
            <w:tcW w:w="4680" w:type="dxa"/>
            <w:vAlign w:val="bottom"/>
          </w:tcPr>
          <w:p>
            <w:pPr>
              <w:spacing w:after="0"/>
              <w:rPr>
                <w:sz w:val="20"/>
                <w:szCs w:val="20"/>
                <w:color w:val="auto"/>
              </w:rPr>
            </w:pPr>
            <w:r>
              <w:rPr>
                <w:rFonts w:ascii="Arial" w:cs="Arial" w:eastAsia="Arial" w:hAnsi="Arial"/>
                <w:sz w:val="16"/>
                <w:szCs w:val="16"/>
                <w:color w:val="auto"/>
              </w:rPr>
              <w:t>Denominator:</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outstanding - basic and diluted</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94"/>
              </w:rPr>
              <w:t>403,622,38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94"/>
              </w:rPr>
              <w:t>385,258,89</w:t>
            </w:r>
          </w:p>
        </w:tc>
      </w:tr>
      <w:tr>
        <w:trPr>
          <w:trHeight w:val="219"/>
        </w:trPr>
        <w:tc>
          <w:tcPr>
            <w:tcW w:w="46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405,782,234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394,023,144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w:t>
            </w:r>
          </w:p>
        </w:tc>
      </w:tr>
      <w:tr>
        <w:trPr>
          <w:trHeight w:val="223"/>
        </w:trPr>
        <w:tc>
          <w:tcPr>
            <w:tcW w:w="4680" w:type="dxa"/>
            <w:vAlign w:val="bottom"/>
          </w:tcPr>
          <w:p>
            <w:pPr>
              <w:spacing w:after="0"/>
              <w:rPr>
                <w:sz w:val="20"/>
                <w:szCs w:val="20"/>
                <w:color w:val="auto"/>
              </w:rPr>
            </w:pPr>
            <w:r>
              <w:rPr>
                <w:rFonts w:ascii="Arial" w:cs="Arial" w:eastAsia="Arial" w:hAnsi="Arial"/>
                <w:sz w:val="16"/>
                <w:szCs w:val="16"/>
                <w:color w:val="auto"/>
              </w:rPr>
              <w:t>Loss per share -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(0.07 )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(0.14 )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(0.16 )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(0.21 )</w:t>
            </w:r>
          </w:p>
        </w:tc>
      </w:tr>
      <w:tr>
        <w:trPr>
          <w:trHeight w:val="20"/>
        </w:trPr>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-925195</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-925195</wp:posOffset>
            </wp:positionV>
            <wp:extent cx="6032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-925195</wp:posOffset>
            </wp:positionV>
            <wp:extent cx="6032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-179070</wp:posOffset>
            </wp:positionV>
            <wp:extent cx="685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-179070</wp:posOffset>
            </wp:positionV>
            <wp:extent cx="6032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-179070</wp:posOffset>
            </wp:positionV>
            <wp:extent cx="6032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82" w:lineRule="exact"/>
        <w:rPr>
          <w:sz w:val="20"/>
          <w:szCs w:val="20"/>
          <w:color w:val="auto"/>
        </w:rPr>
      </w:pPr>
    </w:p>
    <w:p>
      <w:pPr>
        <w:ind w:left="372"/>
        <w:spacing w:after="0" w:line="277" w:lineRule="auto"/>
        <w:rPr>
          <w:sz w:val="20"/>
          <w:szCs w:val="20"/>
          <w:color w:val="auto"/>
        </w:rPr>
      </w:pPr>
      <w:r>
        <w:rPr>
          <w:rFonts w:ascii="Arial" w:cs="Arial" w:eastAsia="Arial" w:hAnsi="Arial"/>
          <w:sz w:val="18"/>
          <w:szCs w:val="18"/>
          <w:color w:val="auto"/>
        </w:rPr>
        <w:t>Certain share-based equity awards were excluded from the computation of dilutive loss per share because inclusion of these awards would have had an anti-dilutive effect.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15" w:name="page16"/>
    <w:bookmarkEnd w:id="15"/>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1" w:lineRule="exact"/>
        <w:rPr>
          <w:rFonts w:ascii="Arial" w:cs="Arial" w:eastAsia="Arial" w:hAnsi="Arial"/>
          <w:sz w:val="18"/>
          <w:szCs w:val="18"/>
          <w:b w:val="1"/>
          <w:bCs w:val="1"/>
          <w:color w:val="auto"/>
        </w:rPr>
      </w:pPr>
    </w:p>
    <w:p>
      <w:pPr>
        <w:jc w:val="both"/>
        <w:ind w:left="3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10" w:lineRule="exact"/>
        <w:rPr>
          <w:rFonts w:ascii="Arial" w:cs="Arial" w:eastAsia="Arial" w:hAnsi="Arial"/>
          <w:sz w:val="18"/>
          <w:szCs w:val="18"/>
          <w:b w:val="1"/>
          <w:bCs w:val="1"/>
          <w:color w:val="auto"/>
        </w:rPr>
      </w:pPr>
    </w:p>
    <w:p>
      <w:pPr>
        <w:jc w:val="both"/>
        <w:ind w:left="38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Green Leaf Transaction closed on June 11, 2021. By letters dated April 22, 2022, June 1, 2022 and March 14, 2023, the Company notified the shareholder representative (“SRS”) for the former Green Leaf shareholders, including a director of the Company, that the Company was seeking indemnification of approximately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against the Company, a Company subsidiary, the Company’s Chairman, CEO and CFO, as well as the third-party firm that prepared the aforementioned assessment, seeking in excess of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The Company (and the other named parties) will assert defenses with respect to the claims in the complaint. However, there can be no assurance that such defenses will be successful and, if they are not successful, that the direct or indirect losses will not be material. Separately, the Company intends to continue to pursue legal recourse against the former Green Leaf shareholders with respect to the approximately $11 million owed to the Company for certain preclosing tax payments.</w:t>
      </w:r>
    </w:p>
    <w:p>
      <w:pPr>
        <w:spacing w:after="0" w:line="92"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182" w:lineRule="exact"/>
        <w:rPr>
          <w:rFonts w:ascii="Arial" w:cs="Arial" w:eastAsia="Arial" w:hAnsi="Arial"/>
          <w:sz w:val="18"/>
          <w:szCs w:val="18"/>
          <w:b w:val="1"/>
          <w:bCs w:val="1"/>
          <w:color w:val="auto"/>
        </w:rPr>
      </w:pPr>
    </w:p>
    <w:p>
      <w:pPr>
        <w:ind w:left="380" w:right="5340" w:hanging="372"/>
        <w:spacing w:after="0" w:line="424" w:lineRule="auto"/>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FAIR VALUE MEASUREMENTS </w:t>
      </w:r>
      <w:r>
        <w:rPr>
          <w:rFonts w:ascii="Arial" w:cs="Arial" w:eastAsia="Arial" w:hAnsi="Arial"/>
          <w:sz w:val="18"/>
          <w:szCs w:val="18"/>
          <w:i w:val="1"/>
          <w:iCs w:val="1"/>
          <w:u w:val="single" w:color="auto"/>
          <w:color w:val="auto"/>
        </w:rPr>
        <w:t>Fair Value Measurements</w:t>
      </w:r>
    </w:p>
    <w:p>
      <w:pPr>
        <w:spacing w:after="0" w:line="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financial instruments that are measured at fair value on a recurring basis: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r>
      <w:tr>
        <w:trPr>
          <w:trHeight w:val="259"/>
        </w:trPr>
        <w:tc>
          <w:tcPr>
            <w:tcW w:w="46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(265 )</w:t>
            </w:r>
          </w:p>
        </w:tc>
        <w:tc>
          <w:tcPr>
            <w:tcW w:w="2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(265 )</w:t>
            </w:r>
          </w:p>
        </w:tc>
      </w:tr>
      <w:tr>
        <w:trPr>
          <w:trHeight w:val="217"/>
        </w:trPr>
        <w:tc>
          <w:tcPr>
            <w:tcW w:w="46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r>
      <w:tr>
        <w:trPr>
          <w:trHeight w:val="260"/>
        </w:trPr>
        <w:tc>
          <w:tcPr>
            <w:tcW w:w="46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-642620</wp:posOffset>
            </wp:positionV>
            <wp:extent cx="14573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7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period included in these financial statements, there were no transfers of amounts between levels.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valuation techniques and key inputs used in the fair value measurement of Level 3 financial instruments: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24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Financial asset/financial</w:t>
            </w:r>
          </w:p>
        </w:tc>
        <w:tc>
          <w:tcPr>
            <w:tcW w:w="1960" w:type="dxa"/>
            <w:vAlign w:val="bottom"/>
            <w:vMerge w:val="restart"/>
          </w:tcPr>
          <w:p>
            <w:pPr>
              <w:ind w:left="360"/>
              <w:spacing w:after="0"/>
              <w:rPr>
                <w:sz w:val="20"/>
                <w:szCs w:val="20"/>
                <w:color w:val="auto"/>
              </w:rPr>
            </w:pPr>
            <w:r>
              <w:rPr>
                <w:rFonts w:ascii="Arial" w:cs="Arial" w:eastAsia="Arial" w:hAnsi="Arial"/>
                <w:sz w:val="16"/>
                <w:szCs w:val="16"/>
                <w:b w:val="1"/>
                <w:bCs w:val="1"/>
                <w:color w:val="auto"/>
                <w:w w:val="98"/>
              </w:rPr>
              <w:t>Valuation techniques</w:t>
            </w:r>
          </w:p>
        </w:tc>
        <w:tc>
          <w:tcPr>
            <w:tcW w:w="2100" w:type="dxa"/>
            <w:vAlign w:val="bottom"/>
          </w:tcPr>
          <w:p>
            <w:pPr>
              <w:jc w:val="center"/>
              <w:ind w:left="19"/>
              <w:spacing w:after="0"/>
              <w:rPr>
                <w:sz w:val="20"/>
                <w:szCs w:val="20"/>
                <w:color w:val="auto"/>
              </w:rPr>
            </w:pPr>
            <w:r>
              <w:rPr>
                <w:rFonts w:ascii="Arial" w:cs="Arial" w:eastAsia="Arial" w:hAnsi="Arial"/>
                <w:sz w:val="16"/>
                <w:szCs w:val="16"/>
                <w:b w:val="1"/>
                <w:bCs w:val="1"/>
                <w:color w:val="auto"/>
                <w:w w:val="90"/>
              </w:rPr>
              <w:t>Significant unobservable</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0"/>
              </w:rPr>
              <w:t>Relationship of unobservable</w:t>
            </w:r>
          </w:p>
        </w:tc>
        <w:tc>
          <w:tcPr>
            <w:tcW w:w="0" w:type="dxa"/>
            <w:vAlign w:val="bottom"/>
          </w:tcPr>
          <w:p>
            <w:pPr>
              <w:spacing w:after="0"/>
              <w:rPr>
                <w:sz w:val="1"/>
                <w:szCs w:val="1"/>
                <w:color w:val="auto"/>
              </w:rPr>
            </w:pPr>
          </w:p>
        </w:tc>
      </w:tr>
      <w:tr>
        <w:trPr>
          <w:trHeight w:val="102"/>
        </w:trPr>
        <w:tc>
          <w:tcPr>
            <w:tcW w:w="22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4"/>
              </w:rPr>
              <w:t>liability</w:t>
            </w:r>
          </w:p>
        </w:tc>
        <w:tc>
          <w:tcPr>
            <w:tcW w:w="1960" w:type="dxa"/>
            <w:vAlign w:val="bottom"/>
            <w:vMerge w:val="continue"/>
          </w:tcPr>
          <w:p>
            <w:pPr>
              <w:spacing w:after="0"/>
              <w:rPr>
                <w:sz w:val="8"/>
                <w:szCs w:val="8"/>
                <w:color w:val="auto"/>
              </w:rPr>
            </w:pPr>
          </w:p>
        </w:tc>
        <w:tc>
          <w:tcPr>
            <w:tcW w:w="210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1"/>
              </w:rPr>
              <w:t>inputs</w:t>
            </w:r>
          </w:p>
        </w:tc>
        <w:tc>
          <w:tcPr>
            <w:tcW w:w="2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inputs to fair value</w:t>
            </w:r>
          </w:p>
        </w:tc>
        <w:tc>
          <w:tcPr>
            <w:tcW w:w="0" w:type="dxa"/>
            <w:vAlign w:val="bottom"/>
          </w:tcPr>
          <w:p>
            <w:pPr>
              <w:spacing w:after="0"/>
              <w:rPr>
                <w:sz w:val="1"/>
                <w:szCs w:val="1"/>
                <w:color w:val="auto"/>
              </w:rPr>
            </w:pPr>
          </w:p>
        </w:tc>
      </w:tr>
      <w:tr>
        <w:trPr>
          <w:trHeight w:val="118"/>
        </w:trPr>
        <w:tc>
          <w:tcPr>
            <w:tcW w:w="22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Derivative liability</w:t>
            </w:r>
          </w:p>
        </w:tc>
        <w:tc>
          <w:tcPr>
            <w:tcW w:w="19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Market approach</w:t>
            </w:r>
          </w:p>
        </w:tc>
        <w:tc>
          <w:tcPr>
            <w:tcW w:w="21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Conversion Period</w:t>
            </w: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Increase or decrease in conversion</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period will result in an increase or</w:t>
            </w:r>
          </w:p>
        </w:tc>
        <w:tc>
          <w:tcPr>
            <w:tcW w:w="0" w:type="dxa"/>
            <w:vAlign w:val="bottom"/>
          </w:tcPr>
          <w:p>
            <w:pPr>
              <w:spacing w:after="0"/>
              <w:rPr>
                <w:sz w:val="1"/>
                <w:szCs w:val="1"/>
                <w:color w:val="auto"/>
              </w:rPr>
            </w:pPr>
          </w:p>
        </w:tc>
      </w:tr>
      <w:tr>
        <w:trPr>
          <w:trHeight w:val="226"/>
        </w:trPr>
        <w:tc>
          <w:tcPr>
            <w:tcW w:w="22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decrease in fair value</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 carrying amounts of cash and restricted cash, accounts receivable, and other current assets, accounts payable, accrued expenses, and other current liabilities, current portion of long-term debt and lease liability as of June 30, 2023 and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jc w:val="both"/>
        <w:ind w:left="380" w:firstLine="49"/>
        <w:spacing w:after="0" w:line="308" w:lineRule="auto"/>
        <w:rPr>
          <w:sz w:val="20"/>
          <w:szCs w:val="20"/>
          <w:color w:val="auto"/>
        </w:rPr>
      </w:pPr>
      <w:r>
        <w:rPr>
          <w:rFonts w:ascii="Arial" w:cs="Arial" w:eastAsia="Arial" w:hAnsi="Arial"/>
          <w:sz w:val="17"/>
          <w:szCs w:val="17"/>
          <w:color w:val="auto"/>
        </w:rPr>
        <w:t>approximate their fair values because of the short-term nature of these items and are not included in the table above. The Company’s other long-term payables, long-term debt and lease liabilities approximate fair value due to the market rate of interest used on initial recognition.</w:t>
      </w:r>
    </w:p>
    <w:p>
      <w:pPr>
        <w:spacing w:after="0" w:line="79"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June 30, 2023 and December 31, 2022. These estimates require management's judgement and may not be indicative of the future fair values of the assets and liabilities.</w:t>
      </w:r>
    </w:p>
    <w:p>
      <w:pPr>
        <w:spacing w:after="0" w:line="127" w:lineRule="exact"/>
        <w:rPr>
          <w:sz w:val="20"/>
          <w:szCs w:val="20"/>
          <w:color w:val="auto"/>
        </w:rPr>
      </w:pPr>
    </w:p>
    <w:p>
      <w:pPr>
        <w:ind w:left="380" w:right="6840" w:hanging="372"/>
        <w:spacing w:after="0" w:line="458" w:lineRule="auto"/>
        <w:tabs>
          <w:tab w:leader="none" w:pos="3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Goodwill and intangible assets consist of the following:</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189,917</w:t>
            </w:r>
          </w:p>
        </w:tc>
        <w:tc>
          <w:tcPr>
            <w:tcW w:w="68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189,917</w:t>
            </w:r>
          </w:p>
        </w:tc>
        <w:tc>
          <w:tcPr>
            <w:tcW w:w="120" w:type="dxa"/>
            <w:vAlign w:val="bottom"/>
          </w:tcPr>
          <w:p>
            <w:pPr>
              <w:spacing w:after="0"/>
              <w:rPr>
                <w:sz w:val="19"/>
                <w:szCs w:val="19"/>
                <w:color w:val="auto"/>
              </w:rPr>
            </w:pPr>
          </w:p>
        </w:tc>
      </w:tr>
      <w:tr>
        <w:trPr>
          <w:trHeight w:val="227"/>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Less: Accumulated impairment on goodwill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(170,643 )</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(170,643 )</w:t>
            </w:r>
          </w:p>
        </w:tc>
        <w:tc>
          <w:tcPr>
            <w:tcW w:w="120" w:type="dxa"/>
            <w:vAlign w:val="bottom"/>
          </w:tcPr>
          <w:p>
            <w:pPr>
              <w:spacing w:after="0"/>
              <w:rPr>
                <w:sz w:val="19"/>
                <w:szCs w:val="19"/>
                <w:color w:val="auto"/>
              </w:rPr>
            </w:pPr>
          </w:p>
        </w:tc>
      </w:tr>
      <w:tr>
        <w:trPr>
          <w:trHeight w:val="266"/>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goodwill, net</w:t>
            </w:r>
          </w:p>
        </w:tc>
        <w:tc>
          <w:tcPr>
            <w:tcW w:w="1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spacing w:after="0"/>
              <w:rPr>
                <w:sz w:val="23"/>
                <w:szCs w:val="23"/>
                <w:color w:val="auto"/>
              </w:rPr>
            </w:pPr>
          </w:p>
        </w:tc>
        <w:tc>
          <w:tcPr>
            <w:tcW w:w="700" w:type="dxa"/>
            <w:vAlign w:val="bottom"/>
            <w:tcBorders>
              <w:bottom w:val="single" w:sz="8" w:color="auto"/>
            </w:tcBorders>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19,274</w:t>
            </w:r>
          </w:p>
        </w:tc>
        <w:tc>
          <w:tcPr>
            <w:tcW w:w="1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19,274</w:t>
            </w:r>
          </w:p>
        </w:tc>
        <w:tc>
          <w:tcPr>
            <w:tcW w:w="120" w:type="dxa"/>
            <w:vAlign w:val="bottom"/>
          </w:tcPr>
          <w:p>
            <w:pPr>
              <w:spacing w:after="0"/>
              <w:rPr>
                <w:sz w:val="23"/>
                <w:szCs w:val="23"/>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Licenses</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154,948</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156,911</w:t>
            </w:r>
          </w:p>
        </w:tc>
        <w:tc>
          <w:tcPr>
            <w:tcW w:w="120" w:type="dxa"/>
            <w:vAlign w:val="bottom"/>
          </w:tcPr>
          <w:p>
            <w:pPr>
              <w:spacing w:after="0"/>
              <w:rPr>
                <w:sz w:val="19"/>
                <w:szCs w:val="19"/>
                <w:color w:val="auto"/>
              </w:rPr>
            </w:pPr>
          </w:p>
        </w:tc>
      </w:tr>
      <w:tr>
        <w:trPr>
          <w:trHeight w:val="22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Trademarks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3"/>
          </w:tcPr>
          <w:p>
            <w:pPr>
              <w:jc w:val="right"/>
              <w:ind w:right="19"/>
              <w:spacing w:after="0"/>
              <w:rPr>
                <w:sz w:val="20"/>
                <w:szCs w:val="20"/>
                <w:color w:val="auto"/>
              </w:rPr>
            </w:pPr>
            <w:r>
              <w:rPr>
                <w:rFonts w:ascii="Arial" w:cs="Arial" w:eastAsia="Arial" w:hAnsi="Arial"/>
                <w:sz w:val="16"/>
                <w:szCs w:val="16"/>
                <w:color w:val="auto"/>
              </w:rPr>
              <w:t>45,936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45,936</w:t>
            </w:r>
          </w:p>
        </w:tc>
        <w:tc>
          <w:tcPr>
            <w:tcW w:w="120" w:type="dxa"/>
            <w:vAlign w:val="bottom"/>
          </w:tcPr>
          <w:p>
            <w:pPr>
              <w:spacing w:after="0"/>
              <w:rPr>
                <w:sz w:val="19"/>
                <w:szCs w:val="19"/>
                <w:color w:val="auto"/>
              </w:rPr>
            </w:pPr>
          </w:p>
        </w:tc>
      </w:tr>
      <w:tr>
        <w:trPr>
          <w:trHeight w:val="236"/>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15,263</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16,944</w:t>
            </w:r>
          </w:p>
        </w:tc>
        <w:tc>
          <w:tcPr>
            <w:tcW w:w="120" w:type="dxa"/>
            <w:vAlign w:val="bottom"/>
          </w:tcPr>
          <w:p>
            <w:pPr>
              <w:spacing w:after="0"/>
              <w:rPr>
                <w:sz w:val="20"/>
                <w:szCs w:val="20"/>
                <w:color w:val="auto"/>
              </w:rPr>
            </w:pP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Total 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3"/>
          </w:tcPr>
          <w:p>
            <w:pPr>
              <w:jc w:val="right"/>
              <w:ind w:right="19"/>
              <w:spacing w:after="0"/>
              <w:rPr>
                <w:sz w:val="20"/>
                <w:szCs w:val="20"/>
                <w:color w:val="auto"/>
              </w:rPr>
            </w:pPr>
            <w:r>
              <w:rPr>
                <w:rFonts w:ascii="Arial" w:cs="Arial" w:eastAsia="Arial" w:hAnsi="Arial"/>
                <w:sz w:val="16"/>
                <w:szCs w:val="16"/>
                <w:color w:val="auto"/>
              </w:rPr>
              <w:t>216,147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219,791</w:t>
            </w:r>
          </w:p>
        </w:tc>
        <w:tc>
          <w:tcPr>
            <w:tcW w:w="120" w:type="dxa"/>
            <w:vAlign w:val="bottom"/>
          </w:tcPr>
          <w:p>
            <w:pPr>
              <w:spacing w:after="0"/>
              <w:rPr>
                <w:sz w:val="18"/>
                <w:szCs w:val="18"/>
                <w:color w:val="auto"/>
              </w:rPr>
            </w:pPr>
          </w:p>
        </w:tc>
      </w:tr>
      <w:tr>
        <w:trPr>
          <w:trHeight w:val="236"/>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Accumulated amortization</w:t>
            </w:r>
          </w:p>
        </w:tc>
        <w:tc>
          <w:tcPr>
            <w:tcW w:w="1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(83,981 )</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(74,526 )</w:t>
            </w:r>
          </w:p>
        </w:tc>
        <w:tc>
          <w:tcPr>
            <w:tcW w:w="120" w:type="dxa"/>
            <w:vAlign w:val="bottom"/>
          </w:tcPr>
          <w:p>
            <w:pPr>
              <w:spacing w:after="0"/>
              <w:rPr>
                <w:sz w:val="20"/>
                <w:szCs w:val="20"/>
                <w:color w:val="auto"/>
              </w:rPr>
            </w:pPr>
          </w:p>
        </w:tc>
      </w:tr>
      <w:tr>
        <w:trPr>
          <w:trHeight w:val="226"/>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Total intangible assets, net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132,166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145,265</w:t>
            </w:r>
          </w:p>
        </w:tc>
        <w:tc>
          <w:tcPr>
            <w:tcW w:w="12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7740" w:type="dxa"/>
            <w:vAlign w:val="bottom"/>
            <w:gridSpan w:val="10"/>
          </w:tcPr>
          <w:p>
            <w:pPr>
              <w:jc w:val="right"/>
              <w:ind w:right="419"/>
              <w:spacing w:after="0"/>
              <w:rPr>
                <w:sz w:val="20"/>
                <w:szCs w:val="20"/>
                <w:color w:val="auto"/>
              </w:rPr>
            </w:pPr>
            <w:r>
              <w:rPr>
                <w:rFonts w:ascii="Arial" w:cs="Arial" w:eastAsia="Arial" w:hAnsi="Arial"/>
                <w:sz w:val="18"/>
                <w:szCs w:val="18"/>
                <w:color w:val="auto"/>
                <w:w w:val="89"/>
              </w:rPr>
              <w:t>The amortization expense for the three and six months ended June 30, 2023 and 2022 are as follows: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6"/>
                <w:szCs w:val="16"/>
                <w:b w:val="1"/>
                <w:bCs w:val="1"/>
                <w:color w:val="auto"/>
                <w:w w:val="92"/>
              </w:rPr>
              <w:t>Six months ended</w:t>
            </w: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June 30, 2023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June 30, 2022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96"/>
              </w:rPr>
              <w:t>June 30, 2023</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6"/>
              </w:rPr>
              <w:t>June 30, 2022</w:t>
            </w:r>
          </w:p>
        </w:tc>
      </w:tr>
      <w:tr>
        <w:trPr>
          <w:trHeight w:val="230"/>
        </w:trPr>
        <w:tc>
          <w:tcPr>
            <w:tcW w:w="760" w:type="dxa"/>
            <w:vAlign w:val="bottom"/>
          </w:tcPr>
          <w:p>
            <w:pPr>
              <w:spacing w:after="0"/>
              <w:rPr>
                <w:sz w:val="19"/>
                <w:szCs w:val="19"/>
                <w:color w:val="auto"/>
              </w:rPr>
            </w:pPr>
          </w:p>
        </w:tc>
        <w:tc>
          <w:tcPr>
            <w:tcW w:w="3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expenses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4,651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10,454</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9,454</w:t>
            </w:r>
          </w:p>
        </w:tc>
        <w:tc>
          <w:tcPr>
            <w:tcW w:w="13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22,658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-1868170</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-1259840</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-959485</wp:posOffset>
            </wp:positionV>
            <wp:extent cx="6858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SELLING, GENERAL AND ADMINISTRATIVE EXPENSES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are summarized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02"/>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Salaries and benefits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25,191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34,449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53,757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64,820</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11,674</w:t>
            </w: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8,463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14,218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17,052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29,928</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Operating facilities costs</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11,058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21,095</w:t>
            </w: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Operating office and general expenses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4,038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5,633</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Advertising and promotion</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8,362</w:t>
            </w:r>
          </w:p>
        </w:tc>
      </w:tr>
      <w:tr>
        <w:trPr>
          <w:trHeight w:val="23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fees and expenses</w:t>
            </w: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2,194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2,736</w:t>
            </w:r>
          </w:p>
        </w:tc>
      </w:tr>
      <w:tr>
        <w:trPr>
          <w:trHeight w:val="223"/>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selling, general and administrative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52,073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72,956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107,423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144,248</w:t>
            </w: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-179070</wp:posOffset>
            </wp:positionV>
            <wp:extent cx="6858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685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-179070</wp:posOffset>
            </wp:positionV>
            <wp:extent cx="60325"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 NET</w:t>
      </w:r>
    </w:p>
    <w:p>
      <w:pPr>
        <w:spacing w:after="0" w:line="14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expense, net is summarized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22"/>
        </w:trPr>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w w:val="90"/>
              </w:rPr>
              <w:t>June 30,</w:t>
            </w:r>
          </w:p>
        </w:tc>
      </w:t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the derivative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(6,380 )</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(5,697 )</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Loss on deconsolidation</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Earnout adjustment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476</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Restructuring expense</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7,388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7,406</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Loss on disposal of group</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Rental income</w:t>
            </w: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(893 )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(1,747 )</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(1,655 )</w:t>
            </w:r>
          </w:p>
        </w:tc>
      </w:tr>
      <w:tr>
        <w:trPr>
          <w:trHeight w:val="223"/>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other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8,996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12,939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530</w:t>
            </w: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-179705</wp:posOffset>
            </wp:positionV>
            <wp:extent cx="6858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-179705</wp:posOffset>
            </wp:positionV>
            <wp:extent cx="6858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-179705</wp:posOffset>
            </wp:positionV>
            <wp:extent cx="6032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18034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left="380"/>
        <w:spacing w:after="0" w:line="263" w:lineRule="auto"/>
        <w:rPr>
          <w:sz w:val="20"/>
          <w:szCs w:val="20"/>
          <w:color w:val="auto"/>
        </w:rPr>
      </w:pPr>
      <w:r>
        <w:rPr>
          <w:rFonts w:ascii="Arial" w:cs="Arial" w:eastAsia="Arial" w:hAnsi="Arial"/>
          <w:sz w:val="18"/>
          <w:szCs w:val="18"/>
          <w:color w:val="auto"/>
        </w:rPr>
        <w:t>During the year 2022, the Company implemented three separate rounds of restructuring initiatives. The first round of restructuring initiatives, Round 1, began in May 2022, with the decision to close the Company’s Europe-based operations. The third and final round, Round 3, began in early November 2022 and involved significant headcount and canopy reduction.</w:t>
      </w:r>
    </w:p>
    <w:p>
      <w:pPr>
        <w:spacing w:after="0" w:line="103" w:lineRule="exact"/>
        <w:rPr>
          <w:sz w:val="20"/>
          <w:szCs w:val="20"/>
          <w:color w:val="auto"/>
        </w:rPr>
      </w:pPr>
    </w:p>
    <w:p>
      <w:pPr>
        <w:jc w:val="both"/>
        <w:ind w:left="380" w:right="20"/>
        <w:spacing w:after="0" w:line="277" w:lineRule="auto"/>
        <w:rPr>
          <w:sz w:val="20"/>
          <w:szCs w:val="20"/>
          <w:color w:val="auto"/>
        </w:rPr>
      </w:pPr>
      <w:r>
        <w:rPr>
          <w:rFonts w:ascii="Arial" w:cs="Arial" w:eastAsia="Arial" w:hAnsi="Arial"/>
          <w:sz w:val="18"/>
          <w:szCs w:val="18"/>
          <w:color w:val="auto"/>
        </w:rPr>
        <w:t>During the six months ended June 30, 2023 the Company has booked an amount of $3,244 on account of the restructuring expense; as of June 30, 2023 the balance outstanding on account of the restructuring reserve amounts to $2,491.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DIVESTITURE</w:t>
      </w:r>
    </w:p>
    <w:p>
      <w:pPr>
        <w:spacing w:after="0" w:line="148" w:lineRule="exact"/>
        <w:rPr>
          <w:sz w:val="20"/>
          <w:szCs w:val="20"/>
          <w:color w:val="auto"/>
        </w:rPr>
      </w:pPr>
    </w:p>
    <w:p>
      <w:pPr>
        <w:jc w:val="both"/>
        <w:ind w:left="380"/>
        <w:spacing w:after="0" w:line="273" w:lineRule="auto"/>
        <w:rPr>
          <w:sz w:val="20"/>
          <w:szCs w:val="20"/>
          <w:color w:val="auto"/>
        </w:rPr>
      </w:pPr>
      <w:r>
        <w:rPr>
          <w:rFonts w:ascii="Arial" w:cs="Arial" w:eastAsia="Arial" w:hAnsi="Arial"/>
          <w:sz w:val="17"/>
          <w:szCs w:val="17"/>
          <w:color w:val="auto"/>
        </w:rPr>
        <w:t>Columbia Care MO, LLC is licensed to sell medical and adult-use marijuana at its dispensary, as well as produce medical and adult-use marijuana products at its processing facility. The Company supported Columbia Care MO, LLC through management services agreements. In 2022, the Company began considering strategic options for Columbia Care MO, LLC, including the potential for the sale of its associated assets and liabilities (the “Missouri Business”). On March 13, 2023, a definitive agreement was signed to sell the Missouri Business, which is considered non-core, and the Company no longer operated the Missouri Business as of that date. The assets of the Missouri Business are comprised of one dispensary and one processing facility and are being divested for gross proceeds of approximately $7 million.</w:t>
      </w:r>
    </w:p>
    <w:p>
      <w:pPr>
        <w:spacing w:after="0" w:line="110"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As of June 30, 2023, no assets or liabilities of the disposed-of business remained on our consolidated balance sheets. The table below summarizes the operating results of Columbia Care MO, LLC for the Six and three months ended June 30, 2023, and 2022:</w:t>
      </w:r>
    </w:p>
    <w:p>
      <w:pPr>
        <w:spacing w:after="0" w:line="333" w:lineRule="exact"/>
        <w:rPr>
          <w:sz w:val="20"/>
          <w:szCs w:val="20"/>
          <w:color w:val="auto"/>
        </w:rPr>
      </w:pPr>
    </w:p>
    <w:tbl>
      <w:tblPr>
        <w:tblLayout w:type="fixed"/>
        <w:tblInd w:w="1150" w:type="dxa"/>
        <w:tblCellMar>
          <w:top w:w="0" w:type="dxa"/>
          <w:left w:w="0" w:type="dxa"/>
          <w:bottom w:w="0" w:type="dxa"/>
          <w:right w:w="0" w:type="dxa"/>
        </w:tblCellMar>
      </w:tblPr>
      <w:tr>
        <w:trPr>
          <w:trHeight w:val="223"/>
        </w:trPr>
        <w:tc>
          <w:tcPr>
            <w:tcW w:w="3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3900" w:type="dxa"/>
            <w:vAlign w:val="bottom"/>
            <w:tcBorders>
              <w:left w:val="single" w:sz="8" w:color="auto"/>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0"/>
              </w:rPr>
              <w:t>June 30, 2022</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0"/>
              </w:rPr>
              <w:t>June 30, 2023</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0"/>
              </w:rPr>
              <w:t>June 30, 2022</w:t>
            </w:r>
          </w:p>
        </w:tc>
      </w:tr>
      <w:tr>
        <w:trPr>
          <w:trHeight w:val="223"/>
        </w:trPr>
        <w:tc>
          <w:tcPr>
            <w:tcW w:w="3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23"/>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407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1,668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996</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Mutual Termination of Arrangement Agreement with Cresco Labs</w:t>
      </w:r>
      <w:r>
        <w:rPr>
          <w:rFonts w:ascii="Arial" w:cs="Arial" w:eastAsia="Arial" w:hAnsi="Arial"/>
          <w:sz w:val="18"/>
          <w:szCs w:val="18"/>
          <w:color w:val="auto"/>
        </w:rPr>
        <w:t>:</w:t>
      </w:r>
    </w:p>
    <w:p>
      <w:pPr>
        <w:spacing w:after="0" w:line="162"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 xml:space="preserve">As previously disclosed, on March 23, 2022, the Company entered into the Arrangement Agreement, as amended on February 27, 2023 with Cresco Labs, pursuant to which, Cresco Labs agreed, subject to the terms and conditions thereof, to acquire all of the issued and outstanding common shares and proportionate voting shares of Columbia Care, pursuant to a statutory plan of arrangement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“Arrangement”).</w:t>
      </w:r>
    </w:p>
    <w:p>
      <w:pPr>
        <w:spacing w:after="0" w:line="11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As previously disclosed, Columbia Care and Cresco Labs were not able to complete the divestitures necessary to secure all necessary regulatory approvals to close the Arrangement by the outside date (June 30, 2023) specified in the Arrangement Agreement.</w:t>
      </w:r>
    </w:p>
    <w:p>
      <w:pPr>
        <w:spacing w:after="0" w:line="89"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On July 31, 2023, Columbia Care and Cresco Labs entered into the Termination Agreement, pursuant to which Columbia Care and Cresco Labs agreed to terminate the Arrangement Agreement. The Termination Agreement provides for the release by each party of certain claims arising from or relating to the Arrangement, the Arrangement Agreement, the transactions contemplated therein or the circumstances relating thereto. There are no penalties or fees related to the mutual agreement to terminate the Arrangement.</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Other Business Updates</w:t>
      </w:r>
      <w:r>
        <w:rPr>
          <w:rFonts w:ascii="Arial" w:cs="Arial" w:eastAsia="Arial" w:hAnsi="Arial"/>
          <w:sz w:val="18"/>
          <w:szCs w:val="18"/>
          <w:color w:val="auto"/>
        </w:rPr>
        <w: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On July 31, 2023, the Company announced the following capital markets and operational initiatives:</w:t>
      </w:r>
    </w:p>
    <w:p>
      <w:pPr>
        <w:spacing w:after="0" w:line="140" w:lineRule="exact"/>
        <w:rPr>
          <w:sz w:val="20"/>
          <w:szCs w:val="20"/>
          <w:color w:val="auto"/>
        </w:rPr>
      </w:pPr>
    </w:p>
    <w:p>
      <w:pPr>
        <w:jc w:val="both"/>
        <w:ind w:left="1020" w:hanging="503"/>
        <w:spacing w:after="0" w:line="274" w:lineRule="auto"/>
        <w:tabs>
          <w:tab w:leader="none" w:pos="10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Note Exchanges </w:t>
      </w:r>
      <w:r>
        <w:rPr>
          <w:rFonts w:ascii="Arial" w:cs="Arial" w:eastAsia="Arial" w:hAnsi="Arial"/>
          <w:sz w:val="17"/>
          <w:szCs w:val="17"/>
          <w:color w:val="auto"/>
        </w:rPr>
        <w:t>- The Company has received commitments from several of its largest holders of its 13% senior secured notes due May 2024</w:t>
      </w:r>
      <w:r>
        <w:rPr>
          <w:rFonts w:ascii="Arial" w:cs="Arial" w:eastAsia="Arial" w:hAnsi="Arial"/>
          <w:sz w:val="17"/>
          <w:szCs w:val="17"/>
          <w:b w:val="1"/>
          <w:bCs w:val="1"/>
          <w:color w:val="auto"/>
        </w:rPr>
        <w:t xml:space="preserve"> </w:t>
      </w:r>
      <w:r>
        <w:rPr>
          <w:rFonts w:ascii="Arial" w:cs="Arial" w:eastAsia="Arial" w:hAnsi="Arial"/>
          <w:sz w:val="17"/>
          <w:szCs w:val="17"/>
          <w:color w:val="auto"/>
        </w:rPr>
        <w:t>(the “2024 notes”) to exchange into the Company’s 9.5% senior secured notes due February 2026, on a one-for-one basis. The Company is in ongoing discussions with a limited group of additional bondholders to exchange more 2024 notes under the same structure. These private exchange agreements will meaningfully reduce the amount of the $38.2 million principal of notes due in May 2024, reduce the cash interest cost for the exchanged notes by 350 basis points, and extend the maturity of the converted notes to February 2026. More details will be provided upon closing of the exchange which will be in the third quarter.</w:t>
      </w:r>
    </w:p>
    <w:p>
      <w:pPr>
        <w:spacing w:after="0" w:line="65" w:lineRule="exact"/>
        <w:rPr>
          <w:rFonts w:ascii="Arial" w:cs="Arial" w:eastAsia="Arial" w:hAnsi="Arial"/>
          <w:sz w:val="17"/>
          <w:szCs w:val="17"/>
          <w:b w:val="1"/>
          <w:bCs w:val="1"/>
          <w:color w:val="auto"/>
        </w:rPr>
      </w:pPr>
    </w:p>
    <w:p>
      <w:pPr>
        <w:jc w:val="both"/>
        <w:ind w:left="1020" w:hanging="503"/>
        <w:spacing w:after="0" w:line="303" w:lineRule="auto"/>
        <w:tabs>
          <w:tab w:leader="none" w:pos="10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Restructuring </w:t>
      </w:r>
      <w:r>
        <w:rPr>
          <w:rFonts w:ascii="Arial" w:cs="Arial" w:eastAsia="Arial" w:hAnsi="Arial"/>
          <w:sz w:val="16"/>
          <w:szCs w:val="16"/>
          <w:color w:val="auto"/>
        </w:rPr>
        <w:t>- Columbia Care has completed the final phase of its previously announced corporate restructuring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expects to realize an additional net benefit to EBITDA of approximately $950,000 in 2023 and approximately $3.8 million in 2024. The primary source of the additional savings is a 52-person headcount reduction, primarily from Green Leaf Medical, LLC corporate redundancy, as well as facility rightsizing and dispositions. These operational improvements are expected to be cash flow positive in 2023 and 2024.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jc w:val="both"/>
        <w:ind w:left="503" w:hanging="503"/>
        <w:spacing w:after="0" w:line="277" w:lineRule="auto"/>
        <w:tabs>
          <w:tab w:leader="none" w:pos="503"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Non-core Asset Sales </w:t>
      </w:r>
      <w:r>
        <w:rPr>
          <w:rFonts w:ascii="Arial" w:cs="Arial" w:eastAsia="Arial" w:hAnsi="Arial"/>
          <w:sz w:val="17"/>
          <w:szCs w:val="17"/>
          <w:color w:val="auto"/>
        </w:rPr>
        <w:t>- Following the announcement of the first stage of non-core/underperforming asset sales in Missouri,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closed on the sale of its Downtown Los Angeles facility, consisting of a single dispensary and approximately 36,000 square feet of cultivation capacity. Gross proceeds are approximately $9 million, and the Company expects to net $3 million after taxes and the repayment of the outstanding mortgage. This sale will not only add to the Company’s cash balance but will also reduce overall debt and make permanent a net reduction in annual operating costs of more than $8.5 million for Columbia Care operations in California.</w:t>
      </w:r>
    </w:p>
    <w:p>
      <w:pPr>
        <w:spacing w:after="0" w:line="59" w:lineRule="exact"/>
        <w:rPr>
          <w:rFonts w:ascii="Arial" w:cs="Arial" w:eastAsia="Arial" w:hAnsi="Arial"/>
          <w:sz w:val="17"/>
          <w:szCs w:val="17"/>
          <w:b w:val="1"/>
          <w:bCs w:val="1"/>
          <w:color w:val="auto"/>
        </w:rPr>
      </w:pPr>
    </w:p>
    <w:p>
      <w:pPr>
        <w:jc w:val="both"/>
        <w:ind w:left="503" w:hanging="503"/>
        <w:spacing w:after="0" w:line="261" w:lineRule="auto"/>
        <w:tabs>
          <w:tab w:leader="none" w:pos="50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Delisting of Common Shares from Canadian Securities Exchange – </w:t>
      </w:r>
      <w:r>
        <w:rPr>
          <w:rFonts w:ascii="Arial" w:cs="Arial" w:eastAsia="Arial" w:hAnsi="Arial"/>
          <w:sz w:val="18"/>
          <w:szCs w:val="18"/>
          <w:color w:val="auto"/>
        </w:rPr>
        <w:t>The Company voluntarily delisted its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facilities of the Canadian Securities Exchange (“CSE”), effective as of market close on August 2, 2023. Columbia Care’s common shares will continue trading on the Cboe Canada, the new business name of the NEO Exchange. Cboe Canada will remain the Company’s primary securities exchange, as it has been since the Company’s initial public listing.</w:t>
      </w:r>
    </w:p>
    <w:p>
      <w:pPr>
        <w:spacing w:after="0" w:line="71" w:lineRule="exact"/>
        <w:rPr>
          <w:rFonts w:ascii="Arial" w:cs="Arial" w:eastAsia="Arial" w:hAnsi="Arial"/>
          <w:sz w:val="18"/>
          <w:szCs w:val="18"/>
          <w:b w:val="1"/>
          <w:bCs w:val="1"/>
          <w:color w:val="auto"/>
        </w:rPr>
      </w:pPr>
    </w:p>
    <w:p>
      <w:pPr>
        <w:jc w:val="both"/>
        <w:ind w:left="503" w:hanging="503"/>
        <w:spacing w:after="0" w:line="261" w:lineRule="auto"/>
        <w:tabs>
          <w:tab w:leader="none" w:pos="503" w:val="left"/>
        </w:tabs>
        <w:numPr>
          <w:ilvl w:val="0"/>
          <w:numId w:val="26"/>
        </w:numPr>
        <w:rPr>
          <w:rFonts w:ascii="Arial" w:cs="Arial" w:eastAsia="Arial" w:hAnsi="Arial"/>
          <w:sz w:val="18"/>
          <w:szCs w:val="18"/>
          <w:b w:val="1"/>
          <w:bCs w:val="1"/>
          <w:color w:val="231F20"/>
        </w:rPr>
      </w:pPr>
      <w:r>
        <w:rPr>
          <w:rFonts w:ascii="Arial" w:cs="Arial" w:eastAsia="Arial" w:hAnsi="Arial"/>
          <w:sz w:val="18"/>
          <w:szCs w:val="18"/>
          <w:b w:val="1"/>
          <w:bCs w:val="1"/>
          <w:color w:val="231F20"/>
        </w:rPr>
        <w:t xml:space="preserve">Leadership Changes </w:t>
      </w:r>
      <w:r>
        <w:rPr>
          <w:rFonts w:ascii="Arial" w:cs="Arial" w:eastAsia="Arial" w:hAnsi="Arial"/>
          <w:sz w:val="18"/>
          <w:szCs w:val="18"/>
          <w:color w:val="231F20"/>
        </w:rPr>
        <w:t>- The Company also announced two senior leadership changes. Effective July 31, 2023, Columbia Care named David</w:t>
      </w:r>
      <w:r>
        <w:rPr>
          <w:rFonts w:ascii="Arial" w:cs="Arial" w:eastAsia="Arial" w:hAnsi="Arial"/>
          <w:sz w:val="18"/>
          <w:szCs w:val="18"/>
          <w:b w:val="1"/>
          <w:bCs w:val="1"/>
          <w:color w:val="231F20"/>
        </w:rPr>
        <w:t xml:space="preserve"> </w:t>
      </w:r>
      <w:r>
        <w:rPr>
          <w:rFonts w:ascii="Arial" w:cs="Arial" w:eastAsia="Arial" w:hAnsi="Arial"/>
          <w:sz w:val="18"/>
          <w:szCs w:val="18"/>
          <w:color w:val="231F20"/>
        </w:rPr>
        <w:t>Hart as President &amp; Chief Operating Officer and Jesse Channon as Chief Commercial Officer. Mr. Hart will continue to oversee all revenue-driving functions and Mr. Channon, formerly Chief Growth Officer, will oversee retail, wholesale, technology innovation, marketing, and communications.</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8"/>
          <w:szCs w:val="18"/>
          <w:color w:val="231F20"/>
        </w:rPr>
        <w:t>On August 10, 2023, the Company entered into two term loans and security agreements with a bank as follows:</w:t>
      </w:r>
    </w:p>
    <w:p>
      <w:pPr>
        <w:spacing w:after="0" w:line="117" w:lineRule="exact"/>
        <w:rPr>
          <w:sz w:val="20"/>
          <w:szCs w:val="20"/>
          <w:color w:val="auto"/>
        </w:rPr>
      </w:pPr>
    </w:p>
    <w:p>
      <w:pPr>
        <w:jc w:val="both"/>
        <w:ind w:left="503" w:hanging="503"/>
        <w:spacing w:after="0" w:line="259" w:lineRule="auto"/>
        <w:tabs>
          <w:tab w:leader="none" w:pos="503"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first agreement provides for a $6,250 mortgage on real property in Maryland and carries interest at a variable rate per annum equal to Wall Street prime rate (“Index”) plus 2.25%. The debt is repayable in 59 monthly installments and matures in August 2028. In connection with this Mortgage, the Company incurred financing costs of $195 and expects to net $2,903 after the repayment of a prior outstanding mortgage on the property.</w:t>
      </w:r>
    </w:p>
    <w:p>
      <w:pPr>
        <w:spacing w:after="0" w:line="78" w:lineRule="exact"/>
        <w:rPr>
          <w:rFonts w:ascii="Arial" w:cs="Arial" w:eastAsia="Arial" w:hAnsi="Arial"/>
          <w:sz w:val="18"/>
          <w:szCs w:val="18"/>
          <w:color w:val="231F20"/>
        </w:rPr>
      </w:pPr>
    </w:p>
    <w:p>
      <w:pPr>
        <w:jc w:val="both"/>
        <w:ind w:left="503" w:right="20" w:hanging="503"/>
        <w:spacing w:after="0" w:line="263" w:lineRule="auto"/>
        <w:tabs>
          <w:tab w:leader="none" w:pos="503"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second agreement provides for $1,800 mortgage on real property in Delaware and carries interest at a variable rate per annum equal to Wall Street prime rate (“Index”) plus 2.25%. The debt is repayable in 59 monthly installments and matures in August 2028. In connection with this Mortgage</w:t>
      </w:r>
      <w:r>
        <w:rPr>
          <w:rFonts w:ascii="Arial" w:cs="Arial" w:eastAsia="Arial" w:hAnsi="Arial"/>
          <w:sz w:val="18"/>
          <w:szCs w:val="18"/>
          <w:color w:val="000000"/>
        </w:rPr>
        <w:t>, the Company incurred financing costs of $77 and expects to net $1,723.</w:t>
      </w:r>
    </w:p>
    <w:p>
      <w:pPr>
        <w:spacing w:after="0" w:line="18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management’s discussion and analysis (“MD&amp;A”) of the financial condition and results of operations of Columbia Care Inc. (“Columbia Care”, the “Company”, “us”, “our” or “we”) is supplemental to, and should be read in conjunction with, Columbia Care’s unaudited condensed interim consolidated financial statements and the accompanying notes for the three and six months ended June 30, 2023 and 2022.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2022 Form 10-K filed with the SEC on March 29, 2023 and subsequent securities filings.</w:t>
      </w:r>
    </w:p>
    <w:p>
      <w:pPr>
        <w:spacing w:after="0" w:line="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Columbia Care’s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COLUMBIA CARE</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CARE OBJECTIVES AND FACTORS AFFECTING OUR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one of the largest fully integrated operators in the cannabis industry, our strategy to grow our business is comprised of the following key components:</w:t>
      </w:r>
    </w:p>
    <w:p>
      <w:pPr>
        <w:spacing w:after="0" w:line="181" w:lineRule="exact"/>
        <w:rPr>
          <w:sz w:val="20"/>
          <w:szCs w:val="20"/>
          <w:color w:val="auto"/>
        </w:rPr>
      </w:pPr>
    </w:p>
    <w:p>
      <w:pPr>
        <w:ind w:left="1140" w:hanging="75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and development within and outside our current markets</w:t>
      </w:r>
    </w:p>
    <w:p>
      <w:pPr>
        <w:spacing w:after="0" w:line="144" w:lineRule="exact"/>
        <w:rPr>
          <w:rFonts w:ascii="Arial" w:cs="Arial" w:eastAsia="Arial" w:hAnsi="Arial"/>
          <w:sz w:val="18"/>
          <w:szCs w:val="18"/>
          <w:color w:val="auto"/>
        </w:rPr>
      </w:pPr>
    </w:p>
    <w:p>
      <w:pPr>
        <w:ind w:left="1140" w:hanging="75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 and customer-centric, leveraging health and wellness focus</w:t>
      </w:r>
    </w:p>
    <w:p>
      <w:pPr>
        <w:spacing w:after="0" w:line="117" w:lineRule="exact"/>
        <w:rPr>
          <w:rFonts w:ascii="Arial" w:cs="Arial" w:eastAsia="Arial" w:hAnsi="Arial"/>
          <w:sz w:val="18"/>
          <w:szCs w:val="18"/>
          <w:color w:val="auto"/>
        </w:rPr>
      </w:pPr>
    </w:p>
    <w:p>
      <w:pPr>
        <w:ind w:left="1140" w:hanging="75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Consistency and quality of proprietary product portfolio, including branded consumer products</w:t>
      </w:r>
    </w:p>
    <w:p>
      <w:pPr>
        <w:spacing w:after="0" w:line="157" w:lineRule="exact"/>
        <w:rPr>
          <w:rFonts w:ascii="Arial" w:cs="Arial" w:eastAsia="Arial" w:hAnsi="Arial"/>
          <w:sz w:val="18"/>
          <w:szCs w:val="18"/>
          <w:color w:val="auto"/>
        </w:rPr>
      </w:pPr>
    </w:p>
    <w:p>
      <w:pPr>
        <w:ind w:left="1140" w:hanging="75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Intellectual property and data-driven innovation</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performance and future success are dependent on several factors. These factors are also subject to inherent risks and challenges, some of which are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Branding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a national branding strategy across each of the jurisdictions in which we operate. Maintaining and growing our brand appeal is critical to our continued success.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Innovation and Consumer Trends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Growth Strategies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 innovations; (ii) penetration of new markets; (iii) growth of wholesale revenue through third party retailers and distributors; (iv) future development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competitive position in our current markets, and identify and successfully enter and market products in new geographic areas and segments.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set forth selected consolidated financial information derived from our unaudited condensed interim consolidated financial statements and the respective accompanying notes prepared in accordance with U.S. GAAP.</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June 30, 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June 30, 2022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June 30, 2023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June 30, 2022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$129,244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$129,571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$253,779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$252,658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2820" w:type="dxa"/>
            <w:vAlign w:val="bottom"/>
          </w:tcPr>
          <w:p>
            <w:pPr>
              <w:ind w:left="20"/>
              <w:spacing w:after="0"/>
              <w:rPr>
                <w:sz w:val="20"/>
                <w:szCs w:val="20"/>
                <w:color w:val="auto"/>
              </w:rPr>
            </w:pPr>
            <w:r>
              <w:rPr>
                <w:rFonts w:ascii="Arial" w:cs="Arial" w:eastAsia="Arial" w:hAnsi="Arial"/>
                <w:sz w:val="16"/>
                <w:szCs w:val="16"/>
                <w:color w:val="auto"/>
              </w:rPr>
              <w:t>Cost of sales related to inventory</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(77,122)</w:t>
            </w:r>
          </w:p>
        </w:tc>
        <w:tc>
          <w:tcPr>
            <w:tcW w:w="12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(78,723)</w:t>
            </w:r>
          </w:p>
        </w:tc>
        <w:tc>
          <w:tcPr>
            <w:tcW w:w="12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1,601</w:t>
            </w:r>
          </w:p>
        </w:tc>
        <w:tc>
          <w:tcPr>
            <w:tcW w:w="12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(154,576)</w:t>
            </w:r>
          </w:p>
        </w:tc>
        <w:tc>
          <w:tcPr>
            <w:tcW w:w="10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(145,183)</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(9,393)</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Arial" w:cs="Arial" w:eastAsia="Arial" w:hAnsi="Arial"/>
                <w:sz w:val="16"/>
                <w:szCs w:val="16"/>
                <w:color w:val="auto"/>
              </w:rPr>
              <w:t>production</w:t>
            </w: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$50,848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$1,274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$99,203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$107,475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$(8,272)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28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expenses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(52,073)</w:t>
            </w: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(72,956)</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20,883</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(107,423)</w:t>
            </w: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(144,248)</w:t>
            </w: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36,825</w:t>
            </w: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Profit (loss) from operations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(22,108)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22,157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(36,773)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28,553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1020" w:type="dxa"/>
            <w:vAlign w:val="bottom"/>
          </w:tcPr>
          <w:p>
            <w:pPr>
              <w:jc w:val="right"/>
              <w:spacing w:after="0"/>
              <w:rPr>
                <w:sz w:val="20"/>
                <w:szCs w:val="20"/>
                <w:color w:val="auto"/>
              </w:rPr>
            </w:pPr>
            <w:r>
              <w:rPr>
                <w:rFonts w:ascii="Arial" w:cs="Arial" w:eastAsia="Arial" w:hAnsi="Arial"/>
                <w:sz w:val="16"/>
                <w:szCs w:val="16"/>
                <w:color w:val="auto"/>
              </w:rPr>
              <w:t>(22,781)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(13,445)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(9,336)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(40,395)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(26,054)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(14,341)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3"/>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(6,305)</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(18,702)</w:t>
            </w:r>
          </w:p>
        </w:tc>
        <w:tc>
          <w:tcPr>
            <w:tcW w:w="1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12,397</w:t>
            </w:r>
          </w:p>
        </w:tc>
        <w:tc>
          <w:tcPr>
            <w:tcW w:w="1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(16,994)</w:t>
            </w:r>
          </w:p>
        </w:tc>
        <w:tc>
          <w:tcPr>
            <w:tcW w:w="1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(19,334)</w:t>
            </w: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2,340</w:t>
            </w: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(29,037)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(54,255)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25,218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(65,609)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(82,161)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16,552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 attributable to non-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20" w:type="dxa"/>
            <w:vAlign w:val="bottom"/>
            <w:vMerge w:val="restart"/>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120" w:type="dxa"/>
            <w:vAlign w:val="bottom"/>
            <w:vMerge w:val="restart"/>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20" w:type="dxa"/>
            <w:vAlign w:val="bottom"/>
            <w:vMerge w:val="restart"/>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00" w:type="dxa"/>
            <w:vAlign w:val="bottom"/>
            <w:vMerge w:val="restart"/>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(1,697)</w:t>
            </w:r>
          </w:p>
        </w:tc>
        <w:tc>
          <w:tcPr>
            <w:tcW w:w="100" w:type="dxa"/>
            <w:vAlign w:val="bottom"/>
            <w:vMerge w:val="restart"/>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2,291</w:t>
            </w:r>
          </w:p>
        </w:tc>
        <w:tc>
          <w:tcPr>
            <w:tcW w:w="100" w:type="dxa"/>
            <w:vAlign w:val="bottom"/>
            <w:vMerge w:val="restart"/>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controlling interests</w:t>
            </w: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rPr>
                <w:sz w:val="20"/>
                <w:szCs w:val="20"/>
                <w:color w:val="auto"/>
              </w:rPr>
            </w:pPr>
            <w:r>
              <w:rPr>
                <w:rFonts w:ascii="Arial" w:cs="Arial" w:eastAsia="Arial" w:hAnsi="Arial"/>
                <w:sz w:val="16"/>
                <w:szCs w:val="16"/>
                <w:color w:val="auto"/>
              </w:rPr>
              <w:t>Net loss attributable to Columbia Care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$(28,863)</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$(53,828)</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$24,965</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(46)%</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$(66,203)</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$(80,464)</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$14,261</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6"/>
                <w:szCs w:val="16"/>
                <w:color w:val="auto"/>
              </w:rPr>
              <w:t>Inc.</w:t>
            </w:r>
          </w:p>
        </w:tc>
        <w:tc>
          <w:tcPr>
            <w:tcW w:w="10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Loss per share attributable to Columbia</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120" w:type="dxa"/>
            <w:vAlign w:val="bottom"/>
            <w:vMerge w:val="restart"/>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100" w:type="dxa"/>
            <w:vAlign w:val="bottom"/>
            <w:vMerge w:val="restart"/>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Care Inc.—based and diluted</w:t>
            </w: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Arial" w:cs="Arial" w:eastAsia="Arial" w:hAnsi="Arial"/>
                <w:sz w:val="16"/>
                <w:szCs w:val="16"/>
                <w:color w:val="auto"/>
              </w:rPr>
              <w:t>Weighted average number of shares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405,782,234</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394,023,144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403,622,389</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385,258,892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6"/>
                <w:szCs w:val="16"/>
                <w:color w:val="auto"/>
              </w:rPr>
              <w:t>outstanding—basic and diluted</w:t>
            </w:r>
          </w:p>
        </w:tc>
        <w:tc>
          <w:tcPr>
            <w:tcW w:w="10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-1696720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-1696720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-1696720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-1696720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-1696720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-1696720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-1250950</wp:posOffset>
            </wp:positionV>
            <wp:extent cx="7683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-1250950</wp:posOffset>
            </wp:positionV>
            <wp:extent cx="7747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-1250950</wp:posOffset>
            </wp:positionV>
            <wp:extent cx="7683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-1250950</wp:posOffset>
            </wp:positionV>
            <wp:extent cx="6858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-1250950</wp:posOffset>
            </wp:positionV>
            <wp:extent cx="6858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-1250950</wp:posOffset>
            </wp:positionV>
            <wp:extent cx="685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-830580</wp:posOffset>
            </wp:positionV>
            <wp:extent cx="76835" cy="282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-830580</wp:posOffset>
            </wp:positionV>
            <wp:extent cx="77470" cy="282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-830580</wp:posOffset>
            </wp:positionV>
            <wp:extent cx="76835" cy="282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-830580</wp:posOffset>
            </wp:positionV>
            <wp:extent cx="68580" cy="282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-830580</wp:posOffset>
            </wp:positionV>
            <wp:extent cx="68580" cy="282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-830580</wp:posOffset>
            </wp:positionV>
            <wp:extent cx="68580" cy="282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-299085</wp:posOffset>
            </wp:positionV>
            <wp:extent cx="3497580" cy="299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97580" cy="2997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Summary of Balance Sheet items: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951,990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994,726</w:t>
            </w:r>
          </w:p>
        </w:tc>
      </w:tr>
      <w:tr>
        <w:trPr>
          <w:trHeight w:val="220"/>
        </w:trPr>
        <w:tc>
          <w:tcPr>
            <w:tcW w:w="5460" w:type="dxa"/>
            <w:vAlign w:val="bottom"/>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797,194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787,823</w:t>
            </w:r>
          </w:p>
        </w:tc>
      </w:tr>
      <w:tr>
        <w:trPr>
          <w:trHeight w:val="23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Total Long-Term Liabilities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569,723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584,705</w:t>
            </w:r>
          </w:p>
        </w:tc>
      </w:tr>
      <w:tr>
        <w:trPr>
          <w:trHeight w:val="210"/>
        </w:trPr>
        <w:tc>
          <w:tcPr>
            <w:tcW w:w="5460" w:type="dxa"/>
            <w:vAlign w:val="bottom"/>
          </w:tcPr>
          <w:p>
            <w:pPr>
              <w:spacing w:after="0"/>
              <w:rPr>
                <w:sz w:val="20"/>
                <w:szCs w:val="20"/>
                <w:color w:val="auto"/>
              </w:rPr>
            </w:pPr>
            <w:r>
              <w:rPr>
                <w:rFonts w:ascii="Arial" w:cs="Arial" w:eastAsia="Arial" w:hAnsi="Arial"/>
                <w:sz w:val="16"/>
                <w:szCs w:val="16"/>
                <w:color w:val="auto"/>
              </w:rPr>
              <w:t>Total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154,796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206,903</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w w:val="92"/>
              </w:rPr>
              <w:t>For the three months ended</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7"/>
                <w:szCs w:val="17"/>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Change</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129,244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129,571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(327 )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Cost of sales related to inventory production</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(77,122 )</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(78,723 )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1,601</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52,122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50,848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1,274</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(52,073 )</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(72,956 )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20,883</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Profit (loss) from operations</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(22,108 )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22,157</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(22,781 )</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(13,445 )</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(9,336 )</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Loss before provision for income taxes</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(22,732 )</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(35,553 )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12,821</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(6,305 )</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(18,702 )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12,397</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(29,037 )</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(54,255 )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25,218</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Net loss attributable to Columbia Care Inc.</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(28,863 )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(53,828 )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24,965</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-1671320</wp:posOffset>
            </wp:positionV>
            <wp:extent cx="570039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-1370965</wp:posOffset>
            </wp:positionV>
            <wp:extent cx="570039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-1071245</wp:posOffset>
            </wp:positionV>
            <wp:extent cx="570039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-770890</wp:posOffset>
            </wp:positionV>
            <wp:extent cx="570039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-471170</wp:posOffset>
            </wp:positionV>
            <wp:extent cx="570039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570039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revenue of $327 for the three months ended June 30, 2023, as compared to the prior year period, was driven by the expansion of new retail facilities which contributed to a revenue growth of $6,183 as compared to the prior period and our acquisition of Medicine Man Longmont which contributed an additional $1,705 of revenue during the three months ended June 30, 2023, as compared to the prior period. This was offset by a net decline in revenue of $8,215 in our existing retail and wholesale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cost of sales of $1,601 for the three months ended June 30, 2023, as compared to the prior year period, was driven by a cost of sales decrease of $5,019 in our existing wholesale and retail facilites. This was offset by the expansion of new retail facilities contributing to a cost of sales increase of $2,297 as compared to the prior period and our acquisition of Medicine Man Longmont contributed to an additional $1,120 of cost of sales during the three months ended June 30, 2023, as compared to the prior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gross profit of $1,274 for the three months ended June 30, 2023, as compared to the prior year period, was primarily driven by a gross profit decrease of $3,196 in our existing wholesale and retail facilities. This was offset by an expansion of new retail facilities contributing gross profit growth of $3,886 as compared to the prior period and our acquisition of Medicine Man Longmont that contributed an additional $585 of gross profit during the three months ended June 30, 2023, as compared to the prior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of $20,883 in operating expenses for the three months ended June 30, 2023, as compared to the prior year period, was primarily attributable to a decrease in salary and benefits expenses of $9,258, depreciation and amortization of $5,755, professional fees of $1,581, advertisement and promotion expenses of $2,874, and operating office and general expenses of $1,030,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expense, net of $9,336 for the three months ended June 30, 2023, as compared to the prior year period, was primarily due to an increase in interest expense on debt of $1,212, amortization of debt issuance costs of $18, loss on disposal of group of $9,649, reduction in fair value of the derivative liability of $6,380 and restructuring expense of $66. This was partially offset by a decrease in other expenses of $7,202, an earnout adjustment of $476, and interest on lease of $311.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Income Taxes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income tax expense of $6,305 for the three months ended June 30, 2023, as compared to an income tax expense of $18,702 for the three months ended June 30, 2022.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ended June 30, 2023 the company has a Deferred Tax Asset of approximately $16,661 related to its acquisition of VentureForth LLC, which occurred during 2022. The consideration paid to acquire 100% of the VentureForth Holdings LLC partnership interests was expensed for book purposes. For tax purposes, such consideration is capitalized as the transaction is treated as a deemed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asset purchase for tax purposes. Such treatment results in a Deferred Tax Asset. However, because of the limitations of Section 280E of the Internal Revenue Code, the company does not expect to recognize the full tax benefit for this specific deferred tax asset.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1"/>
              </w:rPr>
              <w:t>For the six months ended</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Change</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253,779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252,658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Cost of sales related to inventory production</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(154,576 )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(145,183 )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(9,393 )</w:t>
            </w:r>
          </w:p>
        </w:tc>
        <w:tc>
          <w:tcPr>
            <w:tcW w:w="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99,203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107,475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(8,272 )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(107,423 )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(144,248 )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36,825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Profit (loss) from operations</w:t>
            </w: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(8,220 )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(36,773 )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28,553</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(40,395 )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(26,054 )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(14,341 )</w:t>
            </w:r>
          </w:p>
        </w:tc>
        <w:tc>
          <w:tcPr>
            <w:tcW w:w="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Loss before provision for income taxes</w:t>
            </w: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(48,615 )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(62,827 )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14,212</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(16,994 )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(19,334 )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2,340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(65,609 )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(82,161 )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16,552</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2,291</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Net loss attributable to Columbia Care Inc.</w:t>
            </w: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(66,203 )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(80,464 )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14,261</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-1525270</wp:posOffset>
            </wp:positionV>
            <wp:extent cx="5700395" cy="1525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0395" cy="15259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revenue of $1,121 for the six months ended June 30, 2023, as compared to the prior year period, was driven by the expansion of new retail facilities which contributed to a revenue growth of $9,418 as compared to the prior period and our acquisition of Medicine Man Longmont which contributed an additional $3,477 of revenue during the six months ended June 30, 2023, as compared to the prior period. This was offset by a net decline in revenue of $11,774 in our existing wholesale and retail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cost of sales of $9,393 for the six months ended June 30, 2023, as compared to the prior year period, was driven by a cost of sales increase of $3,761 in our existing wholesale and retail facilities. The expansion of new retail facilities contributed to a cost of sales growth of $3,420 as compared to the prior period and our acquisition of Medicine Man Longmont contributed to an additional $2,211 of cost of sales during the three months ended June 30, 2023, as compared to the prior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gross profit of $8,272 for the six months ended June 30, 2023, as compared to the prior year period, was primarily driven by a gross profit decrease of $15,535 in our existing wholesale and retail facilities. This was offset by an expansion of new wholesale and retail facilities contributing gross profit growth of $5,997 as compared to the prior period and our acquisition of Medicine Man Longmont that contributed an additional $1,266 of gross profit during the six months ended June 30, 2023, as compared to the prior period.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of $36,825 in operating expenses for the six months ended June 30, 2023, as compared to the prior year period, was primarily attributable to a decrease in salary and benefits expenses of $11,063, depreciation and amortization of $12,876, professional fees of $5,537, advertisement and promotion expenses of $5,192, operating office and general expenses of $1,595, and other fees and expenses of $542.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expense, net of $14,341 for the six months ended June 30, 2023, as compared to the prior year period, was primarily due to an increase in interest expense on debt of $2,181, amortization of debt issuance costs of $270, loss on disposal of group of $9,049, reduction in fair value of the derivative liability of $5,727, loss on deconsolidation of $2,473, and restructuring expense of $3,244. This was partially offset by a decrease in other expenses of $7,516, an earnout adjustment of $476, and interest on lease of $639.</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Income Taxes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income tax expense of $16,994 for the six months ended June 30, 2023, as compared to an income tax expense of $19,334 for the six months ended June 30,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For the period ended June 30, 2023 the company has a Deferred Tax Asset of approximately $16,661 related to its acquisition of VentureForth LLC, which occurred during 2022. The consideration paid to acquire 100% of the VentureForth Holdings LLC partnership interests was expensed for book purposes. For tax purposes, such consideration is capitalized as the transaction is treated as a deemed asset purchase for tax purposes. Such treatment results in a Deferred Tax Asset. However, because of the limitations of Section 280E of the Internal Revenue Code, the company does not expect to recognize the full tax benefit for this specific deferred tax asset.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net loss for the period to EBITDA and Adjusted EBITDA for the three and six months ended June 30, 2023, and 2022:</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Six months ended</w:t>
            </w:r>
          </w:p>
        </w:tc>
      </w:tr>
      <w:tr>
        <w:trPr>
          <w:trHeight w:val="202"/>
        </w:trPr>
        <w:tc>
          <w:tcPr>
            <w:tcW w:w="4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3"/>
              </w:rPr>
              <w:t>June 30,</w:t>
            </w:r>
          </w:p>
        </w:tc>
        <w:tc>
          <w:tcPr>
            <w:tcW w:w="60" w:type="dxa"/>
            <w:vAlign w:val="bottom"/>
          </w:tcPr>
          <w:p>
            <w:pPr>
              <w:spacing w:after="0"/>
              <w:rPr>
                <w:sz w:val="17"/>
                <w:szCs w:val="17"/>
                <w:color w:val="auto"/>
              </w:rPr>
            </w:pPr>
          </w:p>
        </w:tc>
      </w:tr>
      <w:tr>
        <w:trPr>
          <w:trHeight w:val="223"/>
        </w:trPr>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(29,037 )</w:t>
            </w: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(54,255 )</w:t>
            </w:r>
          </w:p>
        </w:tc>
        <w:tc>
          <w:tcPr>
            <w:tcW w:w="100" w:type="dxa"/>
            <w:vAlign w:val="bottom"/>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(65,609 )</w:t>
            </w: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(82,161 )</w:t>
            </w:r>
          </w:p>
        </w:tc>
        <w:tc>
          <w:tcPr>
            <w:tcW w:w="60" w:type="dxa"/>
            <w:vAlign w:val="bottom"/>
          </w:tcPr>
          <w:p>
            <w:pPr>
              <w:spacing w:after="0"/>
              <w:rPr>
                <w:sz w:val="19"/>
                <w:szCs w:val="19"/>
                <w:color w:val="auto"/>
              </w:rPr>
            </w:pPr>
          </w:p>
        </w:tc>
      </w:tr>
      <w:tr>
        <w:trPr>
          <w:trHeight w:val="220"/>
        </w:trPr>
        <w:tc>
          <w:tcPr>
            <w:tcW w:w="4640" w:type="dxa"/>
            <w:vAlign w:val="bottom"/>
          </w:tcPr>
          <w:p>
            <w:pPr>
              <w:ind w:left="180"/>
              <w:spacing w:after="0"/>
              <w:rPr>
                <w:sz w:val="20"/>
                <w:szCs w:val="20"/>
                <w:color w:val="auto"/>
              </w:rPr>
            </w:pPr>
            <w:r>
              <w:rPr>
                <w:rFonts w:ascii="Arial" w:cs="Arial" w:eastAsia="Arial" w:hAnsi="Arial"/>
                <w:sz w:val="16"/>
                <w:szCs w:val="16"/>
                <w:color w:val="auto"/>
              </w:rPr>
              <w:t>Income tax</w:t>
            </w:r>
          </w:p>
        </w:tc>
        <w:tc>
          <w:tcPr>
            <w:tcW w:w="1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6,305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18,702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19,334</w:t>
            </w:r>
          </w:p>
        </w:tc>
        <w:tc>
          <w:tcPr>
            <w:tcW w:w="60" w:type="dxa"/>
            <w:vAlign w:val="bottom"/>
          </w:tcPr>
          <w:p>
            <w:pPr>
              <w:spacing w:after="0"/>
              <w:rPr>
                <w:sz w:val="19"/>
                <w:szCs w:val="19"/>
                <w:color w:val="auto"/>
              </w:rPr>
            </w:pPr>
          </w:p>
        </w:tc>
      </w:tr>
      <w:tr>
        <w:trPr>
          <w:trHeight w:val="239"/>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14,615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20,058</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29,678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41,268</w:t>
            </w:r>
          </w:p>
        </w:tc>
        <w:tc>
          <w:tcPr>
            <w:tcW w:w="60" w:type="dxa"/>
            <w:vAlign w:val="bottom"/>
          </w:tcPr>
          <w:p>
            <w:pPr>
              <w:spacing w:after="0"/>
              <w:rPr>
                <w:sz w:val="20"/>
                <w:szCs w:val="20"/>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6"/>
                <w:szCs w:val="16"/>
                <w:color w:val="auto"/>
              </w:rPr>
              <w:t>Interest expense, net and debt amortization</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13,785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11,499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27,456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24,169</w:t>
            </w:r>
          </w:p>
        </w:tc>
        <w:tc>
          <w:tcPr>
            <w:tcW w:w="60" w:type="dxa"/>
            <w:vAlign w:val="bottom"/>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EBITDA (Non-GAAP measure)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(3,996 )</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8,519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2,610</w:t>
            </w:r>
          </w:p>
        </w:tc>
        <w:tc>
          <w:tcPr>
            <w:tcW w:w="60" w:type="dxa"/>
            <w:vAlign w:val="bottom"/>
          </w:tcPr>
          <w:p>
            <w:pPr>
              <w:spacing w:after="0"/>
              <w:rPr>
                <w:sz w:val="19"/>
                <w:szCs w:val="19"/>
                <w:color w:val="auto"/>
              </w:rPr>
            </w:pP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Adjustments: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3,468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7,678</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9,983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14,052</w:t>
            </w:r>
          </w:p>
        </w:tc>
        <w:tc>
          <w:tcPr>
            <w:tcW w:w="60" w:type="dxa"/>
            <w:vAlign w:val="bottom"/>
          </w:tcPr>
          <w:p>
            <w:pPr>
              <w:spacing w:after="0"/>
              <w:rPr>
                <w:sz w:val="20"/>
                <w:szCs w:val="20"/>
                <w:color w:val="auto"/>
              </w:rPr>
            </w:pPr>
          </w:p>
        </w:tc>
      </w:tr>
      <w:tr>
        <w:trPr>
          <w:trHeight w:val="206"/>
        </w:trPr>
        <w:tc>
          <w:tcPr>
            <w:tcW w:w="4640" w:type="dxa"/>
            <w:vAlign w:val="bottom"/>
          </w:tcPr>
          <w:p>
            <w:pPr>
              <w:ind w:left="180"/>
              <w:spacing w:after="0"/>
              <w:rPr>
                <w:sz w:val="20"/>
                <w:szCs w:val="20"/>
                <w:color w:val="auto"/>
              </w:rPr>
            </w:pPr>
            <w:r>
              <w:rPr>
                <w:rFonts w:ascii="Arial" w:cs="Arial" w:eastAsia="Arial" w:hAnsi="Arial"/>
                <w:sz w:val="16"/>
                <w:szCs w:val="16"/>
                <w:color w:val="auto"/>
                <w:w w:val="96"/>
              </w:rPr>
              <w:t>Transaction and other non-core costs, including costs associated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tcPr>
          <w:p>
            <w:pPr>
              <w:ind w:left="180"/>
              <w:spacing w:after="0"/>
              <w:rPr>
                <w:sz w:val="20"/>
                <w:szCs w:val="20"/>
                <w:color w:val="auto"/>
              </w:rPr>
            </w:pPr>
            <w:r>
              <w:rPr>
                <w:rFonts w:ascii="Arial" w:cs="Arial" w:eastAsia="Arial" w:hAnsi="Arial"/>
                <w:sz w:val="16"/>
                <w:szCs w:val="16"/>
                <w:color w:val="auto"/>
                <w:w w:val="99"/>
              </w:rPr>
              <w:t>with the Cresco transaction, litigation expenses and other costs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6"/>
                <w:szCs w:val="16"/>
                <w:color w:val="auto"/>
              </w:rPr>
              <w:t>related to restructuring</w:t>
            </w:r>
          </w:p>
        </w:tc>
        <w:tc>
          <w:tcPr>
            <w:tcW w:w="1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14,727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18,013</w:t>
            </w:r>
          </w:p>
        </w:tc>
        <w:tc>
          <w:tcPr>
            <w:tcW w:w="60" w:type="dxa"/>
            <w:vAlign w:val="bottom"/>
          </w:tcPr>
          <w:p>
            <w:pPr>
              <w:spacing w:after="0"/>
              <w:rPr>
                <w:sz w:val="18"/>
                <w:szCs w:val="18"/>
                <w:color w:val="auto"/>
              </w:rPr>
            </w:pPr>
          </w:p>
        </w:tc>
      </w:tr>
      <w:tr>
        <w:trPr>
          <w:trHeight w:val="239"/>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Fair-value changes on derivative liabilities</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(6,380 )</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(5,697 )</w:t>
            </w:r>
          </w:p>
        </w:tc>
        <w:tc>
          <w:tcPr>
            <w:tcW w:w="60" w:type="dxa"/>
            <w:vAlign w:val="bottom"/>
          </w:tcPr>
          <w:p>
            <w:pPr>
              <w:spacing w:after="0"/>
              <w:rPr>
                <w:sz w:val="20"/>
                <w:szCs w:val="20"/>
                <w:color w:val="auto"/>
              </w:rPr>
            </w:pPr>
          </w:p>
        </w:tc>
      </w:tr>
      <w:tr>
        <w:trPr>
          <w:trHeight w:val="220"/>
        </w:trPr>
        <w:tc>
          <w:tcPr>
            <w:tcW w:w="4640" w:type="dxa"/>
            <w:vAlign w:val="bottom"/>
          </w:tcPr>
          <w:p>
            <w:pPr>
              <w:ind w:left="180"/>
              <w:spacing w:after="0"/>
              <w:rPr>
                <w:sz w:val="20"/>
                <w:szCs w:val="20"/>
                <w:color w:val="auto"/>
              </w:rPr>
            </w:pPr>
            <w:r>
              <w:rPr>
                <w:rFonts w:ascii="Arial" w:cs="Arial" w:eastAsia="Arial" w:hAnsi="Arial"/>
                <w:sz w:val="16"/>
                <w:szCs w:val="16"/>
                <w:color w:val="auto"/>
              </w:rPr>
              <w:t>Restructuring expense</w:t>
            </w:r>
          </w:p>
        </w:tc>
        <w:tc>
          <w:tcPr>
            <w:tcW w:w="1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Loss on deconsolidation</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2,473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r>
      <w:tr>
        <w:trPr>
          <w:trHeight w:val="220"/>
        </w:trPr>
        <w:tc>
          <w:tcPr>
            <w:tcW w:w="4640" w:type="dxa"/>
            <w:vAlign w:val="bottom"/>
          </w:tcPr>
          <w:p>
            <w:pPr>
              <w:ind w:left="180"/>
              <w:spacing w:after="0"/>
              <w:rPr>
                <w:sz w:val="20"/>
                <w:szCs w:val="20"/>
                <w:color w:val="auto"/>
              </w:rPr>
            </w:pPr>
            <w:r>
              <w:rPr>
                <w:rFonts w:ascii="Arial" w:cs="Arial" w:eastAsia="Arial" w:hAnsi="Arial"/>
                <w:sz w:val="16"/>
                <w:szCs w:val="16"/>
                <w:color w:val="auto"/>
              </w:rPr>
              <w:t>Impairment on disposal group</w:t>
            </w:r>
          </w:p>
        </w:tc>
        <w:tc>
          <w:tcPr>
            <w:tcW w:w="1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Gain on remeasurement of contingent consideration</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r>
      <w:tr>
        <w:trPr>
          <w:trHeight w:val="220"/>
        </w:trPr>
        <w:tc>
          <w:tcPr>
            <w:tcW w:w="4640" w:type="dxa"/>
            <w:vAlign w:val="bottom"/>
          </w:tcPr>
          <w:p>
            <w:pPr>
              <w:ind w:left="180"/>
              <w:spacing w:after="0"/>
              <w:rPr>
                <w:sz w:val="20"/>
                <w:szCs w:val="20"/>
                <w:color w:val="auto"/>
              </w:rPr>
            </w:pPr>
            <w:r>
              <w:rPr>
                <w:rFonts w:ascii="Arial" w:cs="Arial" w:eastAsia="Arial" w:hAnsi="Arial"/>
                <w:sz w:val="16"/>
                <w:szCs w:val="16"/>
                <w:color w:val="auto"/>
              </w:rPr>
              <w:t>Acquisition and settlement of pre-existing relationships</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3"/>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Earnout liability accrual</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r>
      <w:tr>
        <w:trPr>
          <w:trHeight w:val="223"/>
        </w:trPr>
        <w:tc>
          <w:tcPr>
            <w:tcW w:w="46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Adjusted EBITDA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20,316</w:t>
            </w: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12,029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36,680</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28,978</w:t>
            </w:r>
          </w:p>
        </w:tc>
        <w:tc>
          <w:tcPr>
            <w:tcW w:w="6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129,244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129,571</w:t>
            </w:r>
          </w:p>
        </w:tc>
        <w:tc>
          <w:tcPr>
            <w:tcW w:w="10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253,779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252,658</w:t>
            </w:r>
          </w:p>
        </w:tc>
        <w:tc>
          <w:tcPr>
            <w:tcW w:w="60" w:type="dxa"/>
            <w:vAlign w:val="bottom"/>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Adjusted EBITDA (Non-GAAP measure)</w:t>
            </w:r>
          </w:p>
        </w:tc>
        <w:tc>
          <w:tcPr>
            <w:tcW w:w="1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28,978</w:t>
            </w:r>
          </w:p>
        </w:tc>
        <w:tc>
          <w:tcPr>
            <w:tcW w:w="6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6"/>
                <w:szCs w:val="16"/>
                <w:color w:val="auto"/>
              </w:rPr>
              <w:t>Adjusted EBITDA margin (Non-GAAP measure)</w:t>
            </w: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15.7 %</w:t>
            </w: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14.5 %</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11.5 %</w:t>
            </w:r>
          </w:p>
        </w:tc>
      </w:tr>
      <w:tr>
        <w:trPr>
          <w:trHeight w:val="239"/>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129,244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129,571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253,779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252,658</w:t>
            </w:r>
          </w:p>
        </w:tc>
        <w:tc>
          <w:tcPr>
            <w:tcW w:w="60" w:type="dxa"/>
            <w:vAlign w:val="bottom"/>
          </w:tcPr>
          <w:p>
            <w:pPr>
              <w:spacing w:after="0"/>
              <w:rPr>
                <w:sz w:val="20"/>
                <w:szCs w:val="20"/>
                <w:color w:val="auto"/>
              </w:rPr>
            </w:pP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52,122</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50,848</w:t>
            </w:r>
          </w:p>
        </w:tc>
        <w:tc>
          <w:tcPr>
            <w:tcW w:w="10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99,203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107,475</w:t>
            </w:r>
          </w:p>
        </w:tc>
        <w:tc>
          <w:tcPr>
            <w:tcW w:w="60" w:type="dxa"/>
            <w:vAlign w:val="bottom"/>
          </w:tcPr>
          <w:p>
            <w:pPr>
              <w:spacing w:after="0"/>
              <w:rPr>
                <w:sz w:val="20"/>
                <w:szCs w:val="20"/>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Gross margin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40.3 %</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39.2 %</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39.1 %</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-2764155</wp:posOffset>
            </wp:positionV>
            <wp:extent cx="685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-2764155</wp:posOffset>
            </wp:positionV>
            <wp:extent cx="6032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-1041400</wp:posOffset>
            </wp:positionV>
            <wp:extent cx="6858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-1041400</wp:posOffset>
            </wp:positionV>
            <wp:extent cx="6032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-570230</wp:posOffset>
            </wp:positionV>
            <wp:extent cx="570039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Adjusted EBITDA for the three and six months ended June 30, 2023, as compared to the prior year periods, was primarily driven by restructuring and disposal activity in addition to improved leverage of revenues across selling, general, and administrative expenses such as facility costs, salary costs, and benefit costs.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seek growth through expansion or acquisition, our cash flow requirements and obligations could materially change. As of June 30, 2023, we did not have any significant external capital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Financing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premium and paid interest were paid out of funds raised from the February 2022 Private Placement. The total unamortized debt and debt issuance costs of $2,153, related to the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sources and uses of cash for each of the periods presented:</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6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June 30, 2022</w:t>
            </w: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(3,718 )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(99,783 )</w:t>
            </w:r>
          </w:p>
        </w:tc>
      </w:tr>
      <w:tr>
        <w:trPr>
          <w:trHeight w:val="220"/>
        </w:trPr>
        <w:tc>
          <w:tcPr>
            <w:tcW w:w="61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(2,315 )</w:t>
            </w: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(57,682 )</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Net (used in)/cash provided by financing activities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(5,123 )</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157,707</w:t>
            </w:r>
          </w:p>
        </w:tc>
        <w:tc>
          <w:tcPr>
            <w:tcW w:w="80" w:type="dxa"/>
            <w:vAlign w:val="bottom"/>
            <w:shd w:val="clear" w:color="auto" w:fill="CFF0FC"/>
          </w:tcPr>
          <w:p>
            <w:pPr>
              <w:spacing w:after="0"/>
              <w:rPr>
                <w:sz w:val="19"/>
                <w:szCs w:val="19"/>
                <w:color w:val="auto"/>
              </w:rPr>
            </w:pPr>
          </w:p>
        </w:tc>
      </w:tr>
      <w:tr>
        <w:trPr>
          <w:trHeight w:val="23"/>
        </w:trPr>
        <w:tc>
          <w:tcPr>
            <w:tcW w:w="61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6"/>
                <w:szCs w:val="16"/>
                <w:color w:val="auto"/>
              </w:rPr>
              <w:t>Net (decrease)/increase in 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 xml:space="preserve">(11,156 </w:t>
            </w:r>
            <w:r>
              <w:rPr>
                <w:rFonts w:ascii="Arial" w:cs="Arial" w:eastAsia="Arial" w:hAnsi="Arial"/>
                <w:sz w:val="16"/>
                <w:szCs w:val="16"/>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months ended June 30, 2023, operating activities used $3,718 of cash, primarily resulting from a net loss of $65,609, a change in deferred taxes of $4,384, and net changes in operating assets and liabilities of $7,766; this was partially offset by depreciation and amortization of $29,678, equity-based compensation expense of $9,983, loss on disposal group of $9,649, loss on deconsolidation of subsidiary of $2,473, and debt amortization expense of $4,485. The net change in operating assets and liabilities was primarily due to a decrease in other assets of $9,317, an increase in accounts payable of $10,949, and an increase in income tax payable of $13,485; this was offset by an increase in accounts receivable of $4,454, an increase in inventory of $5,397, an increase in prepaid expenses and other current assets of $6,538, and a decrease in other long-term liabilities of $4,496,</w:t>
      </w:r>
    </w:p>
    <w:p>
      <w:pPr>
        <w:spacing w:after="0" w:line="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six months ended June 30, 2022, operating activities used $99,783 of cash, primarily resulting from a net loss of $82,161 and net changes in operating assets and liabilities of $86,558; this was partially offset by depreciation and amortization of $41,268, equity-based compensation expense of $14,052, debt amortization expense of $4,073, a change in fair value of a derivative liability of $5,697, and a change in deferred taxes of $13,762.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Investing Activities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investing activities used $2,315 of cash pursuant to purchases of property and equipment of $5,740. This was partially offset by proceeds from the deconsolidation of the Company's Missouri entity of $3,040, proceeds from sale of plant, property, and equipment of $169, and cash received from deposits of $216.</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2022, investing activities used $57,682 of cash pursuant to purchases of property and equipment of $58,673; this was partially offset by proceeds from the sale of property and equipment of $255 and cash received on deposits of $1,699.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six months ended June 30, 2023, financing activities used $5,123 of cash, mainly due to the payment of lease liabilities of $3,196, distributions to non-controlling interest holders of $431, taxes paid on equity-based compensation of $433, and repayment of a seller's note of $750.</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financing activities provided $157,707 of cash, mainly due to $153,250 in net proceeds received from the issuance of debt and the issuance of a mortgage of $16,500; this was partially offset by lease liability payments of $2,966 and a debt issuance cost of $7,698.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contractual obligations as of June 30, 2023 and the effects that such obligations are expected to have on our liquidity and cash flows in future periods:</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w w:val="91"/>
              </w:rPr>
              <w:t>Payments Due by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Year 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Year 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Year 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Year 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Year 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Year 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beyond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Lease commitments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372,567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32,438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26,177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Sale-Leaseback commitments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202,893</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9,922</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10,243</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10,573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10,915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11,268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149,972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2026 Notes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Term debt (principal)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38,215</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38,215</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Interest on 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47,607</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18,284</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17,695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10,565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Convertible debt (principal)</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Interest on convertible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9,048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4,602</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4,446</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Mortgage notes (principal)</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35,703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Mortgage notes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14,105</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3,788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3,721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3,658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2,802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Closing promissory note</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(principal)</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Closing promissory note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6"/>
                <w:szCs w:val="16"/>
                <w:color w:val="auto"/>
              </w:rPr>
              <w:t>(interest)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real estate</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notes (principal)</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Acquisition related real estate</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20"/>
                <w:szCs w:val="20"/>
                <w:color w:val="auto"/>
              </w:rPr>
            </w:pPr>
            <w:r>
              <w:rPr>
                <w:rFonts w:ascii="Arial" w:cs="Arial" w:eastAsia="Arial" w:hAnsi="Arial"/>
                <w:sz w:val="16"/>
                <w:szCs w:val="16"/>
                <w:color w:val="auto"/>
              </w:rPr>
              <w:t>notes (interest)</w:t>
            </w: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4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Total contractual</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998,108</w:t>
            </w:r>
          </w:p>
        </w:tc>
        <w:tc>
          <w:tcPr>
            <w:tcW w:w="3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103,386</w:t>
            </w:r>
          </w:p>
        </w:tc>
        <w:tc>
          <w:tcPr>
            <w:tcW w:w="3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144,888</w:t>
            </w:r>
          </w:p>
        </w:tc>
        <w:tc>
          <w:tcPr>
            <w:tcW w:w="3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239,505</w:t>
            </w:r>
          </w:p>
        </w:tc>
        <w:tc>
          <w:tcPr>
            <w:tcW w:w="200" w:type="dxa"/>
            <w:vAlign w:val="bottom"/>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59,033</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53,410</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397,886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obligations</w:t>
            </w:r>
          </w:p>
        </w:tc>
        <w:tc>
          <w:tcPr>
            <w:tcW w:w="18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-24765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Judgements estimates and assumptions with the most significant effect on the amounts recognized in the consolidated financial statements are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Columbia Care classifies its derivative liability as fair value through profit and loss (FVTPL).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fair value contained within the hierarchy are: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Our risk exposures and the impact on our financial instruments is summarized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Credit risk is the risk of a potential loss to us if a customer or third party to a financial instrument fails to meet its contractual obligations. The maximum credit exposure at June 30, 2023 and December 31, 2022,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Columbia Care National Credit program, we provide credit to customers in certain markets in which we operate.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ind w:right="80"/>
        <w:spacing w:after="0" w:line="414" w:lineRule="auto"/>
        <w:rPr>
          <w:sz w:val="20"/>
          <w:szCs w:val="20"/>
          <w:color w:val="auto"/>
        </w:rPr>
      </w:pPr>
      <w:r>
        <w:rPr>
          <w:rFonts w:ascii="Arial" w:cs="Arial" w:eastAsia="Arial" w:hAnsi="Arial"/>
          <w:sz w:val="18"/>
          <w:szCs w:val="18"/>
          <w:color w:val="auto"/>
        </w:rPr>
        <w:t xml:space="preserve">net cash contribution from our operations and investments to be positive in the near term, and we therefore expect to rely on financing from equity or debt. </w:t>
      </w:r>
      <w:r>
        <w:rPr>
          <w:rFonts w:ascii="Arial" w:cs="Arial" w:eastAsia="Arial" w:hAnsi="Arial"/>
          <w:sz w:val="18"/>
          <w:szCs w:val="18"/>
          <w:i w:val="1"/>
          <w:iCs w:val="1"/>
          <w:color w:val="auto"/>
        </w:rPr>
        <w:t>Market Risk</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operating results and financial position are reported in thousands of U.S. dollars. We may enter into financial transactions denominated in other currencies, which would result in Columbia Care’s operations and financial position to be subject to currency transaction and translation risks.</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we had no hedging agreements in place with respect to foreign exchange rates. We have not entered into any agreements or purchased any instruments to hedge possible currency risks at this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Price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material changes to the market risks as disclosed in the Company’s 2022 Form 10-K. See also Financial Risk Management in Part I, Item 2 of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under the Securities Exchange Act of 1934, as amended) during the quarter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discussion of our litigation matters occurring in the period covered by this report is found in Reference to Part I, Item 1, </w:t>
      </w:r>
      <w:r>
        <w:rPr>
          <w:rFonts w:ascii="Arial" w:cs="Arial" w:eastAsia="Arial" w:hAnsi="Arial"/>
          <w:sz w:val="18"/>
          <w:szCs w:val="18"/>
          <w:u w:val="single" w:color="auto"/>
          <w:color w:val="0563C1"/>
        </w:rPr>
        <w:t>Note 13, Commitments and</w:t>
      </w:r>
      <w:r>
        <w:rPr>
          <w:rFonts w:ascii="Arial" w:cs="Arial" w:eastAsia="Arial" w:hAnsi="Arial"/>
          <w:sz w:val="18"/>
          <w:szCs w:val="18"/>
          <w:color w:val="auto"/>
        </w:rPr>
        <w:t xml:space="preserve"> </w:t>
      </w:r>
      <w:r>
        <w:rPr>
          <w:rFonts w:ascii="Arial" w:cs="Arial" w:eastAsia="Arial" w:hAnsi="Arial"/>
          <w:sz w:val="18"/>
          <w:szCs w:val="18"/>
          <w:u w:val="single" w:color="auto"/>
          <w:color w:val="0563C1"/>
        </w:rPr>
        <w:t>Contingencies</w:t>
      </w:r>
      <w:r>
        <w:rPr>
          <w:rFonts w:ascii="Arial" w:cs="Arial" w:eastAsia="Arial" w:hAnsi="Arial"/>
          <w:sz w:val="18"/>
          <w:szCs w:val="18"/>
          <w:color w:val="0563C1"/>
        </w:rPr>
        <w:t xml:space="preserve"> </w:t>
      </w:r>
      <w:r>
        <w:rPr>
          <w:rFonts w:ascii="Arial" w:cs="Arial" w:eastAsia="Arial" w:hAnsi="Arial"/>
          <w:sz w:val="18"/>
          <w:szCs w:val="18"/>
          <w:color w:val="000000"/>
        </w:rPr>
        <w:t>in the Notes to Unaudited Interim Consolidated Financial Statements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-182245</wp:posOffset>
            </wp:positionV>
            <wp:extent cx="12884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8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6534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341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except as noted below, there have been no material changes in our risk factors from those disclosed in Part I, Item 1A, of the Company’s 2022 Form 10-K, which is incorporated by reference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Trading Plans of Directors and Executive Officers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2023,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gridSpan w:val="14"/>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5"/>
                <w:szCs w:val="15"/>
                <w:color w:val="auto"/>
              </w:rPr>
            </w:pPr>
          </w:p>
        </w:tc>
        <w:tc>
          <w:tcPr>
            <w:tcW w:w="9900" w:type="dxa"/>
            <w:vAlign w:val="bottom"/>
            <w:tcBorders>
              <w:bottom w:val="single" w:sz="8" w:color="0000FF"/>
            </w:tcBorders>
            <w:gridSpan w:val="15"/>
          </w:tcPr>
          <w:p>
            <w:pPr>
              <w:spacing w:after="0" w:line="176"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Arrangement Agreement, dated March 23, 2022, between Cresco Labs Inc. and Columbia Care Inc. (incorporated by reference to Exhibit</w:t>
              </w:r>
            </w:hyperlink>
          </w:p>
        </w:tc>
        <w:tc>
          <w:tcPr>
            <w:tcW w:w="2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Current Report on Form 8-K, filed with the SEC on March 29, 2022)</w:t>
              </w:r>
            </w:hyperlink>
          </w:p>
        </w:tc>
        <w:tc>
          <w:tcPr>
            <w:tcW w:w="20" w:type="dxa"/>
            <w:vAlign w:val="bottom"/>
            <w:tcBorders>
              <w:bottom w:val="single" w:sz="8" w:color="0000EE"/>
            </w:tcBorders>
          </w:tcPr>
          <w:p>
            <w:pPr>
              <w:spacing w:after="0"/>
              <w:rPr>
                <w:sz w:val="17"/>
                <w:szCs w:val="17"/>
                <w:color w:val="auto"/>
              </w:rPr>
            </w:pPr>
          </w:p>
        </w:tc>
        <w:tc>
          <w:tcPr>
            <w:tcW w:w="3300" w:type="dxa"/>
            <w:vAlign w:val="bottom"/>
            <w:gridSpan w:val="12"/>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20" w:type="dxa"/>
            <w:vAlign w:val="bottom"/>
          </w:tcPr>
          <w:p>
            <w:pPr>
              <w:spacing w:after="0"/>
              <w:rPr>
                <w:sz w:val="18"/>
                <w:szCs w:val="18"/>
                <w:color w:val="auto"/>
              </w:rPr>
            </w:pPr>
          </w:p>
        </w:tc>
        <w:tc>
          <w:tcPr>
            <w:tcW w:w="9900" w:type="dxa"/>
            <w:vAlign w:val="bottom"/>
            <w:tcBorders>
              <w:bottom w:val="single" w:sz="8" w:color="0000FF"/>
            </w:tcBorders>
            <w:gridSpan w:val="15"/>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Amending Agreement, dated February 27, 2023, between Cresco Labs Inc. and Columbia Care Inc.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20" w:type="dxa"/>
            <w:vAlign w:val="bottom"/>
            <w:tcBorders>
              <w:bottom w:val="single" w:sz="8" w:color="0000EE"/>
            </w:tcBorders>
            <w:gridSpan w:val="5"/>
          </w:tcPr>
          <w:p>
            <w:pPr>
              <w:spacing w:after="0" w:line="19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Current Report on Form 8-K, filed with the SEC on February 28, 2023)</w:t>
              </w:r>
            </w:hyperlink>
          </w:p>
        </w:tc>
        <w:tc>
          <w:tcPr>
            <w:tcW w:w="3100" w:type="dxa"/>
            <w:vAlign w:val="bottom"/>
            <w:gridSpan w:val="11"/>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8"/>
                <w:szCs w:val="18"/>
                <w:color w:val="auto"/>
              </w:rPr>
            </w:pPr>
          </w:p>
        </w:tc>
        <w:tc>
          <w:tcPr>
            <w:tcW w:w="9660" w:type="dxa"/>
            <w:vAlign w:val="bottom"/>
            <w:tcBorders>
              <w:bottom w:val="single" w:sz="8" w:color="0000FF"/>
            </w:tcBorders>
            <w:gridSpan w:val="13"/>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Articles of Columbia Care Inc. (incorporated by reference to Exhibit 3.1 of the Registrant’s Registration Statement on Form 10, filed</w:t>
              </w:r>
            </w:hyperlink>
          </w:p>
        </w:tc>
        <w:tc>
          <w:tcPr>
            <w:tcW w:w="260" w:type="dxa"/>
            <w:vAlign w:val="bottom"/>
            <w:gridSpan w:val="3"/>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8"/>
                <w:szCs w:val="18"/>
                <w:color w:val="auto"/>
              </w:rPr>
            </w:pPr>
          </w:p>
        </w:tc>
        <w:tc>
          <w:tcPr>
            <w:tcW w:w="9300" w:type="dxa"/>
            <w:vAlign w:val="bottom"/>
            <w:tcBorders>
              <w:bottom w:val="single" w:sz="8" w:color="0000FF"/>
            </w:tcBorders>
            <w:gridSpan w:val="8"/>
          </w:tcPr>
          <w:p>
            <w:pPr>
              <w:spacing w:after="0"/>
              <w:rPr>
                <w:rFonts w:ascii="Arial" w:cs="Arial" w:eastAsia="Arial" w:hAnsi="Arial"/>
                <w:sz w:val="18"/>
                <w:szCs w:val="18"/>
                <w:color w:val="0000FF"/>
                <w:w w:val="90"/>
              </w:rPr>
            </w:pPr>
            <w:hyperlink r:id="rId185">
              <w:r>
                <w:rPr>
                  <w:rFonts w:ascii="Arial" w:cs="Arial" w:eastAsia="Arial" w:hAnsi="Arial"/>
                  <w:sz w:val="18"/>
                  <w:szCs w:val="18"/>
                  <w:color w:val="0000FF"/>
                  <w:w w:val="90"/>
                </w:rPr>
                <w:t>Warrant Agency Agreement dated September 20, 2018 between Canaccord Genuity Growth Corp. and Odyssey Trust Company</w:t>
              </w:r>
            </w:hyperlink>
          </w:p>
        </w:tc>
        <w:tc>
          <w:tcPr>
            <w:tcW w:w="620" w:type="dxa"/>
            <w:vAlign w:val="bottom"/>
            <w:gridSpan w:val="8"/>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(incorporated by reference to Exhibit 4.1 of the Registrant’s Registration Statement on Form 10, filed with the SEC on December 14,</w:t>
              </w:r>
            </w:hyperlink>
          </w:p>
        </w:tc>
        <w:tc>
          <w:tcPr>
            <w:tcW w:w="30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line="196" w:lineRule="exact"/>
              <w:rPr>
                <w:rFonts w:ascii="Arial" w:cs="Arial" w:eastAsia="Arial" w:hAnsi="Arial"/>
                <w:sz w:val="18"/>
                <w:szCs w:val="18"/>
                <w:color w:val="0000FF"/>
                <w:w w:val="86"/>
              </w:rPr>
            </w:pPr>
            <w:hyperlink r:id="rId185">
              <w:r>
                <w:rPr>
                  <w:rFonts w:ascii="Arial" w:cs="Arial" w:eastAsia="Arial" w:hAnsi="Arial"/>
                  <w:sz w:val="18"/>
                  <w:szCs w:val="18"/>
                  <w:color w:val="0000FF"/>
                  <w:w w:val="86"/>
                </w:rPr>
                <w:t>2021)</w:t>
              </w:r>
            </w:hyperlink>
          </w:p>
        </w:tc>
        <w:tc>
          <w:tcPr>
            <w:tcW w:w="23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8"/>
                <w:szCs w:val="18"/>
                <w:color w:val="auto"/>
              </w:rPr>
            </w:pPr>
          </w:p>
        </w:tc>
        <w:tc>
          <w:tcPr>
            <w:tcW w:w="9480" w:type="dxa"/>
            <w:vAlign w:val="bottom"/>
            <w:tcBorders>
              <w:bottom w:val="single" w:sz="8" w:color="0000FF"/>
            </w:tcBorders>
            <w:gridSpan w:val="10"/>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Warrant Agreement dated April 26, 2019 between Columbia Care Inc. and Canaccord Genuity Corp. (incorporated by reference to</w:t>
              </w:r>
            </w:hyperlink>
          </w:p>
        </w:tc>
        <w:tc>
          <w:tcPr>
            <w:tcW w:w="440" w:type="dxa"/>
            <w:vAlign w:val="bottom"/>
            <w:gridSpan w:val="6"/>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Exhibit 4.2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8"/>
                <w:szCs w:val="18"/>
                <w:color w:val="auto"/>
              </w:rPr>
            </w:pPr>
          </w:p>
        </w:tc>
        <w:tc>
          <w:tcPr>
            <w:tcW w:w="9580" w:type="dxa"/>
            <w:vAlign w:val="bottom"/>
            <w:tcBorders>
              <w:bottom w:val="single" w:sz="8" w:color="0000FF"/>
            </w:tcBorders>
            <w:gridSpan w:val="11"/>
          </w:tcPr>
          <w:p>
            <w:pPr>
              <w:spacing w:after="0"/>
              <w:rPr>
                <w:rFonts w:ascii="Arial" w:cs="Arial" w:eastAsia="Arial" w:hAnsi="Arial"/>
                <w:sz w:val="18"/>
                <w:szCs w:val="18"/>
                <w:color w:val="0000FF"/>
                <w:w w:val="90"/>
              </w:rPr>
            </w:pPr>
            <w:hyperlink r:id="rId187">
              <w:r>
                <w:rPr>
                  <w:rFonts w:ascii="Arial" w:cs="Arial" w:eastAsia="Arial" w:hAnsi="Arial"/>
                  <w:sz w:val="18"/>
                  <w:szCs w:val="18"/>
                  <w:color w:val="0000FF"/>
                  <w:w w:val="90"/>
                </w:rPr>
                <w:t>Trust Indenture made as of March 31, 2020 between Columbia Care Inc. and Odyssey Trust Company (incorporated by reference to</w:t>
              </w:r>
            </w:hyperlink>
          </w:p>
        </w:tc>
        <w:tc>
          <w:tcPr>
            <w:tcW w:w="340" w:type="dxa"/>
            <w:vAlign w:val="bottom"/>
            <w:gridSpan w:val="5"/>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Exhibit 4.3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8"/>
                <w:szCs w:val="18"/>
                <w:color w:val="auto"/>
              </w:rPr>
            </w:pPr>
          </w:p>
        </w:tc>
        <w:tc>
          <w:tcPr>
            <w:tcW w:w="9900" w:type="dxa"/>
            <w:vAlign w:val="bottom"/>
            <w:tcBorders>
              <w:bottom w:val="single" w:sz="8" w:color="0000FF"/>
            </w:tcBorders>
            <w:gridSpan w:val="15"/>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Warrant Indenture dated March 31, 2020 between Columbia Care Inc. and Odyssey Trust Company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4.</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EE"/>
            </w:tcBorders>
            <w:gridSpan w:val="6"/>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18"/>
                <w:szCs w:val="18"/>
                <w:color w:val="auto"/>
              </w:rPr>
            </w:pPr>
          </w:p>
        </w:tc>
        <w:tc>
          <w:tcPr>
            <w:tcW w:w="9440" w:type="dxa"/>
            <w:vAlign w:val="bottom"/>
            <w:tcBorders>
              <w:bottom w:val="single" w:sz="8" w:color="0000FF"/>
            </w:tcBorders>
            <w:gridSpan w:val="9"/>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Trust Indenture made as of May 14, 2020 between Columbia Care Inc. and Odyssey Trust Company (incorporated by reference to</w:t>
              </w:r>
            </w:hyperlink>
          </w:p>
        </w:tc>
        <w:tc>
          <w:tcPr>
            <w:tcW w:w="480" w:type="dxa"/>
            <w:vAlign w:val="bottom"/>
            <w:gridSpan w:val="7"/>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Exhibit 4.5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900" w:type="dxa"/>
            <w:vAlign w:val="bottom"/>
            <w:gridSpan w:val="7"/>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8"/>
                <w:szCs w:val="18"/>
                <w:color w:val="auto"/>
              </w:rPr>
            </w:pPr>
          </w:p>
        </w:tc>
        <w:tc>
          <w:tcPr>
            <w:tcW w:w="9820" w:type="dxa"/>
            <w:vAlign w:val="bottom"/>
            <w:tcBorders>
              <w:bottom w:val="single" w:sz="8" w:color="0000FF"/>
            </w:tcBorders>
            <w:gridSpan w:val="14"/>
          </w:tcPr>
          <w:p>
            <w:pPr>
              <w:spacing w:after="0"/>
              <w:rPr>
                <w:rFonts w:ascii="Arial" w:cs="Arial" w:eastAsia="Arial" w:hAnsi="Arial"/>
                <w:sz w:val="18"/>
                <w:szCs w:val="18"/>
                <w:color w:val="0000FF"/>
                <w:w w:val="91"/>
              </w:rPr>
            </w:pPr>
            <w:hyperlink r:id="rId190">
              <w:r>
                <w:rPr>
                  <w:rFonts w:ascii="Arial" w:cs="Arial" w:eastAsia="Arial" w:hAnsi="Arial"/>
                  <w:sz w:val="18"/>
                  <w:szCs w:val="18"/>
                  <w:color w:val="0000FF"/>
                  <w:w w:val="91"/>
                </w:rPr>
                <w:t>Warrant Indenture dated May 14, 2020 between Columbia Care Inc. and Odyssey Trust Company (incorporated by reference to Exhibit</w:t>
              </w:r>
            </w:hyperlink>
          </w:p>
        </w:tc>
        <w:tc>
          <w:tcPr>
            <w:tcW w:w="100" w:type="dxa"/>
            <w:vAlign w:val="bottom"/>
            <w:gridSpan w:val="2"/>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4.</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466"/>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tcBorders>
              <w:top w:val="single" w:sz="8" w:color="0000FF"/>
            </w:tcBorders>
            <w:gridSpan w:val="3"/>
          </w:tcPr>
          <w:p>
            <w:pPr>
              <w:ind w:left="4220"/>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tbl>
      <w:tblPr>
        <w:tblLayout w:type="fixed"/>
        <w:tblInd w:w="220" w:type="dxa"/>
        <w:tblCellMar>
          <w:top w:w="0" w:type="dxa"/>
          <w:left w:w="0" w:type="dxa"/>
          <w:bottom w:w="0" w:type="dxa"/>
          <w:right w:w="0" w:type="dxa"/>
        </w:tblCellMar>
      </w:tblPr>
      <w:tr>
        <w:trPr>
          <w:trHeight w:val="20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4.7</w:t>
            </w:r>
          </w:p>
        </w:tc>
        <w:tc>
          <w:tcPr>
            <w:tcW w:w="9880" w:type="dxa"/>
            <w:vAlign w:val="bottom"/>
            <w:gridSpan w:val="15"/>
          </w:tcPr>
          <w:p>
            <w:pPr>
              <w:spacing w:after="0"/>
              <w:rPr>
                <w:rFonts w:ascii="Arial" w:cs="Arial" w:eastAsia="Arial" w:hAnsi="Arial"/>
                <w:sz w:val="18"/>
                <w:szCs w:val="18"/>
                <w:color w:val="0000FF"/>
                <w:w w:val="93"/>
              </w:rPr>
            </w:pPr>
            <w:hyperlink r:id="rId193">
              <w:r>
                <w:rPr>
                  <w:rFonts w:ascii="Arial" w:cs="Arial" w:eastAsia="Arial" w:hAnsi="Arial"/>
                  <w:sz w:val="18"/>
                  <w:szCs w:val="18"/>
                  <w:color w:val="0000FF"/>
                  <w:w w:val="93"/>
                </w:rPr>
                <w:t>First Supplemental Indentures dated as of June 19, 2020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rPr>
            </w:pPr>
            <w:hyperlink r:id="rId193">
              <w:r>
                <w:rPr>
                  <w:rFonts w:ascii="Arial" w:cs="Arial" w:eastAsia="Arial" w:hAnsi="Arial"/>
                  <w:sz w:val="18"/>
                  <w:szCs w:val="18"/>
                  <w:color w:val="0000FF"/>
                </w:rPr>
                <w:t>reference to Exhibit 4.7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4.8</w:t>
            </w:r>
          </w:p>
        </w:tc>
        <w:tc>
          <w:tcPr>
            <w:tcW w:w="9880" w:type="dxa"/>
            <w:vAlign w:val="bottom"/>
            <w:gridSpan w:val="15"/>
          </w:tcPr>
          <w:p>
            <w:pPr>
              <w:spacing w:after="0"/>
              <w:rPr>
                <w:rFonts w:ascii="Arial" w:cs="Arial" w:eastAsia="Arial" w:hAnsi="Arial"/>
                <w:sz w:val="18"/>
                <w:szCs w:val="18"/>
                <w:color w:val="0000FF"/>
                <w:w w:val="92"/>
              </w:rPr>
            </w:pPr>
            <w:hyperlink r:id="rId194">
              <w:r>
                <w:rPr>
                  <w:rFonts w:ascii="Arial" w:cs="Arial" w:eastAsia="Arial" w:hAnsi="Arial"/>
                  <w:sz w:val="18"/>
                  <w:szCs w:val="18"/>
                  <w:color w:val="0000FF"/>
                  <w:w w:val="92"/>
                </w:rPr>
                <w:t>Warrant Indenture dated July 2, 2020 between Columbia Care Inc. and Odyssey Trust Company (incorporated by reference to Exhibit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4.</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4.9</w:t>
            </w:r>
          </w:p>
        </w:tc>
        <w:tc>
          <w:tcPr>
            <w:tcW w:w="9880" w:type="dxa"/>
            <w:vAlign w:val="bottom"/>
            <w:gridSpan w:val="15"/>
          </w:tcPr>
          <w:p>
            <w:pPr>
              <w:spacing w:after="0"/>
              <w:rPr>
                <w:rFonts w:ascii="Arial" w:cs="Arial" w:eastAsia="Arial" w:hAnsi="Arial"/>
                <w:sz w:val="18"/>
                <w:szCs w:val="18"/>
                <w:color w:val="0000FF"/>
                <w:w w:val="94"/>
              </w:rPr>
            </w:pPr>
            <w:hyperlink r:id="rId195">
              <w:r>
                <w:rPr>
                  <w:rFonts w:ascii="Arial" w:cs="Arial" w:eastAsia="Arial" w:hAnsi="Arial"/>
                  <w:sz w:val="18"/>
                  <w:szCs w:val="18"/>
                  <w:color w:val="0000FF"/>
                  <w:w w:val="94"/>
                </w:rPr>
                <w:t>Warrant Indenture dated October 29, 2020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Exhibit 4.9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4.10</w:t>
            </w:r>
          </w:p>
        </w:tc>
        <w:tc>
          <w:tcPr>
            <w:tcW w:w="9880" w:type="dxa"/>
            <w:vAlign w:val="bottom"/>
            <w:gridSpan w:val="15"/>
          </w:tcPr>
          <w:p>
            <w:pPr>
              <w:spacing w:after="0"/>
              <w:rPr>
                <w:rFonts w:ascii="Arial" w:cs="Arial" w:eastAsia="Arial" w:hAnsi="Arial"/>
                <w:sz w:val="18"/>
                <w:szCs w:val="18"/>
                <w:color w:val="0000FF"/>
                <w:w w:val="95"/>
              </w:rPr>
            </w:pPr>
            <w:hyperlink r:id="rId196">
              <w:r>
                <w:rPr>
                  <w:rFonts w:ascii="Arial" w:cs="Arial" w:eastAsia="Arial" w:hAnsi="Arial"/>
                  <w:sz w:val="18"/>
                  <w:szCs w:val="18"/>
                  <w:color w:val="0000FF"/>
                  <w:w w:val="95"/>
                </w:rPr>
                <w:t>Second Supplemental Indenture dated June 29, 2021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reference to Exhibit 4.10 of the Registrant’s amended Registration Statement on Form 10, filed with the SEC on January 28,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4.11</w:t>
            </w:r>
          </w:p>
        </w:tc>
        <w:tc>
          <w:tcPr>
            <w:tcW w:w="9880" w:type="dxa"/>
            <w:vAlign w:val="bottom"/>
            <w:gridSpan w:val="15"/>
          </w:tcPr>
          <w:p>
            <w:pPr>
              <w:spacing w:after="0"/>
              <w:rPr>
                <w:rFonts w:ascii="Arial" w:cs="Arial" w:eastAsia="Arial" w:hAnsi="Arial"/>
                <w:sz w:val="18"/>
                <w:szCs w:val="18"/>
                <w:color w:val="0000FF"/>
                <w:w w:val="95"/>
              </w:rPr>
            </w:pPr>
            <w:hyperlink r:id="rId197">
              <w:r>
                <w:rPr>
                  <w:rFonts w:ascii="Arial" w:cs="Arial" w:eastAsia="Arial" w:hAnsi="Arial"/>
                  <w:sz w:val="18"/>
                  <w:szCs w:val="18"/>
                  <w:color w:val="0000FF"/>
                  <w:w w:val="95"/>
                </w:rPr>
                <w:t>Third Supplemental Indenture dated February 2, 2022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w w:val="94"/>
              </w:rPr>
            </w:pPr>
            <w:hyperlink r:id="rId197">
              <w:r>
                <w:rPr>
                  <w:rFonts w:ascii="Arial" w:cs="Arial" w:eastAsia="Arial" w:hAnsi="Arial"/>
                  <w:sz w:val="18"/>
                  <w:szCs w:val="18"/>
                  <w:color w:val="0000FF"/>
                  <w:w w:val="94"/>
                </w:rPr>
                <w:t>reference to Exhibit 4.11 of the Registrant’s amended Registration Statement on Form 10, filed with the SEC on February 15,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4.12</w:t>
            </w:r>
          </w:p>
        </w:tc>
        <w:tc>
          <w:tcPr>
            <w:tcW w:w="9880" w:type="dxa"/>
            <w:vAlign w:val="bottom"/>
            <w:gridSpan w:val="15"/>
          </w:tcPr>
          <w:p>
            <w:pPr>
              <w:spacing w:after="0"/>
              <w:rPr>
                <w:rFonts w:ascii="Arial" w:cs="Arial" w:eastAsia="Arial" w:hAnsi="Arial"/>
                <w:sz w:val="18"/>
                <w:szCs w:val="18"/>
                <w:color w:val="0000FF"/>
                <w:w w:val="94"/>
              </w:rPr>
            </w:pPr>
            <w:hyperlink r:id="rId198">
              <w:r>
                <w:rPr>
                  <w:rFonts w:ascii="Arial" w:cs="Arial" w:eastAsia="Arial" w:hAnsi="Arial"/>
                  <w:sz w:val="18"/>
                  <w:szCs w:val="18"/>
                  <w:color w:val="0000FF"/>
                  <w:w w:val="94"/>
                </w:rPr>
                <w:t>Fourth Supplemental Indenture dated February 3, 2022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w w:val="94"/>
              </w:rPr>
            </w:pPr>
            <w:hyperlink r:id="rId198">
              <w:r>
                <w:rPr>
                  <w:rFonts w:ascii="Arial" w:cs="Arial" w:eastAsia="Arial" w:hAnsi="Arial"/>
                  <w:sz w:val="18"/>
                  <w:szCs w:val="18"/>
                  <w:color w:val="0000FF"/>
                  <w:w w:val="94"/>
                </w:rPr>
                <w:t>reference to Exhibit 4.12 of the Registrant’s amended Registration Statement on Form 10, filed with the SEC on February 15,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4.13</w:t>
            </w:r>
          </w:p>
        </w:tc>
        <w:tc>
          <w:tcPr>
            <w:tcW w:w="9880" w:type="dxa"/>
            <w:vAlign w:val="bottom"/>
            <w:gridSpan w:val="15"/>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Fifth Supplemental Indenture dated May 5, 2022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Exhibit 4.1 of the Registrant’s Form 8-K, filed with the SEC on May 11,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4.14</w:t>
            </w:r>
          </w:p>
        </w:tc>
        <w:tc>
          <w:tcPr>
            <w:tcW w:w="9880" w:type="dxa"/>
            <w:vAlign w:val="bottom"/>
            <w:gridSpan w:val="15"/>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Extension Notice dated March 28, 2023 to Odyssey Trust Company (incorporated by reference to Exhibit 4.14 of the Registrant’s Annual</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Report on Form 10-K for the fiscal year ended December 31, 2022, filed with the SEC on March 29, 2023)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w:t>
            </w:r>
          </w:p>
        </w:tc>
        <w:tc>
          <w:tcPr>
            <w:tcW w:w="9880" w:type="dxa"/>
            <w:vAlign w:val="bottom"/>
            <w:gridSpan w:val="15"/>
          </w:tcPr>
          <w:p>
            <w:pPr>
              <w:spacing w:after="0"/>
              <w:rPr>
                <w:rFonts w:ascii="Arial" w:cs="Arial" w:eastAsia="Arial" w:hAnsi="Arial"/>
                <w:sz w:val="18"/>
                <w:szCs w:val="18"/>
                <w:color w:val="0000FF"/>
                <w:w w:val="92"/>
              </w:rPr>
            </w:pPr>
            <w:hyperlink r:id="rId201">
              <w:r>
                <w:rPr>
                  <w:rFonts w:ascii="Arial" w:cs="Arial" w:eastAsia="Arial" w:hAnsi="Arial"/>
                  <w:sz w:val="18"/>
                  <w:szCs w:val="18"/>
                  <w:color w:val="0000FF"/>
                  <w:w w:val="92"/>
                </w:rPr>
                <w:t>Termination Agreement, dated July 31, 2023, between Cresco Labs Inc. and Columbia Care Inc. (incorporated by reference to Exhibit</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Registrant's Current Report on Form 8-K, filed with the SEC on August 3, 2023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31.1*</w:t>
            </w:r>
          </w:p>
        </w:tc>
        <w:tc>
          <w:tcPr>
            <w:tcW w:w="9880" w:type="dxa"/>
            <w:vAlign w:val="bottom"/>
            <w:gridSpan w:val="15"/>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1"/>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31.2*</w:t>
            </w:r>
          </w:p>
        </w:tc>
        <w:tc>
          <w:tcPr>
            <w:tcW w:w="9880" w:type="dxa"/>
            <w:vAlign w:val="bottom"/>
            <w:gridSpan w:val="15"/>
          </w:tcPr>
          <w:p>
            <w:pPr>
              <w:spacing w:after="0"/>
              <w:rPr>
                <w:sz w:val="20"/>
                <w:szCs w:val="20"/>
                <w:color w:val="auto"/>
              </w:rPr>
            </w:pPr>
            <w:r>
              <w:rPr>
                <w:rFonts w:ascii="Arial" w:cs="Arial" w:eastAsia="Arial" w:hAnsi="Arial"/>
                <w:sz w:val="18"/>
                <w:szCs w:val="18"/>
                <w:color w:val="0000FF"/>
                <w:w w:val="94"/>
              </w:rPr>
              <w:t>Certification of Principal Financial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32.1‡</w:t>
            </w:r>
          </w:p>
        </w:tc>
        <w:tc>
          <w:tcPr>
            <w:tcW w:w="9880" w:type="dxa"/>
            <w:vAlign w:val="bottom"/>
            <w:gridSpan w:val="15"/>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32.2‡</w:t>
            </w:r>
          </w:p>
        </w:tc>
        <w:tc>
          <w:tcPr>
            <w:tcW w:w="9880" w:type="dxa"/>
            <w:vAlign w:val="bottom"/>
            <w:gridSpan w:val="15"/>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540" w:type="dxa"/>
            <w:vAlign w:val="bottom"/>
            <w:gridSpan w:val="1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r>
      <w:tr>
        <w:trPr>
          <w:trHeight w:val="236"/>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101.INS*</w:t>
            </w:r>
          </w:p>
        </w:tc>
        <w:tc>
          <w:tcPr>
            <w:tcW w:w="9880" w:type="dxa"/>
            <w:vAlign w:val="bottom"/>
            <w:gridSpan w:val="1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29"/>
        </w:trPr>
        <w:tc>
          <w:tcPr>
            <w:tcW w:w="1120" w:type="dxa"/>
            <w:vAlign w:val="bottom"/>
          </w:tcPr>
          <w:p>
            <w:pPr>
              <w:spacing w:after="0"/>
              <w:rPr>
                <w:sz w:val="19"/>
                <w:szCs w:val="19"/>
                <w:color w:val="auto"/>
              </w:rPr>
            </w:pPr>
          </w:p>
        </w:tc>
        <w:tc>
          <w:tcPr>
            <w:tcW w:w="988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101.SCH*</w:t>
            </w:r>
          </w:p>
        </w:tc>
        <w:tc>
          <w:tcPr>
            <w:tcW w:w="98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8"/>
              </w:rPr>
              <w:t>101.CAL*</w:t>
            </w:r>
          </w:p>
        </w:tc>
        <w:tc>
          <w:tcPr>
            <w:tcW w:w="98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8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9"/>
              </w:rPr>
              <w:t>101.LAB*</w:t>
            </w:r>
          </w:p>
        </w:tc>
        <w:tc>
          <w:tcPr>
            <w:tcW w:w="98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101.PRE*</w:t>
            </w:r>
          </w:p>
        </w:tc>
        <w:tc>
          <w:tcPr>
            <w:tcW w:w="98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7"/>
              </w:rPr>
              <w:t>104*</w:t>
            </w:r>
          </w:p>
        </w:tc>
        <w:tc>
          <w:tcPr>
            <w:tcW w:w="988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520" w:hanging="512"/>
        <w:spacing w:after="0" w:line="263" w:lineRule="auto"/>
        <w:tabs>
          <w:tab w:leader="none" w:pos="1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38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COLUMBIA CARE INC</w:t>
            </w:r>
          </w:p>
        </w:tc>
      </w:tr>
      <w:tr>
        <w:trPr>
          <w:trHeight w:val="472"/>
        </w:trPr>
        <w:tc>
          <w:tcPr>
            <w:tcW w:w="3560" w:type="dxa"/>
            <w:vAlign w:val="bottom"/>
          </w:tcPr>
          <w:p>
            <w:pPr>
              <w:ind w:left="20"/>
              <w:spacing w:after="0"/>
              <w:rPr>
                <w:sz w:val="20"/>
                <w:szCs w:val="20"/>
                <w:color w:val="auto"/>
              </w:rPr>
            </w:pPr>
            <w:r>
              <w:rPr>
                <w:rFonts w:ascii="Arial" w:cs="Arial" w:eastAsia="Arial" w:hAnsi="Arial"/>
                <w:sz w:val="18"/>
                <w:szCs w:val="18"/>
                <w:color w:val="auto"/>
              </w:rPr>
              <w:t>Date: August 14, 2023</w:t>
            </w:r>
          </w:p>
        </w:tc>
        <w:tc>
          <w:tcPr>
            <w:tcW w:w="2260" w:type="dxa"/>
            <w:vAlign w:val="bottom"/>
          </w:tcPr>
          <w:p>
            <w:pPr>
              <w:ind w:left="192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/s/ Nicholas Vita</w:t>
            </w:r>
          </w:p>
        </w:tc>
      </w:tr>
      <w:tr>
        <w:trPr>
          <w:trHeight w:val="205"/>
        </w:trPr>
        <w:tc>
          <w:tcPr>
            <w:tcW w:w="3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20" w:type="dxa"/>
            <w:vAlign w:val="bottom"/>
          </w:tcPr>
          <w:p>
            <w:pPr>
              <w:spacing w:after="0" w:line="205" w:lineRule="exact"/>
              <w:rPr>
                <w:sz w:val="20"/>
                <w:szCs w:val="20"/>
                <w:color w:val="auto"/>
              </w:rPr>
            </w:pPr>
            <w:r>
              <w:rPr>
                <w:rFonts w:ascii="Arial" w:cs="Arial" w:eastAsia="Arial" w:hAnsi="Arial"/>
                <w:sz w:val="18"/>
                <w:szCs w:val="18"/>
                <w:b w:val="1"/>
                <w:bCs w:val="1"/>
                <w:color w:val="auto"/>
              </w:rPr>
              <w:t>Nicholas Vita</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Chief Executive Officer and Director</w:t>
            </w:r>
          </w:p>
        </w:tc>
      </w:tr>
      <w:tr>
        <w:trPr>
          <w:trHeight w:val="473"/>
        </w:trPr>
        <w:tc>
          <w:tcPr>
            <w:tcW w:w="3560" w:type="dxa"/>
            <w:vAlign w:val="bottom"/>
          </w:tcPr>
          <w:p>
            <w:pPr>
              <w:ind w:left="20"/>
              <w:spacing w:after="0"/>
              <w:rPr>
                <w:sz w:val="20"/>
                <w:szCs w:val="20"/>
                <w:color w:val="auto"/>
              </w:rPr>
            </w:pPr>
            <w:r>
              <w:rPr>
                <w:rFonts w:ascii="Arial" w:cs="Arial" w:eastAsia="Arial" w:hAnsi="Arial"/>
                <w:sz w:val="18"/>
                <w:szCs w:val="18"/>
                <w:color w:val="auto"/>
              </w:rPr>
              <w:t>Date: August 14, 2023</w:t>
            </w:r>
          </w:p>
        </w:tc>
        <w:tc>
          <w:tcPr>
            <w:tcW w:w="2260" w:type="dxa"/>
            <w:vAlign w:val="bottom"/>
          </w:tcPr>
          <w:p>
            <w:pPr>
              <w:ind w:left="192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/s/ Derek Watson</w:t>
            </w:r>
          </w:p>
        </w:tc>
      </w:tr>
      <w:tr>
        <w:trPr>
          <w:trHeight w:val="205"/>
        </w:trPr>
        <w:tc>
          <w:tcPr>
            <w:tcW w:w="3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20" w:type="dxa"/>
            <w:vAlign w:val="bottom"/>
          </w:tcPr>
          <w:p>
            <w:pPr>
              <w:spacing w:after="0" w:line="205" w:lineRule="exact"/>
              <w:rPr>
                <w:sz w:val="20"/>
                <w:szCs w:val="20"/>
                <w:color w:val="auto"/>
              </w:rPr>
            </w:pPr>
            <w:r>
              <w:rPr>
                <w:rFonts w:ascii="Arial" w:cs="Arial" w:eastAsia="Arial" w:hAnsi="Arial"/>
                <w:sz w:val="18"/>
                <w:szCs w:val="18"/>
                <w:b w:val="1"/>
                <w:bCs w:val="1"/>
                <w:color w:val="auto"/>
              </w:rPr>
              <w:t>Derek Watson</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662"/>
        </w:trPr>
        <w:tc>
          <w:tcPr>
            <w:tcW w:w="3560" w:type="dxa"/>
            <w:vAlign w:val="bottom"/>
          </w:tcPr>
          <w:p>
            <w:pPr>
              <w:spacing w:after="0"/>
              <w:rPr>
                <w:sz w:val="24"/>
                <w:szCs w:val="24"/>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54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Nicholas Vita</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Columbia Care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400" w:val="left"/>
          <w:tab w:leader="none" w:pos="796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6"/>
          <w:szCs w:val="16"/>
          <w:b w:val="1"/>
          <w:bCs w:val="1"/>
          <w:color w:val="auto"/>
        </w:rPr>
        <w:t>Nicholas Vita</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Derek Watson</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of Columbia Care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400" w:val="left"/>
          <w:tab w:leader="none" w:pos="79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4"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Derek Watson</w:t>
      </w:r>
    </w:p>
    <w:p>
      <w:pPr>
        <w:spacing w:after="0" w:line="41"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560" w:val="left"/>
          <w:tab w:leader="none" w:pos="800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Nicholas Vita</w:t>
      </w:r>
    </w:p>
    <w:p>
      <w:pPr>
        <w:spacing w:after="0" w:line="2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440" w:val="left"/>
          <w:tab w:leader="none" w:pos="79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Derek Watson</w:t>
      </w:r>
    </w:p>
    <w:p>
      <w:pPr>
        <w:spacing w:after="0" w:line="2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lowerRoman"/>
      <w:start w:val="2"/>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lowerLetter"/>
      <w:start w:val="3"/>
    </w:lvl>
  </w:abstractNum>
  <w:abstractNum w:abstractNumId="11">
    <w:nsid w:val="2443A858"/>
    <w:multiLevelType w:val="hybridMultilevel"/>
    <w:lvl w:ilvl="0">
      <w:lvlJc w:val="left"/>
      <w:lvlText w:val="%1)"/>
      <w:numFmt w:val="lowerLetter"/>
      <w:start w:val="4"/>
    </w:lvl>
  </w:abstractNum>
  <w:abstractNum w:abstractNumId="12">
    <w:nsid w:val="2D1D5AE9"/>
    <w:multiLevelType w:val="hybridMultilevel"/>
    <w:lvl w:ilvl="0">
      <w:lvlJc w:val="left"/>
      <w:lvlText w:val="%1)"/>
      <w:numFmt w:val="lowerLetter"/>
      <w:start w:val="5"/>
    </w:lvl>
  </w:abstractNum>
  <w:abstractNum w:abstractNumId="13">
    <w:nsid w:val="6763845E"/>
    <w:multiLevelType w:val="hybridMultilevel"/>
    <w:lvl w:ilvl="0">
      <w:lvlJc w:val="left"/>
      <w:lvlText w:val="%1)"/>
      <w:numFmt w:val="lowerLetter"/>
      <w:start w:val="6"/>
    </w:lvl>
  </w:abstractNum>
  <w:abstractNum w:abstractNumId="14">
    <w:nsid w:val="75A2A8D4"/>
    <w:multiLevelType w:val="hybridMultilevel"/>
    <w:lvl w:ilvl="0">
      <w:lvlJc w:val="left"/>
      <w:lvlText w:val="%1."/>
      <w:numFmt w:val="decimal"/>
      <w:start w:val="6"/>
    </w:lvl>
  </w:abstractNum>
  <w:abstractNum w:abstractNumId="15">
    <w:nsid w:val="8EDBDAB"/>
    <w:multiLevelType w:val="hybridMultilevel"/>
    <w:lvl w:ilvl="0">
      <w:lvlJc w:val="left"/>
      <w:lvlText w:val="%1."/>
      <w:numFmt w:val="decimal"/>
      <w:start w:val="7"/>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0"/>
    </w:lvl>
    <w:lvl w:ilvl="1">
      <w:lvlJc w:val="left"/>
      <w:lvlText w:val="•"/>
      <w:numFmt w:val="bullet"/>
      <w:start w:val="1"/>
    </w:lvl>
  </w:abstractNum>
  <w:abstractNum w:abstractNumId="19">
    <w:nsid w:val="189A769B"/>
    <w:multiLevelType w:val="hybridMultilevel"/>
    <w:lvl w:ilvl="0">
      <w:lvlJc w:val="left"/>
      <w:lvlText w:val="%1."/>
      <w:numFmt w:val="decimal"/>
      <w:start w:val="12"/>
    </w:lvl>
  </w:abstractNum>
  <w:abstractNum w:abstractNumId="20">
    <w:nsid w:val="54E49EB4"/>
    <w:multiLevelType w:val="hybridMultilevel"/>
    <w:lvl w:ilvl="0">
      <w:lvlJc w:val="left"/>
      <w:lvlText w:val="%1."/>
      <w:numFmt w:val="decimal"/>
      <w:start w:val="13"/>
    </w:lvl>
  </w:abstractNum>
  <w:abstractNum w:abstractNumId="21">
    <w:nsid w:val="71F32454"/>
    <w:multiLevelType w:val="hybridMultilevel"/>
    <w:lvl w:ilvl="0">
      <w:lvlJc w:val="left"/>
      <w:lvlText w:val="%1."/>
      <w:numFmt w:val="decimal"/>
      <w:start w:val="15"/>
    </w:lvl>
  </w:abstractNum>
  <w:abstractNum w:abstractNumId="22">
    <w:nsid w:val="2CA88611"/>
    <w:multiLevelType w:val="hybridMultilevel"/>
    <w:lvl w:ilvl="0">
      <w:lvlJc w:val="left"/>
      <w:lvlText w:val="%1."/>
      <w:numFmt w:val="decimal"/>
      <w:start w:val="16"/>
    </w:lvl>
  </w:abstractNum>
  <w:abstractNum w:abstractNumId="23">
    <w:nsid w:val="836C40E"/>
    <w:multiLevelType w:val="hybridMultilevel"/>
    <w:lvl w:ilvl="0">
      <w:lvlJc w:val="left"/>
      <w:lvlText w:val="%1."/>
      <w:numFmt w:val="decimal"/>
      <w:start w:val="17"/>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182" Type="http://schemas.openxmlformats.org/officeDocument/2006/relationships/hyperlink" Target="https://www.sec.gov/Archives/edgar/data/1776738/000119312522088069/d292116dex21.htm" TargetMode="External"/><Relationship Id="rId183" Type="http://schemas.openxmlformats.org/officeDocument/2006/relationships/hyperlink" Target="https://www.sec.gov/ix?doc=/Archives/edgar/data/0001776738/000119312523054004/d469358d8k.htm" TargetMode="External"/><Relationship Id="rId184" Type="http://schemas.openxmlformats.org/officeDocument/2006/relationships/hyperlink" Target="https://www.sec.gov/Archives/edgar/data/1776738/000119312521356939/d252333dex31.htm" TargetMode="External"/><Relationship Id="rId185" Type="http://schemas.openxmlformats.org/officeDocument/2006/relationships/hyperlink" Target="https://www.sec.gov/Archives/edgar/data/1776738/000119312521356939/d252333dex41.htm" TargetMode="External"/><Relationship Id="rId186" Type="http://schemas.openxmlformats.org/officeDocument/2006/relationships/hyperlink" Target="https://www.sec.gov/Archives/edgar/data/1776738/000119312521356939/d252333dex42.htm" TargetMode="External"/><Relationship Id="rId187" Type="http://schemas.openxmlformats.org/officeDocument/2006/relationships/hyperlink" Target="https://www.sec.gov/Archives/edgar/data/1776738/000119312521356939/d252333dex43.htm" TargetMode="External"/><Relationship Id="rId188" Type="http://schemas.openxmlformats.org/officeDocument/2006/relationships/hyperlink" Target="https://www.sec.gov/Archives/edgar/data/1776738/000119312521356939/d252333dex44.htm" TargetMode="External"/><Relationship Id="rId189" Type="http://schemas.openxmlformats.org/officeDocument/2006/relationships/hyperlink" Target="https://www.sec.gov/Archives/edgar/data/1776738/000119312521356939/d252333dex45.htm" TargetMode="External"/><Relationship Id="rId190" Type="http://schemas.openxmlformats.org/officeDocument/2006/relationships/hyperlink" Target="https://www.sec.gov/Archives/edgar/data/1776738/000119312521356939/d252333dex46.htm" TargetMode="External"/><Relationship Id="rId193" Type="http://schemas.openxmlformats.org/officeDocument/2006/relationships/hyperlink" Target="https://www.sec.gov/Archives/edgar/data/1776738/000119312521356939/d252333dex47.htm" TargetMode="External"/><Relationship Id="rId194" Type="http://schemas.openxmlformats.org/officeDocument/2006/relationships/hyperlink" Target="https://www.sec.gov/Archives/edgar/data/1776738/000119312521356939/d252333dex48.htm" TargetMode="External"/><Relationship Id="rId195" Type="http://schemas.openxmlformats.org/officeDocument/2006/relationships/hyperlink" Target="https://www.sec.gov/Archives/edgar/data/1776738/000119312521356939/d252333dex49.htm" TargetMode="External"/><Relationship Id="rId196" Type="http://schemas.openxmlformats.org/officeDocument/2006/relationships/hyperlink" Target="https://www.sec.gov/Archives/edgar/data/1776738/000119312522021793/d252333dex410.htm" TargetMode="External"/><Relationship Id="rId197" Type="http://schemas.openxmlformats.org/officeDocument/2006/relationships/hyperlink" Target="https://www.sec.gov/Archives/edgar/data/1776738/000119312522043452/d252333dex411.htm" TargetMode="External"/><Relationship Id="rId198" Type="http://schemas.openxmlformats.org/officeDocument/2006/relationships/hyperlink" Target="https://www.sec.gov/Archives/edgar/data/1776738/000119312522043452/d252333dex412.htm" TargetMode="External"/><Relationship Id="rId199" Type="http://schemas.openxmlformats.org/officeDocument/2006/relationships/hyperlink" Target="https://www.sec.gov/Archives/edgar/data/1776738/000119312522147204/d315456dex41.htm" TargetMode="External"/><Relationship Id="rId200" Type="http://schemas.openxmlformats.org/officeDocument/2006/relationships/hyperlink" Target="https://www.sec.gov/Archives/edgar/data/1776738/000095017023010606/cchwf-ex4_14.htm" TargetMode="External"/><Relationship Id="rId201" Type="http://schemas.openxmlformats.org/officeDocument/2006/relationships/hyperlink" Target="https://www.sec.gov/ix?doc=/Archives/edgar/data/1776738/000119312523202929/d44189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2023-08-14T13:51:24Z</dcterms:created>
  <dcterms:modified xsi:type="dcterms:W3CDTF">2023-08-14T13:51:24Z</dcterms:modified>
</cp:coreProperties>
</file>