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3820" w:right="1640" w:hanging="3799"/>
        <w:spacing w:after="0" w:line="383" w:lineRule="auto"/>
        <w:tabs>
          <w:tab w:leader="none" w:pos="50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160" w:right="1620" w:hanging="4139"/>
        <w:spacing w:after="0" w:line="383" w:lineRule="auto"/>
        <w:tabs>
          <w:tab w:leader="none" w:pos="49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__to 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180340</wp:posOffset>
            </wp:positionV>
            <wp:extent cx="144843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3"/>
              </w:rPr>
              <w:t>British Columbia</w:t>
            </w:r>
          </w:p>
        </w:tc>
        <w:tc>
          <w:tcPr>
            <w:tcW w:w="1540" w:type="dxa"/>
            <w:vAlign w:val="bottom"/>
          </w:tcPr>
          <w:p>
            <w:pPr>
              <w:spacing w:after="0"/>
              <w:rPr>
                <w:sz w:val="20"/>
                <w:szCs w:val="20"/>
                <w:color w:val="auto"/>
              </w:rPr>
            </w:pPr>
          </w:p>
        </w:tc>
        <w:tc>
          <w:tcPr>
            <w:tcW w:w="4500" w:type="dxa"/>
            <w:vAlign w:val="bottom"/>
            <w:gridSpan w:val="2"/>
          </w:tcPr>
          <w:p>
            <w:pPr>
              <w:jc w:val="right"/>
              <w:ind w:right="2290"/>
              <w:spacing w:after="0"/>
              <w:rPr>
                <w:sz w:val="20"/>
                <w:szCs w:val="20"/>
                <w:color w:val="auto"/>
              </w:rPr>
            </w:pPr>
            <w:r>
              <w:rPr>
                <w:rFonts w:ascii="Arial" w:cs="Arial" w:eastAsia="Arial" w:hAnsi="Arial"/>
                <w:sz w:val="18"/>
                <w:szCs w:val="18"/>
                <w:b w:val="1"/>
                <w:bCs w:val="1"/>
                <w:color w:val="auto"/>
              </w:rPr>
              <w:t>98-1488978</w:t>
            </w:r>
          </w:p>
        </w:tc>
      </w:tr>
      <w:tr>
        <w:trPr>
          <w:trHeight w:val="225"/>
        </w:trPr>
        <w:tc>
          <w:tcPr>
            <w:tcW w:w="52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0"/>
              </w:rPr>
              <w:t>(State or other jurisdiction of</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4"/>
              </w:rPr>
              <w:t>(I.R.S. Employer</w:t>
            </w:r>
          </w:p>
        </w:tc>
      </w:tr>
      <w:tr>
        <w:trPr>
          <w:trHeight w:val="248"/>
        </w:trPr>
        <w:tc>
          <w:tcPr>
            <w:tcW w:w="52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1"/>
              </w:rPr>
              <w:t>incorporation or organization)</w:t>
            </w: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3"/>
              </w:rPr>
              <w:t>Identification No.)</w:t>
            </w:r>
          </w:p>
        </w:tc>
      </w:tr>
      <w:tr>
        <w:trPr>
          <w:trHeight w:val="225"/>
        </w:trPr>
        <w:tc>
          <w:tcPr>
            <w:tcW w:w="5200" w:type="dxa"/>
            <w:vAlign w:val="bottom"/>
            <w:gridSpan w:val="3"/>
          </w:tcPr>
          <w:p>
            <w:pPr>
              <w:ind w:left="1880"/>
              <w:spacing w:after="0"/>
              <w:rPr>
                <w:sz w:val="20"/>
                <w:szCs w:val="20"/>
                <w:color w:val="auto"/>
              </w:rPr>
            </w:pPr>
            <w:r>
              <w:rPr>
                <w:rFonts w:ascii="Arial" w:cs="Arial" w:eastAsia="Arial" w:hAnsi="Arial"/>
                <w:sz w:val="18"/>
                <w:szCs w:val="18"/>
                <w:b w:val="1"/>
                <w:bCs w:val="1"/>
                <w:color w:val="auto"/>
              </w:rPr>
              <w:t>680 Fifth Ave., 24th Floor</w:t>
            </w:r>
          </w:p>
        </w:tc>
        <w:tc>
          <w:tcPr>
            <w:tcW w:w="1540" w:type="dxa"/>
            <w:vAlign w:val="bottom"/>
          </w:tcPr>
          <w:p>
            <w:pPr>
              <w:spacing w:after="0"/>
              <w:rPr>
                <w:sz w:val="19"/>
                <w:szCs w:val="19"/>
                <w:color w:val="auto"/>
              </w:rPr>
            </w:pPr>
          </w:p>
        </w:tc>
        <w:tc>
          <w:tcPr>
            <w:tcW w:w="45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10019</w:t>
            </w:r>
          </w:p>
        </w:tc>
      </w:tr>
      <w:tr>
        <w:trPr>
          <w:trHeight w:val="234"/>
        </w:trPr>
        <w:tc>
          <w:tcPr>
            <w:tcW w:w="52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1"/>
              </w:rPr>
              <w:t>New York, New York</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43"/>
        </w:trPr>
        <w:tc>
          <w:tcPr>
            <w:tcW w:w="52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(Zip Code)</w:t>
            </w:r>
          </w:p>
        </w:tc>
      </w:tr>
      <w:tr>
        <w:trPr>
          <w:trHeight w:val="31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(212) 634-7100</w:t>
            </w:r>
          </w:p>
        </w:tc>
      </w:tr>
      <w:tr>
        <w:trPr>
          <w:trHeight w:val="135"/>
        </w:trPr>
        <w:tc>
          <w:tcPr>
            <w:tcW w:w="4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318"/>
        </w:trPr>
        <w:tc>
          <w:tcPr>
            <w:tcW w:w="5200" w:type="dxa"/>
            <w:vAlign w:val="bottom"/>
            <w:gridSpan w:val="3"/>
          </w:tcPr>
          <w:p>
            <w:pPr>
              <w:ind w:left="600"/>
              <w:spacing w:after="0"/>
              <w:rPr>
                <w:sz w:val="20"/>
                <w:szCs w:val="20"/>
                <w:color w:val="auto"/>
              </w:rPr>
            </w:pPr>
            <w:r>
              <w:rPr>
                <w:rFonts w:ascii="Arial" w:cs="Arial" w:eastAsia="Arial" w:hAnsi="Arial"/>
                <w:sz w:val="18"/>
                <w:szCs w:val="18"/>
                <w:color w:val="auto"/>
                <w:w w:val="90"/>
              </w:rPr>
              <w:t>Securities registered pursuant to Section 12(b) of the Act: None</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54"/>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Trading</w:t>
            </w:r>
          </w:p>
        </w:tc>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41"/>
        </w:trPr>
        <w:tc>
          <w:tcPr>
            <w:tcW w:w="436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Title of each class</w:t>
            </w:r>
          </w:p>
        </w:tc>
        <w:tc>
          <w:tcPr>
            <w:tcW w:w="1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b w:val="1"/>
                <w:bCs w:val="1"/>
                <w:color w:val="auto"/>
                <w:w w:val="87"/>
              </w:rPr>
              <w:t>Symbol(s)</w:t>
            </w:r>
          </w:p>
        </w:tc>
        <w:tc>
          <w:tcPr>
            <w:tcW w:w="160" w:type="dxa"/>
            <w:vAlign w:val="bottom"/>
          </w:tcPr>
          <w:p>
            <w:pPr>
              <w:spacing w:after="0"/>
              <w:rPr>
                <w:sz w:val="20"/>
                <w:szCs w:val="20"/>
                <w:color w:val="auto"/>
              </w:rPr>
            </w:pPr>
          </w:p>
        </w:tc>
        <w:tc>
          <w:tcPr>
            <w:tcW w:w="43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Name of each exchange on which registered</w:t>
            </w:r>
          </w:p>
        </w:tc>
      </w:tr>
    </w:tbl>
    <w:p>
      <w:pPr>
        <w:spacing w:after="0" w:line="148" w:lineRule="exact"/>
        <w:rPr>
          <w:sz w:val="24"/>
          <w:szCs w:val="24"/>
          <w:color w:val="auto"/>
        </w:rPr>
      </w:pPr>
    </w:p>
    <w:p>
      <w:pPr>
        <w:jc w:val="both"/>
        <w:ind w:right="60" w:firstLine="59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80" w:firstLine="59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60" w:firstLine="59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76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39" w:lineRule="exact"/>
        <w:rPr>
          <w:sz w:val="24"/>
          <w:szCs w:val="24"/>
          <w:color w:val="auto"/>
        </w:rPr>
      </w:pPr>
    </w:p>
    <w:p>
      <w:pPr>
        <w:jc w:val="both"/>
        <w:ind w:right="220" w:firstLine="59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600"/>
        <w:spacing w:after="0" w:line="207" w:lineRule="exact"/>
        <w:tabs>
          <w:tab w:leader="none" w:pos="8960" w:val="left"/>
          <w:tab w:leader="none" w:pos="9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75" w:lineRule="exact"/>
        <w:rPr>
          <w:sz w:val="24"/>
          <w:szCs w:val="24"/>
          <w:color w:val="auto"/>
        </w:rPr>
      </w:pPr>
    </w:p>
    <w:p>
      <w:pPr>
        <w:ind w:right="140" w:firstLine="599"/>
        <w:spacing w:after="0" w:line="238"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left="600"/>
        <w:spacing w:after="0"/>
        <w:rPr>
          <w:sz w:val="20"/>
          <w:szCs w:val="20"/>
          <w:color w:val="auto"/>
        </w:rPr>
      </w:pPr>
      <w:r>
        <w:rPr>
          <w:rFonts w:ascii="Arial" w:cs="Arial" w:eastAsia="Arial" w:hAnsi="Arial"/>
          <w:sz w:val="18"/>
          <w:szCs w:val="18"/>
          <w:color w:val="auto"/>
        </w:rPr>
        <w:t>As of May 11, 2023, there were 406,779,180 shares of common stock, no par value per share (the “Common Shares”), outstanding.</w:t>
      </w:r>
    </w:p>
    <w:p>
      <w:pPr>
        <w:spacing w:after="0" w:line="14" w:lineRule="exact"/>
        <w:rPr>
          <w:sz w:val="24"/>
          <w:szCs w:val="24"/>
          <w:color w:val="auto"/>
        </w:rPr>
      </w:pPr>
    </w:p>
    <w:p>
      <w:pPr>
        <w:spacing w:after="0"/>
        <w:rPr>
          <w:sz w:val="20"/>
          <w:szCs w:val="20"/>
          <w:color w:val="auto"/>
        </w:rPr>
      </w:pPr>
      <w:r>
        <w:rPr>
          <w:rFonts w:ascii="Arial" w:cs="Arial" w:eastAsia="Arial" w:hAnsi="Arial"/>
          <w:sz w:val="4"/>
          <w:szCs w:val="4"/>
          <w:color w:val="auto"/>
        </w:rPr>
        <w:t>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6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10420" w:type="dxa"/>
            <w:vAlign w:val="bottom"/>
            <w:gridSpan w:val="17"/>
          </w:tcPr>
          <w:p>
            <w:pPr>
              <w:spacing w:after="0" w:line="189" w:lineRule="exact"/>
              <w:rPr>
                <w:sz w:val="20"/>
                <w:szCs w:val="20"/>
                <w:color w:val="auto"/>
              </w:rPr>
            </w:pPr>
            <w:r>
              <w:rPr>
                <w:rFonts w:ascii="Arial" w:cs="Arial" w:eastAsia="Arial" w:hAnsi="Arial"/>
                <w:sz w:val="18"/>
                <w:szCs w:val="18"/>
                <w:color w:val="0000FF"/>
              </w:rPr>
              <w:t>FORWARD-LOOKING STATEMENTS</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gridSpan w:val="14"/>
          </w:tcPr>
          <w:p>
            <w:pPr>
              <w:spacing w:after="0"/>
              <w:rPr>
                <w:sz w:val="20"/>
                <w:szCs w:val="20"/>
                <w:color w:val="auto"/>
              </w:rPr>
            </w:pPr>
            <w:r>
              <w:rPr>
                <w:rFonts w:ascii="Arial" w:cs="Arial" w:eastAsia="Arial" w:hAnsi="Arial"/>
                <w:sz w:val="18"/>
                <w:szCs w:val="18"/>
                <w:color w:val="auto"/>
              </w:rPr>
              <w:t>FINANCIAL INFORMATION</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4"/>
          </w:tcPr>
          <w:p>
            <w:pPr>
              <w:spacing w:after="0"/>
              <w:rPr>
                <w:sz w:val="20"/>
                <w:szCs w:val="20"/>
                <w:color w:val="auto"/>
              </w:rPr>
            </w:pPr>
            <w:r>
              <w:rPr>
                <w:rFonts w:ascii="Arial" w:cs="Arial" w:eastAsia="Arial" w:hAnsi="Arial"/>
                <w:sz w:val="18"/>
                <w:szCs w:val="18"/>
                <w:color w:val="auto"/>
              </w:rPr>
              <w:t>Financial Statements (Unaudited)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Changes in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20" w:type="dxa"/>
            <w:vAlign w:val="bottom"/>
            <w:tcBorders>
              <w:left w:val="single" w:sz="8" w:color="0000FF"/>
            </w:tcBorders>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vMerge w:val="continue"/>
          </w:tcPr>
          <w:p>
            <w:pPr>
              <w:spacing w:after="0"/>
              <w:rPr>
                <w:sz w:val="19"/>
                <w:szCs w:val="19"/>
                <w:color w:val="auto"/>
              </w:rPr>
            </w:pPr>
          </w:p>
        </w:tc>
        <w:tc>
          <w:tcPr>
            <w:tcW w:w="9260" w:type="dxa"/>
            <w:vAlign w:val="bottom"/>
            <w:gridSpan w:val="14"/>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4"/>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4"/>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4"/>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4"/>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4"/>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4"/>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4"/>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Quarterly Report on Form 10-Q contains “forward-looking statements” regarding Columbia Care Inc. and its subsidiaries (collectively referred to as “Columbia Care,”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8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satisfaction of the conditions precedent to the closing of the Cresco Transaction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receipt of any necessary regulatory approvals in connection with the Cresco Transaction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Cresco Transaction (as defined herein) on the Company’s current and future operations, financial condition and prospects;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value of the Cresco Labs Shares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costs of the Cresco Transaction (as defined herein) and potential payment of a termination fee in connection with the Cresco Transaction (as defined herein);</w:t>
      </w:r>
    </w:p>
    <w:p>
      <w:pPr>
        <w:spacing w:after="0" w:line="138" w:lineRule="exact"/>
        <w:rPr>
          <w:rFonts w:ascii="Arial" w:cs="Arial" w:eastAsia="Arial" w:hAnsi="Arial"/>
          <w:sz w:val="15"/>
          <w:szCs w:val="15"/>
          <w:color w:val="auto"/>
        </w:rPr>
      </w:pPr>
    </w:p>
    <w:p>
      <w:pPr>
        <w:ind w:left="380" w:hanging="372"/>
        <w:spacing w:after="0" w:line="29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successfully integrate with the operations of Cresco Labs (as defined herein) and realize the expected benefits of the Cresco Transaction (as defined herein);</w:t>
      </w:r>
    </w:p>
    <w:p>
      <w:pPr>
        <w:spacing w:after="0" w:line="63"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fact that marijuana remains illegal under federal law;</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application of anti-money laundering laws and regulations to the Company;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regulatory, or political change to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to the services of banks for the Company, Cresco Labs or buyers of divestiture assets in relation to the Cresco Transaction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complete divestitures in connection with the Cresco Transaction, including the closing of the Combs Transaction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to public and private capital;</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publicity or consumer perception of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expansion to the adult-use markets;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laws, regulations, and guidelines;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Section 280E of the Internal Revenue Code;</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state laws pertaining to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reliance on key inputs, suppliers and skilled labor;</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difficulty of forecasting the Company’s sales;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constraints on marketing products;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cyber-attacks and security breaches;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operating loss and other tax attribute limitations;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changes in tax laws;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market price of the Common Shares;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reliance on management;</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results and financial projections; and</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global financial conditions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2022.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INTERIM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December 31, 2022</w:t>
            </w: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40,159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48,154</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Accounts receivable, net of allowances of $2,642 and, $2,504, respectively</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12,250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10,087</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132,624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127,905</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24,339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21,942</w:t>
            </w:r>
          </w:p>
        </w:tc>
        <w:tc>
          <w:tcPr>
            <w:tcW w:w="140" w:type="dxa"/>
            <w:vAlign w:val="bottom"/>
          </w:tcPr>
          <w:p>
            <w:pPr>
              <w:spacing w:after="0"/>
              <w:rPr>
                <w:sz w:val="19"/>
                <w:szCs w:val="19"/>
                <w:color w:val="auto"/>
              </w:rPr>
            </w:pPr>
          </w:p>
        </w:tc>
      </w:tr>
      <w:tr>
        <w:trPr>
          <w:trHeight w:val="233"/>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Assets held for sale</w:t>
            </w: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29,107</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29,089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238,479</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237,177</w:t>
            </w:r>
          </w:p>
        </w:tc>
        <w:tc>
          <w:tcPr>
            <w:tcW w:w="14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348,581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357,993</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 of use assets - operating leases, net</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168,370</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174,472</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Right of use assets - finance leases,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42,381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45,423</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19,274</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140,461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145,265</w:t>
            </w:r>
          </w:p>
        </w:tc>
        <w:tc>
          <w:tcPr>
            <w:tcW w:w="140" w:type="dxa"/>
            <w:vAlign w:val="bottom"/>
          </w:tcPr>
          <w:p>
            <w:pPr>
              <w:spacing w:after="0"/>
              <w:rPr>
                <w:sz w:val="19"/>
                <w:szCs w:val="19"/>
                <w:color w:val="auto"/>
              </w:rPr>
            </w:pPr>
          </w:p>
        </w:tc>
      </w:tr>
      <w:tr>
        <w:trPr>
          <w:trHeight w:val="23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15,475</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15,122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973,021</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994,726</w:t>
            </w:r>
          </w:p>
        </w:tc>
        <w:tc>
          <w:tcPr>
            <w:tcW w:w="14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7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29,917</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23,775</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58,130</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64,574</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Income tax payable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42,628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33,961</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lease liability - operating leases</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7,342</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6,762</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Current portion of lease liability - finance leases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6,572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6,552</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long-term debt, net</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7,595</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47,315</w:t>
            </w:r>
          </w:p>
        </w:tc>
        <w:tc>
          <w:tcPr>
            <w:tcW w:w="140" w:type="dxa"/>
            <w:vAlign w:val="bottom"/>
            <w:shd w:val="clear" w:color="auto" w:fill="CFF0FC"/>
          </w:tcPr>
          <w:p>
            <w:pPr>
              <w:spacing w:after="0"/>
              <w:rPr>
                <w:sz w:val="20"/>
                <w:szCs w:val="20"/>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auto"/>
              </w:rPr>
              <w:t>Liabilities held for sale</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20,179</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20,179</w:t>
            </w:r>
          </w:p>
        </w:tc>
        <w:tc>
          <w:tcPr>
            <w:tcW w:w="14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172,363</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203,118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30"/>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net</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323,147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281,705</w:t>
            </w:r>
          </w:p>
        </w:tc>
        <w:tc>
          <w:tcPr>
            <w:tcW w:w="140" w:type="dxa"/>
            <w:vAlign w:val="bottom"/>
            <w:shd w:val="clear" w:color="auto" w:fill="CFF0FC"/>
          </w:tcPr>
          <w:p>
            <w:pPr>
              <w:spacing w:after="0"/>
              <w:rPr>
                <w:sz w:val="19"/>
                <w:szCs w:val="19"/>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3,774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2,903</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lease liability - operating leases</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168,309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174,312</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Long-term lease liability - finance leases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48,603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50,586</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liability</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140" w:type="dxa"/>
            <w:vAlign w:val="bottom"/>
            <w:shd w:val="clear" w:color="auto" w:fill="CFF0FC"/>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75,235</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74,964</w:t>
            </w:r>
          </w:p>
        </w:tc>
        <w:tc>
          <w:tcPr>
            <w:tcW w:w="14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791,696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787,823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30"/>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7560" w:type="dxa"/>
            <w:vAlign w:val="bottom"/>
          </w:tcPr>
          <w:p>
            <w:pPr>
              <w:ind w:left="200"/>
              <w:spacing w:after="0"/>
              <w:rPr>
                <w:sz w:val="20"/>
                <w:szCs w:val="20"/>
                <w:color w:val="auto"/>
              </w:rPr>
            </w:pPr>
            <w:r>
              <w:rPr>
                <w:rFonts w:ascii="Arial" w:cs="Arial" w:eastAsia="Arial" w:hAnsi="Arial"/>
                <w:sz w:val="16"/>
                <w:szCs w:val="16"/>
                <w:color w:val="auto"/>
              </w:rPr>
              <w:t>Common Stock, no par value, unlimited shares authorized as of March 31, 2023 and</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6"/>
                <w:szCs w:val="16"/>
                <w:color w:val="auto"/>
              </w:rPr>
              <w:t>December 31, 2022, respectively, 393,409,586 and 391,238,484 shares issued and outstanding</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560" w:type="dxa"/>
            <w:vAlign w:val="bottom"/>
          </w:tcPr>
          <w:p>
            <w:pPr>
              <w:ind w:left="320"/>
              <w:spacing w:after="0"/>
              <w:rPr>
                <w:sz w:val="20"/>
                <w:szCs w:val="20"/>
                <w:color w:val="auto"/>
              </w:rPr>
            </w:pPr>
            <w:r>
              <w:rPr>
                <w:rFonts w:ascii="Arial" w:cs="Arial" w:eastAsia="Arial" w:hAnsi="Arial"/>
                <w:sz w:val="16"/>
                <w:szCs w:val="16"/>
                <w:color w:val="auto"/>
              </w:rPr>
              <w:t>as of March 31, 2022 and December 31, 2022, respectively</w:t>
            </w:r>
          </w:p>
        </w:tc>
        <w:tc>
          <w:tcPr>
            <w:tcW w:w="2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no par value, unlimited shares authorized as of March 31, 2023 and</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75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2022, respectively, none issued and outstanding as of March 31, 2023 and</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6"/>
        </w:trPr>
        <w:tc>
          <w:tcPr>
            <w:tcW w:w="75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2022</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06"/>
        </w:trPr>
        <w:tc>
          <w:tcPr>
            <w:tcW w:w="7560" w:type="dxa"/>
            <w:vAlign w:val="bottom"/>
          </w:tcPr>
          <w:p>
            <w:pPr>
              <w:ind w:left="200"/>
              <w:spacing w:after="0"/>
              <w:rPr>
                <w:sz w:val="20"/>
                <w:szCs w:val="20"/>
                <w:color w:val="auto"/>
              </w:rPr>
            </w:pPr>
            <w:r>
              <w:rPr>
                <w:rFonts w:ascii="Arial" w:cs="Arial" w:eastAsia="Arial" w:hAnsi="Arial"/>
                <w:sz w:val="16"/>
                <w:szCs w:val="16"/>
                <w:color w:val="auto"/>
              </w:rPr>
              <w:t>Proportionate voting shares, no par value, unlimited shares authorized as of March 31, 2023</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6"/>
                <w:szCs w:val="16"/>
                <w:color w:val="auto"/>
              </w:rPr>
              <w:t>and December 31, 2022, respectively; 9,955,661 and 10,009,819 shares issued and outstanding</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560" w:type="dxa"/>
            <w:vAlign w:val="bottom"/>
          </w:tcPr>
          <w:p>
            <w:pPr>
              <w:ind w:left="320"/>
              <w:spacing w:after="0"/>
              <w:rPr>
                <w:sz w:val="20"/>
                <w:szCs w:val="20"/>
                <w:color w:val="auto"/>
              </w:rPr>
            </w:pPr>
            <w:r>
              <w:rPr>
                <w:rFonts w:ascii="Arial" w:cs="Arial" w:eastAsia="Arial" w:hAnsi="Arial"/>
                <w:sz w:val="16"/>
                <w:szCs w:val="16"/>
                <w:color w:val="auto"/>
              </w:rPr>
              <w:t>as of March 31, 2023 and December 31, 2022, respectively</w:t>
            </w:r>
          </w:p>
        </w:tc>
        <w:tc>
          <w:tcPr>
            <w:tcW w:w="2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paid-in-capital</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1,123,898</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1,117,287</w:t>
            </w:r>
          </w:p>
        </w:tc>
        <w:tc>
          <w:tcPr>
            <w:tcW w:w="140" w:type="dxa"/>
            <w:vAlign w:val="bottom"/>
            <w:shd w:val="clear" w:color="auto" w:fill="CFF0FC"/>
          </w:tcPr>
          <w:p>
            <w:pPr>
              <w:spacing w:after="0"/>
              <w:rPr>
                <w:sz w:val="20"/>
                <w:szCs w:val="20"/>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(941,343 )</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(904,003 )</w:t>
            </w:r>
          </w:p>
        </w:tc>
      </w:tr>
      <w:tr>
        <w:trPr>
          <w:trHeight w:val="223"/>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Equity attributable to Columbia Care Inc.</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182,555</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213,284</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6"/>
        </w:trPr>
        <w:tc>
          <w:tcPr>
            <w:tcW w:w="756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(1,230 )</w:t>
            </w: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(6,381 )</w:t>
            </w:r>
          </w:p>
        </w:tc>
      </w:tr>
      <w:tr>
        <w:trPr>
          <w:trHeight w:val="220"/>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181,325</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206,903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973,021</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994,726</w:t>
            </w:r>
          </w:p>
        </w:tc>
        <w:tc>
          <w:tcPr>
            <w:tcW w:w="14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-6600190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-6600190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-5417185</wp:posOffset>
            </wp:positionV>
            <wp:extent cx="8572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-5417185</wp:posOffset>
            </wp:positionV>
            <wp:extent cx="8572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-3625215</wp:posOffset>
            </wp:positionV>
            <wp:extent cx="8572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-3625215</wp:posOffset>
            </wp:positionV>
            <wp:extent cx="8572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-2442210</wp:posOffset>
            </wp:positionV>
            <wp:extent cx="857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-2442210</wp:posOffset>
            </wp:positionV>
            <wp:extent cx="8572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-488315</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-179705</wp:posOffset>
            </wp:positionV>
            <wp:extent cx="8572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Interim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024"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INTERIM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for number of shares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Three months ended</w:t>
            </w: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96"/>
              </w:rPr>
              <w:t>March 31, 2022</w:t>
            </w: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 net of discounts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124,535</w:t>
            </w:r>
          </w:p>
        </w:tc>
        <w:tc>
          <w:tcPr>
            <w:tcW w:w="7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123,087</w:t>
            </w:r>
          </w:p>
        </w:tc>
        <w:tc>
          <w:tcPr>
            <w:tcW w:w="0" w:type="dxa"/>
            <w:vAlign w:val="bottom"/>
          </w:tcPr>
          <w:p>
            <w:pPr>
              <w:spacing w:after="0"/>
              <w:rPr>
                <w:sz w:val="1"/>
                <w:szCs w:val="1"/>
                <w:color w:val="auto"/>
              </w:rPr>
            </w:pPr>
          </w:p>
        </w:tc>
      </w:tr>
      <w:tr>
        <w:trPr>
          <w:trHeight w:val="220"/>
        </w:trPr>
        <w:tc>
          <w:tcPr>
            <w:tcW w:w="6120" w:type="dxa"/>
            <w:vAlign w:val="bottom"/>
          </w:tcPr>
          <w:p>
            <w:pPr>
              <w:ind w:left="20"/>
              <w:spacing w:after="0"/>
              <w:rPr>
                <w:sz w:val="20"/>
                <w:szCs w:val="20"/>
                <w:color w:val="auto"/>
              </w:rPr>
            </w:pPr>
            <w:r>
              <w:rPr>
                <w:rFonts w:ascii="Arial" w:cs="Arial" w:eastAsia="Arial" w:hAnsi="Arial"/>
                <w:sz w:val="16"/>
                <w:szCs w:val="16"/>
                <w:color w:val="auto"/>
              </w:rPr>
              <w:t>Cost of sales related to inventory production</w:t>
            </w:r>
          </w:p>
        </w:tc>
        <w:tc>
          <w:tcPr>
            <w:tcW w:w="3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(77,454 )</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(66,460 )</w:t>
            </w:r>
          </w:p>
        </w:tc>
        <w:tc>
          <w:tcPr>
            <w:tcW w:w="0" w:type="dxa"/>
            <w:vAlign w:val="bottom"/>
          </w:tcPr>
          <w:p>
            <w:pPr>
              <w:spacing w:after="0"/>
              <w:rPr>
                <w:sz w:val="1"/>
                <w:szCs w:val="1"/>
                <w:color w:val="auto"/>
              </w:rPr>
            </w:pPr>
          </w:p>
        </w:tc>
      </w:tr>
      <w:tr>
        <w:trPr>
          <w:trHeight w:val="23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FF0FC"/>
          </w:tcPr>
          <w:p>
            <w:pPr>
              <w:spacing w:after="0"/>
              <w:rPr>
                <w:sz w:val="20"/>
                <w:szCs w:val="20"/>
                <w:color w:val="auto"/>
              </w:rPr>
            </w:pPr>
          </w:p>
        </w:tc>
        <w:tc>
          <w:tcPr>
            <w:tcW w:w="2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47,081</w:t>
            </w:r>
          </w:p>
        </w:tc>
        <w:tc>
          <w:tcPr>
            <w:tcW w:w="22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56,627</w:t>
            </w:r>
          </w:p>
        </w:tc>
        <w:tc>
          <w:tcPr>
            <w:tcW w:w="0" w:type="dxa"/>
            <w:vAlign w:val="bottom"/>
          </w:tcPr>
          <w:p>
            <w:pPr>
              <w:spacing w:after="0"/>
              <w:rPr>
                <w:sz w:val="1"/>
                <w:szCs w:val="1"/>
                <w:color w:val="auto"/>
              </w:rPr>
            </w:pPr>
          </w:p>
        </w:tc>
      </w:tr>
      <w:tr>
        <w:trPr>
          <w:trHeight w:val="213"/>
        </w:trPr>
        <w:tc>
          <w:tcPr>
            <w:tcW w:w="612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(55,350 )</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(71,292 )</w:t>
            </w:r>
          </w:p>
        </w:tc>
        <w:tc>
          <w:tcPr>
            <w:tcW w:w="0" w:type="dxa"/>
            <w:vAlign w:val="bottom"/>
          </w:tcPr>
          <w:p>
            <w:pPr>
              <w:spacing w:after="0"/>
              <w:rPr>
                <w:sz w:val="1"/>
                <w:szCs w:val="1"/>
                <w:color w:val="auto"/>
              </w:rPr>
            </w:pPr>
          </w:p>
        </w:tc>
      </w:tr>
      <w:tr>
        <w:trPr>
          <w:trHeight w:val="233"/>
        </w:trPr>
        <w:tc>
          <w:tcPr>
            <w:tcW w:w="6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operating costs</w:t>
            </w:r>
          </w:p>
        </w:tc>
        <w:tc>
          <w:tcPr>
            <w:tcW w:w="360" w:type="dxa"/>
            <w:vAlign w:val="bottom"/>
            <w:tcBorders>
              <w:bottom w:val="single" w:sz="8" w:color="auto"/>
            </w:tcBorders>
            <w:shd w:val="clear" w:color="auto" w:fill="CFF0FC"/>
          </w:tcPr>
          <w:p>
            <w:pPr>
              <w:spacing w:after="0"/>
              <w:rPr>
                <w:sz w:val="20"/>
                <w:szCs w:val="20"/>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(55,350 )</w:t>
            </w:r>
          </w:p>
        </w:tc>
        <w:tc>
          <w:tcPr>
            <w:tcW w:w="2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(71,292 )</w:t>
            </w:r>
          </w:p>
        </w:tc>
        <w:tc>
          <w:tcPr>
            <w:tcW w:w="0" w:type="dxa"/>
            <w:vAlign w:val="bottom"/>
          </w:tcPr>
          <w:p>
            <w:pPr>
              <w:spacing w:after="0"/>
              <w:rPr>
                <w:sz w:val="1"/>
                <w:szCs w:val="1"/>
                <w:color w:val="auto"/>
              </w:rPr>
            </w:pPr>
          </w:p>
        </w:tc>
      </w:tr>
      <w:tr>
        <w:trPr>
          <w:trHeight w:val="220"/>
        </w:trPr>
        <w:tc>
          <w:tcPr>
            <w:tcW w:w="61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(8,269 )</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(14,665 )</w:t>
            </w:r>
          </w:p>
        </w:tc>
        <w:tc>
          <w:tcPr>
            <w:tcW w:w="0" w:type="dxa"/>
            <w:vAlign w:val="bottom"/>
          </w:tcPr>
          <w:p>
            <w:pPr>
              <w:spacing w:after="0"/>
              <w:rPr>
                <w:sz w:val="1"/>
                <w:szCs w:val="1"/>
                <w:color w:val="auto"/>
              </w:rPr>
            </w:pPr>
          </w:p>
        </w:tc>
      </w:tr>
      <w:tr>
        <w:trPr>
          <w:trHeight w:val="23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w:t>
            </w:r>
          </w:p>
        </w:tc>
        <w:tc>
          <w:tcPr>
            <w:tcW w:w="360" w:type="dxa"/>
            <w:vAlign w:val="bottom"/>
            <w:shd w:val="clear" w:color="auto" w:fill="CFF0FC"/>
          </w:tcPr>
          <w:p>
            <w:pPr>
              <w:spacing w:after="0"/>
              <w:rPr>
                <w:sz w:val="20"/>
                <w:szCs w:val="20"/>
                <w:color w:val="auto"/>
              </w:rPr>
            </w:pPr>
          </w:p>
        </w:tc>
        <w:tc>
          <w:tcPr>
            <w:tcW w:w="2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120" w:type="dxa"/>
            <w:vAlign w:val="bottom"/>
          </w:tcPr>
          <w:p>
            <w:pPr>
              <w:ind w:left="200"/>
              <w:spacing w:after="0"/>
              <w:rPr>
                <w:sz w:val="20"/>
                <w:szCs w:val="20"/>
                <w:color w:val="auto"/>
              </w:rPr>
            </w:pPr>
            <w:r>
              <w:rPr>
                <w:rFonts w:ascii="Arial" w:cs="Arial" w:eastAsia="Arial" w:hAnsi="Arial"/>
                <w:sz w:val="16"/>
                <w:szCs w:val="16"/>
                <w:color w:val="auto"/>
              </w:rPr>
              <w:t>Interest expense on leases</w:t>
            </w:r>
          </w:p>
        </w:tc>
        <w:tc>
          <w:tcPr>
            <w:tcW w:w="3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(1,098 )</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(1,426 )</w:t>
            </w:r>
          </w:p>
        </w:tc>
        <w:tc>
          <w:tcPr>
            <w:tcW w:w="0" w:type="dxa"/>
            <w:vAlign w:val="bottom"/>
          </w:tcPr>
          <w:p>
            <w:pPr>
              <w:spacing w:after="0"/>
              <w:rPr>
                <w:sz w:val="1"/>
                <w:szCs w:val="1"/>
                <w:color w:val="auto"/>
              </w:rPr>
            </w:pPr>
          </w:p>
        </w:tc>
      </w:tr>
      <w:tr>
        <w:trPr>
          <w:trHeight w:val="239"/>
        </w:trPr>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(12,573 )</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(11,244 )</w:t>
            </w:r>
          </w:p>
        </w:tc>
        <w:tc>
          <w:tcPr>
            <w:tcW w:w="0" w:type="dxa"/>
            <w:vAlign w:val="bottom"/>
          </w:tcPr>
          <w:p>
            <w:pPr>
              <w:spacing w:after="0"/>
              <w:rPr>
                <w:sz w:val="1"/>
                <w:szCs w:val="1"/>
                <w:color w:val="auto"/>
              </w:rPr>
            </w:pPr>
          </w:p>
        </w:tc>
      </w:tr>
      <w:tr>
        <w:trPr>
          <w:trHeight w:val="223"/>
        </w:trPr>
        <w:tc>
          <w:tcPr>
            <w:tcW w:w="6120" w:type="dxa"/>
            <w:vAlign w:val="bottom"/>
          </w:tcPr>
          <w:p>
            <w:pPr>
              <w:ind w:left="200"/>
              <w:spacing w:after="0"/>
              <w:rPr>
                <w:sz w:val="20"/>
                <w:szCs w:val="20"/>
                <w:color w:val="auto"/>
              </w:rPr>
            </w:pPr>
            <w:r>
              <w:rPr>
                <w:rFonts w:ascii="Arial" w:cs="Arial" w:eastAsia="Arial" w:hAnsi="Arial"/>
                <w:sz w:val="16"/>
                <w:szCs w:val="16"/>
                <w:color w:val="auto"/>
              </w:rPr>
              <w:t>Other (expense) income, net</w:t>
            </w:r>
          </w:p>
        </w:tc>
        <w:tc>
          <w:tcPr>
            <w:tcW w:w="3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(3,943 )</w:t>
            </w: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other expense</w:t>
            </w:r>
          </w:p>
        </w:tc>
        <w:tc>
          <w:tcPr>
            <w:tcW w:w="36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(17,614 )</w:t>
            </w:r>
          </w:p>
        </w:tc>
        <w:tc>
          <w:tcPr>
            <w:tcW w:w="2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(12,609 )</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(25,883 )</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(27,274 )</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(10,689 )</w:t>
            </w: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(632 )</w:t>
            </w: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and comprehensive loss</w:t>
            </w:r>
          </w:p>
        </w:tc>
        <w:tc>
          <w:tcPr>
            <w:tcW w:w="3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(36,572 )</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(27,906 )</w:t>
            </w:r>
          </w:p>
        </w:tc>
        <w:tc>
          <w:tcPr>
            <w:tcW w:w="0" w:type="dxa"/>
            <w:vAlign w:val="bottom"/>
          </w:tcPr>
          <w:p>
            <w:pPr>
              <w:spacing w:after="0"/>
              <w:rPr>
                <w:sz w:val="1"/>
                <w:szCs w:val="1"/>
                <w:color w:val="auto"/>
              </w:rPr>
            </w:pPr>
          </w:p>
        </w:tc>
      </w:tr>
      <w:tr>
        <w:trPr>
          <w:trHeight w:val="223"/>
        </w:trPr>
        <w:tc>
          <w:tcPr>
            <w:tcW w:w="6120" w:type="dxa"/>
            <w:vAlign w:val="bottom"/>
          </w:tcPr>
          <w:p>
            <w:pPr>
              <w:ind w:left="200"/>
              <w:spacing w:after="0"/>
              <w:rPr>
                <w:sz w:val="20"/>
                <w:szCs w:val="20"/>
                <w:color w:val="auto"/>
              </w:rPr>
            </w:pPr>
            <w:r>
              <w:rPr>
                <w:rFonts w:ascii="Arial" w:cs="Arial" w:eastAsia="Arial" w:hAnsi="Arial"/>
                <w:sz w:val="16"/>
                <w:szCs w:val="16"/>
                <w:color w:val="auto"/>
              </w:rPr>
              <w:t>Net (income) loss attributable to non-controlling interests</w:t>
            </w:r>
          </w:p>
        </w:tc>
        <w:tc>
          <w:tcPr>
            <w:tcW w:w="3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768</w:t>
            </w: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(1,270 )</w:t>
            </w:r>
          </w:p>
        </w:tc>
        <w:tc>
          <w:tcPr>
            <w:tcW w:w="0" w:type="dxa"/>
            <w:vAlign w:val="bottom"/>
          </w:tcPr>
          <w:p>
            <w:pPr>
              <w:spacing w:after="0"/>
              <w:rPr>
                <w:sz w:val="1"/>
                <w:szCs w:val="1"/>
                <w:color w:val="auto"/>
              </w:rPr>
            </w:pPr>
          </w:p>
        </w:tc>
      </w:tr>
      <w:tr>
        <w:trPr>
          <w:trHeight w:val="263"/>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attributable to shareholders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(37,340 )</w:t>
            </w:r>
          </w:p>
        </w:tc>
        <w:tc>
          <w:tcPr>
            <w:tcW w:w="7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(26,636 )</w:t>
            </w:r>
          </w:p>
        </w:tc>
        <w:tc>
          <w:tcPr>
            <w:tcW w:w="0" w:type="dxa"/>
            <w:vAlign w:val="bottom"/>
          </w:tcPr>
          <w:p>
            <w:pPr>
              <w:spacing w:after="0"/>
              <w:rPr>
                <w:sz w:val="1"/>
                <w:szCs w:val="1"/>
                <w:color w:val="auto"/>
              </w:rPr>
            </w:pPr>
          </w:p>
        </w:tc>
      </w:tr>
      <w:tr>
        <w:trPr>
          <w:trHeight w:val="217"/>
        </w:trPr>
        <w:tc>
          <w:tcPr>
            <w:tcW w:w="6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number of shares used in earnings per</w:t>
            </w:r>
          </w:p>
        </w:tc>
        <w:tc>
          <w:tcPr>
            <w:tcW w:w="360" w:type="dxa"/>
            <w:vAlign w:val="bottom"/>
            <w:shd w:val="clear" w:color="auto" w:fill="CFF0FC"/>
          </w:tcPr>
          <w:p>
            <w:pPr>
              <w:spacing w:after="0"/>
              <w:rPr>
                <w:sz w:val="17"/>
                <w:szCs w:val="17"/>
                <w:color w:val="auto"/>
              </w:rPr>
            </w:pPr>
          </w:p>
        </w:tc>
        <w:tc>
          <w:tcPr>
            <w:tcW w:w="2100" w:type="dxa"/>
            <w:vAlign w:val="bottom"/>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401,438,546</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80" w:type="dxa"/>
            <w:vAlign w:val="bottom"/>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376,397,260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share -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120" w:type="dxa"/>
            <w:vAlign w:val="bottom"/>
          </w:tcPr>
          <w:p>
            <w:pPr>
              <w:ind w:left="20"/>
              <w:spacing w:after="0"/>
              <w:rPr>
                <w:sz w:val="20"/>
                <w:szCs w:val="20"/>
                <w:color w:val="auto"/>
              </w:rPr>
            </w:pPr>
            <w:r>
              <w:rPr>
                <w:rFonts w:ascii="Arial" w:cs="Arial" w:eastAsia="Arial" w:hAnsi="Arial"/>
                <w:sz w:val="16"/>
                <w:szCs w:val="16"/>
                <w:color w:val="auto"/>
              </w:rPr>
              <w:t>Loss attributable to shares (basic and diluted)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(0.09 )</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(0.07 )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-2369820</wp:posOffset>
            </wp:positionV>
            <wp:extent cx="13716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-1478280</wp:posOffset>
            </wp:positionV>
            <wp:extent cx="13716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-578485</wp:posOffset>
            </wp:positionV>
            <wp:extent cx="13716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-158115</wp:posOffset>
            </wp:positionV>
            <wp:extent cx="13716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7145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Statements of Operations and Comprehensive Loss.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COLUMBIA CARE INC.</w:t>
      </w:r>
    </w:p>
    <w:p>
      <w:pPr>
        <w:jc w:val="center"/>
        <w:spacing w:after="0" w:line="216" w:lineRule="auto"/>
        <w:rPr>
          <w:sz w:val="20"/>
          <w:szCs w:val="20"/>
          <w:color w:val="auto"/>
        </w:rPr>
      </w:pPr>
      <w:r>
        <w:rPr>
          <w:rFonts w:ascii="Arial" w:cs="Arial" w:eastAsia="Arial" w:hAnsi="Arial"/>
          <w:sz w:val="13"/>
          <w:szCs w:val="13"/>
          <w:color w:val="auto"/>
        </w:rPr>
        <w:t>CONDENSED CONSOLIDATED INTERIM STATEMENTS OF CHANGES IN EQUITY</w:t>
      </w:r>
    </w:p>
    <w:p>
      <w:pPr>
        <w:jc w:val="center"/>
        <w:spacing w:after="0" w:line="217" w:lineRule="auto"/>
        <w:rPr>
          <w:sz w:val="20"/>
          <w:szCs w:val="20"/>
          <w:color w:val="auto"/>
        </w:rPr>
      </w:pPr>
      <w:r>
        <w:rPr>
          <w:rFonts w:ascii="Arial" w:cs="Arial" w:eastAsia="Arial" w:hAnsi="Arial"/>
          <w:sz w:val="13"/>
          <w:szCs w:val="13"/>
          <w:color w:val="auto"/>
        </w:rPr>
        <w:t>(Unaudited)</w:t>
      </w:r>
    </w:p>
    <w:p>
      <w:pPr>
        <w:jc w:val="center"/>
        <w:spacing w:after="0"/>
        <w:rPr>
          <w:sz w:val="20"/>
          <w:szCs w:val="20"/>
          <w:color w:val="auto"/>
        </w:rPr>
      </w:pPr>
      <w:r>
        <w:rPr>
          <w:rFonts w:ascii="Arial" w:cs="Arial" w:eastAsia="Arial" w:hAnsi="Arial"/>
          <w:sz w:val="13"/>
          <w:szCs w:val="13"/>
          <w:color w:val="auto"/>
        </w:rPr>
        <w:t>(Expressed in thousands of U.S. dollars, except for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Total Columbia</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Proportionat</w:t>
            </w: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26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Accumulat</w:t>
            </w:r>
          </w:p>
        </w:tc>
        <w:tc>
          <w:tcPr>
            <w:tcW w:w="10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Care Inc.</w:t>
            </w:r>
          </w:p>
        </w:tc>
        <w:tc>
          <w:tcPr>
            <w:tcW w:w="140" w:type="dxa"/>
            <w:vAlign w:val="bottom"/>
          </w:tcPr>
          <w:p>
            <w:pPr>
              <w:spacing w:after="0"/>
              <w:rPr>
                <w:sz w:val="17"/>
                <w:szCs w:val="17"/>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Non-</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2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w:t>
            </w:r>
          </w:p>
        </w:tc>
        <w:tc>
          <w:tcPr>
            <w:tcW w:w="140" w:type="dxa"/>
            <w:vAlign w:val="bottom"/>
          </w:tcPr>
          <w:p>
            <w:pPr>
              <w:spacing w:after="0"/>
              <w:rPr>
                <w:sz w:val="17"/>
                <w:szCs w:val="17"/>
                <w:color w:val="auto"/>
              </w:rPr>
            </w:pPr>
          </w:p>
        </w:tc>
        <w:tc>
          <w:tcPr>
            <w:tcW w:w="76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Paid-in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ed</w:t>
            </w:r>
          </w:p>
        </w:tc>
        <w:tc>
          <w:tcPr>
            <w:tcW w:w="1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Shareholders'</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Controlling</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w:t>
            </w:r>
          </w:p>
        </w:tc>
      </w:tr>
      <w:tr>
        <w:trPr>
          <w:trHeight w:val="223"/>
        </w:trPr>
        <w:tc>
          <w:tcPr>
            <w:tcW w:w="204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6"/>
                <w:szCs w:val="16"/>
                <w:b w:val="1"/>
                <w:bCs w:val="1"/>
                <w:color w:val="auto"/>
                <w:w w:val="89"/>
              </w:rPr>
              <w:t>Units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Voting Shares</w:t>
            </w:r>
          </w:p>
        </w:tc>
        <w:tc>
          <w:tcPr>
            <w:tcW w:w="14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Capital</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9"/>
                <w:szCs w:val="19"/>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Interest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Equity</w:t>
            </w:r>
          </w:p>
        </w:tc>
      </w:tr>
      <w:tr>
        <w:trPr>
          <w:trHeight w:val="202"/>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w:t>
            </w: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361,423,2</w:t>
            </w:r>
          </w:p>
        </w:tc>
        <w:tc>
          <w:tcPr>
            <w:tcW w:w="2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20"/>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31, 2021</w:t>
            </w:r>
          </w:p>
        </w:tc>
        <w:tc>
          <w:tcPr>
            <w:tcW w:w="5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70</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14,729,636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1,039,726</w:t>
            </w: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(468,335 )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571,391</w:t>
            </w:r>
          </w:p>
        </w:tc>
        <w:tc>
          <w:tcPr>
            <w:tcW w:w="2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(20,568 )</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5"/>
              </w:rPr>
              <w:t>$ 550,823</w:t>
            </w:r>
          </w:p>
        </w:tc>
        <w:tc>
          <w:tcPr>
            <w:tcW w:w="140" w:type="dxa"/>
            <w:vAlign w:val="bottom"/>
          </w:tcPr>
          <w:p>
            <w:pPr>
              <w:spacing w:after="0"/>
              <w:rPr>
                <w:sz w:val="19"/>
                <w:szCs w:val="19"/>
                <w:color w:val="auto"/>
              </w:rPr>
            </w:pPr>
          </w:p>
        </w:tc>
      </w:tr>
      <w:tr>
        <w:trPr>
          <w:trHeight w:val="216"/>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Equity-based</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6"/>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compensation(1)</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237,486</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6,358</w:t>
            </w:r>
          </w:p>
        </w:tc>
        <w:tc>
          <w:tcPr>
            <w:tcW w:w="140" w:type="dxa"/>
            <w:vAlign w:val="bottom"/>
            <w:shd w:val="clear" w:color="auto" w:fill="CFF0FC"/>
          </w:tcPr>
          <w:p>
            <w:pPr>
              <w:spacing w:after="0"/>
              <w:rPr>
                <w:sz w:val="19"/>
                <w:szCs w:val="19"/>
                <w:color w:val="auto"/>
              </w:rPr>
            </w:pPr>
          </w:p>
        </w:tc>
      </w:tr>
      <w:tr>
        <w:trPr>
          <w:trHeight w:val="220"/>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Warrants exercised</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180,000</w:t>
            </w: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9"/>
                <w:szCs w:val="19"/>
                <w:color w:val="auto"/>
              </w:rPr>
            </w:pPr>
          </w:p>
        </w:tc>
      </w:tr>
      <w:tr>
        <w:trPr>
          <w:trHeight w:val="233"/>
        </w:trPr>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(26,636 )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(26,636 )</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(1,270 )</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(27,906 )</w:t>
            </w:r>
          </w:p>
        </w:tc>
      </w:tr>
      <w:tr>
        <w:trPr>
          <w:trHeight w:val="202"/>
        </w:trPr>
        <w:tc>
          <w:tcPr>
            <w:tcW w:w="20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Balance as of March 31,</w:t>
            </w: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361,840,7</w:t>
            </w:r>
          </w:p>
        </w:tc>
        <w:tc>
          <w:tcPr>
            <w:tcW w:w="26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20"/>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56</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14,729,636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1,046,509</w:t>
            </w: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(494,971 )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551,538</w:t>
            </w:r>
          </w:p>
        </w:tc>
        <w:tc>
          <w:tcPr>
            <w:tcW w:w="2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(21,838 )</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5"/>
              </w:rPr>
              <w:t>$ 529,700</w:t>
            </w:r>
          </w:p>
        </w:tc>
        <w:tc>
          <w:tcPr>
            <w:tcW w:w="140" w:type="dxa"/>
            <w:vAlign w:val="bottom"/>
          </w:tcPr>
          <w:p>
            <w:pPr>
              <w:spacing w:after="0"/>
              <w:rPr>
                <w:sz w:val="19"/>
                <w:szCs w:val="19"/>
                <w:color w:val="auto"/>
              </w:rPr>
            </w:pPr>
          </w:p>
        </w:tc>
      </w:tr>
      <w:tr>
        <w:trPr>
          <w:trHeight w:val="239"/>
        </w:trPr>
        <w:tc>
          <w:tcPr>
            <w:tcW w:w="20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02"/>
        </w:trPr>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Total Columbia</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Proportionat</w:t>
            </w: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26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Accumulat</w:t>
            </w:r>
          </w:p>
        </w:tc>
        <w:tc>
          <w:tcPr>
            <w:tcW w:w="10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Care Inc.</w:t>
            </w:r>
          </w:p>
        </w:tc>
        <w:tc>
          <w:tcPr>
            <w:tcW w:w="140" w:type="dxa"/>
            <w:vAlign w:val="bottom"/>
          </w:tcPr>
          <w:p>
            <w:pPr>
              <w:spacing w:after="0"/>
              <w:rPr>
                <w:sz w:val="17"/>
                <w:szCs w:val="17"/>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Non-</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2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w:t>
            </w:r>
          </w:p>
        </w:tc>
        <w:tc>
          <w:tcPr>
            <w:tcW w:w="140" w:type="dxa"/>
            <w:vAlign w:val="bottom"/>
          </w:tcPr>
          <w:p>
            <w:pPr>
              <w:spacing w:after="0"/>
              <w:rPr>
                <w:sz w:val="17"/>
                <w:szCs w:val="17"/>
                <w:color w:val="auto"/>
              </w:rPr>
            </w:pPr>
          </w:p>
        </w:tc>
        <w:tc>
          <w:tcPr>
            <w:tcW w:w="76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Paid-in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ed</w:t>
            </w:r>
          </w:p>
        </w:tc>
        <w:tc>
          <w:tcPr>
            <w:tcW w:w="1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Shareholders'</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Controlling</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w:t>
            </w:r>
          </w:p>
        </w:tc>
      </w:tr>
      <w:tr>
        <w:trPr>
          <w:trHeight w:val="223"/>
        </w:trPr>
        <w:tc>
          <w:tcPr>
            <w:tcW w:w="204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6"/>
                <w:szCs w:val="16"/>
                <w:b w:val="1"/>
                <w:bCs w:val="1"/>
                <w:color w:val="auto"/>
                <w:w w:val="89"/>
              </w:rPr>
              <w:t>Units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Voting Shares</w:t>
            </w:r>
          </w:p>
        </w:tc>
        <w:tc>
          <w:tcPr>
            <w:tcW w:w="14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Capital</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9"/>
                <w:szCs w:val="19"/>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Interest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Equity</w:t>
            </w:r>
          </w:p>
        </w:tc>
      </w:tr>
      <w:tr>
        <w:trPr>
          <w:trHeight w:val="202"/>
        </w:trPr>
        <w:tc>
          <w:tcPr>
            <w:tcW w:w="2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w:t>
            </w: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391,238,4</w:t>
            </w:r>
          </w:p>
        </w:tc>
        <w:tc>
          <w:tcPr>
            <w:tcW w:w="2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30"/>
        </w:trPr>
        <w:tc>
          <w:tcPr>
            <w:tcW w:w="2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31, 2022</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84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10,009,819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1,117,287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(904,003 )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213,284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(6,381 )</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5"/>
              </w:rPr>
              <w:t>$ 206,903</w:t>
            </w:r>
          </w:p>
        </w:tc>
        <w:tc>
          <w:tcPr>
            <w:tcW w:w="140" w:type="dxa"/>
            <w:vAlign w:val="bottom"/>
            <w:shd w:val="clear" w:color="auto" w:fill="CFF0FC"/>
          </w:tcPr>
          <w:p>
            <w:pPr>
              <w:spacing w:after="0"/>
              <w:rPr>
                <w:sz w:val="19"/>
                <w:szCs w:val="19"/>
                <w:color w:val="auto"/>
              </w:rPr>
            </w:pPr>
          </w:p>
        </w:tc>
      </w:tr>
      <w:tr>
        <w:trPr>
          <w:trHeight w:val="206"/>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Equity-based compensation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2,116,944</w:t>
            </w: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6,611</w:t>
            </w:r>
          </w:p>
        </w:tc>
        <w:tc>
          <w:tcPr>
            <w:tcW w:w="140" w:type="dxa"/>
            <w:vAlign w:val="bottom"/>
          </w:tcPr>
          <w:p>
            <w:pPr>
              <w:spacing w:after="0"/>
              <w:rPr>
                <w:sz w:val="18"/>
                <w:szCs w:val="18"/>
                <w:color w:val="auto"/>
              </w:rPr>
            </w:pPr>
          </w:p>
        </w:tc>
      </w:tr>
      <w:tr>
        <w:trPr>
          <w:trHeight w:val="216"/>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Conversion between classes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6"/>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of shares</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54,158</w:t>
            </w:r>
          </w:p>
        </w:tc>
        <w:tc>
          <w:tcPr>
            <w:tcW w:w="15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(54,158 )</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6"/>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Deconsolidation of</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subsidiary</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4,383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4,383</w:t>
            </w:r>
          </w:p>
        </w:tc>
        <w:tc>
          <w:tcPr>
            <w:tcW w:w="140" w:type="dxa"/>
            <w:vAlign w:val="bottom"/>
          </w:tcPr>
          <w:p>
            <w:pPr>
              <w:spacing w:after="0"/>
              <w:rPr>
                <w:sz w:val="18"/>
                <w:szCs w:val="18"/>
                <w:color w:val="auto"/>
              </w:rPr>
            </w:pPr>
          </w:p>
        </w:tc>
      </w:tr>
      <w:tr>
        <w:trPr>
          <w:trHeight w:val="233"/>
        </w:trPr>
        <w:tc>
          <w:tcPr>
            <w:tcW w:w="2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(37,340 )</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(37,340 )</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w:t>
            </w:r>
          </w:p>
        </w:tc>
        <w:tc>
          <w:tcPr>
            <w:tcW w:w="2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(36,572 )</w:t>
            </w:r>
          </w:p>
        </w:tc>
      </w:tr>
      <w:tr>
        <w:trPr>
          <w:trHeight w:val="202"/>
        </w:trPr>
        <w:tc>
          <w:tcPr>
            <w:tcW w:w="20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Balance as of March 31,</w:t>
            </w: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393,409,5</w:t>
            </w:r>
          </w:p>
        </w:tc>
        <w:tc>
          <w:tcPr>
            <w:tcW w:w="26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10"/>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86</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9,955,661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1,123,898</w:t>
            </w: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(941,343 )</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182,555</w:t>
            </w:r>
          </w:p>
        </w:tc>
        <w:tc>
          <w:tcPr>
            <w:tcW w:w="2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(1,230 )</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181,325</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-2481580</wp:posOffset>
            </wp:positionV>
            <wp:extent cx="77470" cy="282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-2481580</wp:posOffset>
            </wp:positionV>
            <wp:extent cx="85725"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28257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-2481580</wp:posOffset>
            </wp:positionV>
            <wp:extent cx="85725" cy="282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28257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-2481580</wp:posOffset>
            </wp:positionV>
            <wp:extent cx="77470" cy="282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-2481580</wp:posOffset>
            </wp:positionV>
            <wp:extent cx="85725"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28257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-2481580</wp:posOffset>
            </wp:positionV>
            <wp:extent cx="85725" cy="282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28257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-2481580</wp:posOffset>
            </wp:positionV>
            <wp:extent cx="77470" cy="282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-2481580</wp:posOffset>
            </wp:positionV>
            <wp:extent cx="85725" cy="282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28257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-269875</wp:posOffset>
            </wp:positionV>
            <wp:extent cx="7747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-269875</wp:posOffset>
            </wp:positionV>
            <wp:extent cx="85725"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28321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-269875</wp:posOffset>
            </wp:positionV>
            <wp:extent cx="85725"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28321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-269875</wp:posOffset>
            </wp:positionV>
            <wp:extent cx="7747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28321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-269875</wp:posOffset>
            </wp:positionV>
            <wp:extent cx="85725"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28321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-269875</wp:posOffset>
            </wp:positionV>
            <wp:extent cx="85725"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28321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-269875</wp:posOffset>
            </wp:positionV>
            <wp:extent cx="7747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2832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-269875</wp:posOffset>
            </wp:positionV>
            <wp:extent cx="85725"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283210"/>
                    </a:xfrm>
                    <a:prstGeom prst="rect">
                      <a:avLst/>
                    </a:prstGeom>
                    <a:noFill/>
                  </pic:spPr>
                </pic:pic>
              </a:graphicData>
            </a:graphic>
          </wp:anchor>
        </w:drawing>
      </w:r>
    </w:p>
    <w:p>
      <w:pPr>
        <w:spacing w:after="0" w:line="120"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amounts shown are net of any shares withheld by the Company to satisfy certain tax withholdings in connection with vesting of equity-based awards.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7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8"/>
              </w:rPr>
              <w:t>March 31, 2023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8"/>
              </w:rPr>
              <w:t>March 31, 2022</w:t>
            </w:r>
          </w:p>
        </w:tc>
      </w:tr>
      <w:tr>
        <w:trPr>
          <w:trHeight w:val="230"/>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(36,572 )</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(27,906 )</w:t>
            </w: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15,063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21,210</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Equity-based compensation</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6,515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6,374</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Debt amortization expense</w:t>
            </w: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2,291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1,936</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deconsolidation of subsidiary</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2,473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Provision for obsolete inventory and other assets</w:t>
            </w: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156</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766</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(4,560 )</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Change in fair value of derivative liability</w:t>
            </w: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683</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217</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acquisitions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9"/>
        </w:trPr>
        <w:tc>
          <w:tcPr>
            <w:tcW w:w="7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(2,322 )</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1,726</w:t>
            </w:r>
          </w:p>
        </w:tc>
      </w:tr>
      <w:tr>
        <w:trPr>
          <w:trHeight w:val="220"/>
        </w:trPr>
        <w:tc>
          <w:tcPr>
            <w:tcW w:w="770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(6,315 )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(14,851 )</w:t>
            </w:r>
          </w:p>
        </w:tc>
      </w:tr>
      <w:tr>
        <w:trPr>
          <w:trHeight w:val="239"/>
        </w:trPr>
        <w:tc>
          <w:tcPr>
            <w:tcW w:w="7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(2,442 )</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1,942</w:t>
            </w:r>
          </w:p>
        </w:tc>
      </w:tr>
      <w:tr>
        <w:trPr>
          <w:trHeight w:val="220"/>
        </w:trPr>
        <w:tc>
          <w:tcPr>
            <w:tcW w:w="77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6,126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(6,111 )</w:t>
            </w:r>
          </w:p>
        </w:tc>
      </w:tr>
      <w:tr>
        <w:trPr>
          <w:trHeight w:val="239"/>
        </w:trPr>
        <w:tc>
          <w:tcPr>
            <w:tcW w:w="7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8,134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(12,072 )</w:t>
            </w:r>
          </w:p>
        </w:tc>
      </w:tr>
      <w:tr>
        <w:trPr>
          <w:trHeight w:val="220"/>
        </w:trPr>
        <w:tc>
          <w:tcPr>
            <w:tcW w:w="770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(4,874 )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(8,037 )</w:t>
            </w:r>
          </w:p>
        </w:tc>
      </w:tr>
      <w:tr>
        <w:trPr>
          <w:trHeight w:val="239"/>
        </w:trPr>
        <w:tc>
          <w:tcPr>
            <w:tcW w:w="7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9,194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5,172</w:t>
            </w:r>
          </w:p>
        </w:tc>
      </w:tr>
      <w:tr>
        <w:trPr>
          <w:trHeight w:val="227"/>
        </w:trPr>
        <w:tc>
          <w:tcPr>
            <w:tcW w:w="7700" w:type="dxa"/>
            <w:vAlign w:val="bottom"/>
          </w:tcPr>
          <w:p>
            <w:pPr>
              <w:ind w:left="3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(2,221 )</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6,299</w:t>
            </w:r>
          </w:p>
        </w:tc>
      </w:tr>
      <w:tr>
        <w:trPr>
          <w:trHeight w:val="22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cash used in operating activities</w:t>
            </w: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(3,405 )</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(27,822 )</w:t>
            </w: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(5,724 )</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(29,511 )</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Proceeds from sale of plant, property and equipment</w:t>
            </w: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179</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deconsolidation of MO entity</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3,040</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Cash received (paid) on deposits, net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(223 )</w:t>
            </w:r>
          </w:p>
        </w:tc>
      </w:tr>
      <w:tr>
        <w:trPr>
          <w:trHeight w:val="227"/>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(2,552 )</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(29,555 )</w:t>
            </w: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debt and warrants</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153,250</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Payment of debt issuance costs</w:t>
            </w: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(7,266 )</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 of debt</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(170 )</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(122 )</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Payment of lease liabilities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(1,588 )</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(1,642 )</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 of sellers note</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(375 )</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(375 )</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Exercise of warrants</w:t>
            </w: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424</w:t>
            </w: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Taxes paid on equity based compensation</w:t>
            </w: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(16 )</w:t>
            </w:r>
          </w:p>
        </w:tc>
      </w:tr>
      <w:tr>
        <w:trPr>
          <w:trHeight w:val="223"/>
        </w:trPr>
        <w:tc>
          <w:tcPr>
            <w:tcW w:w="7700" w:type="dxa"/>
            <w:vAlign w:val="bottom"/>
          </w:tcPr>
          <w:p>
            <w:pPr>
              <w:ind w:left="200"/>
              <w:spacing w:after="0"/>
              <w:rPr>
                <w:sz w:val="20"/>
                <w:szCs w:val="20"/>
                <w:color w:val="auto"/>
              </w:rPr>
            </w:pPr>
            <w:r>
              <w:rPr>
                <w:rFonts w:ascii="Arial" w:cs="Arial" w:eastAsia="Arial" w:hAnsi="Arial"/>
                <w:sz w:val="16"/>
                <w:szCs w:val="16"/>
                <w:color w:val="auto"/>
              </w:rPr>
              <w:t>Net cash (used in)/provided by financing activities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(2,037 )</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144,253</w:t>
            </w:r>
          </w:p>
        </w:tc>
      </w:tr>
      <w:tr>
        <w:trPr>
          <w:trHeight w:val="226"/>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(decrease)/increase in cash</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(7,994 )</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86,876</w:t>
            </w:r>
          </w:p>
        </w:tc>
      </w:tr>
      <w:tr>
        <w:trPr>
          <w:trHeight w:val="226"/>
        </w:trPr>
        <w:tc>
          <w:tcPr>
            <w:tcW w:w="7700" w:type="dxa"/>
            <w:vAlign w:val="bottom"/>
          </w:tcPr>
          <w:p>
            <w:pPr>
              <w:ind w:left="20"/>
              <w:spacing w:after="0"/>
              <w:rPr>
                <w:sz w:val="20"/>
                <w:szCs w:val="20"/>
                <w:color w:val="auto"/>
              </w:rPr>
            </w:pPr>
            <w:r>
              <w:rPr>
                <w:rFonts w:ascii="Arial" w:cs="Arial" w:eastAsia="Arial" w:hAnsi="Arial"/>
                <w:sz w:val="16"/>
                <w:szCs w:val="16"/>
                <w:color w:val="auto"/>
              </w:rPr>
              <w:t>Cash and restricted cash at beginning of the period</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49,488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82,533</w:t>
            </w:r>
          </w:p>
        </w:tc>
      </w:tr>
      <w:tr>
        <w:trPr>
          <w:trHeight w:val="266"/>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restricted cash at end of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41,494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169,409</w:t>
            </w:r>
          </w:p>
        </w:tc>
      </w:tr>
      <w:tr>
        <w:trPr>
          <w:trHeight w:val="20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40,159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168,424</w:t>
            </w:r>
          </w:p>
        </w:tc>
      </w:tr>
      <w:tr>
        <w:trPr>
          <w:trHeight w:val="227"/>
        </w:trPr>
        <w:tc>
          <w:tcPr>
            <w:tcW w:w="77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1,335</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985</w:t>
            </w:r>
          </w:p>
        </w:tc>
      </w:tr>
      <w:tr>
        <w:trPr>
          <w:trHeight w:val="266"/>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restricted cash, end of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41,494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169,409</w:t>
            </w:r>
          </w:p>
        </w:tc>
      </w:tr>
      <w:tr>
        <w:trPr>
          <w:trHeight w:val="20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5,716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6,209</w:t>
            </w:r>
          </w:p>
        </w:tc>
      </w:tr>
      <w:tr>
        <w:trPr>
          <w:trHeight w:val="239"/>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cash flows from finance leases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1,457</w:t>
            </w:r>
          </w:p>
        </w:tc>
      </w:tr>
      <w:tr>
        <w:trPr>
          <w:trHeight w:val="220"/>
        </w:trPr>
        <w:tc>
          <w:tcPr>
            <w:tcW w:w="7700" w:type="dxa"/>
            <w:vAlign w:val="bottom"/>
          </w:tcPr>
          <w:p>
            <w:pPr>
              <w:ind w:left="200"/>
              <w:spacing w:after="0"/>
              <w:rPr>
                <w:sz w:val="20"/>
                <w:szCs w:val="20"/>
                <w:color w:val="auto"/>
              </w:rPr>
            </w:pPr>
            <w:r>
              <w:rPr>
                <w:rFonts w:ascii="Arial" w:cs="Arial" w:eastAsia="Arial" w:hAnsi="Arial"/>
                <w:sz w:val="16"/>
                <w:szCs w:val="16"/>
                <w:color w:val="auto"/>
              </w:rPr>
              <w:t>Financing cash flows from finance leases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1,588</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1,642</w:t>
            </w: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 on other obligations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12,607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5,302</w:t>
            </w: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729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70</w:t>
            </w: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liabilities arising from the recognition of finance right-of-use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1,597</w:t>
            </w: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Lease liabilities arising from the recognition of operating right-of-use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3,264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551</w:t>
            </w: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Non-cash fixed asset additions within accounts payable and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478</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11,010</w:t>
            </w: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equity issuance costs within accrued expenses and 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-5211445</wp:posOffset>
            </wp:positionV>
            <wp:extent cx="12001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-4486910</wp:posOffset>
            </wp:positionV>
            <wp:extent cx="7132320" cy="3213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2131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-3145790</wp:posOffset>
            </wp:positionV>
            <wp:extent cx="120015"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30861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-2391410</wp:posOffset>
            </wp:positionV>
            <wp:extent cx="12001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-1774190</wp:posOffset>
            </wp:positionV>
            <wp:extent cx="12001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727"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6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2023, AND 2022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 OF THE COMPANY</w:t>
      </w:r>
    </w:p>
    <w:p>
      <w:pPr>
        <w:spacing w:after="0" w:line="161"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Columbia Care Inc. (“the Company” or “the Parent”),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19"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April 26, 2019, the Company completed a reverse takeover (“RTO”) transaction and private placement. Following the RTO, the Company’s Common Shares were listed on the Aequitas NEO exchange, trading under the symbol “CCHW”. As of the time of this report, the Company’s Common Shares are also listed on the Canadian Securities Exchange (the “CSE”) under the symbol “CCHW”, the OTCQX Best Market under the symbol “CCHWF” and on the Frankfurt Stock Exchange under the symbol “3LP”.</w:t>
      </w:r>
    </w:p>
    <w:p>
      <w:pPr>
        <w:spacing w:after="0" w:line="105" w:lineRule="exact"/>
        <w:rPr>
          <w:rFonts w:ascii="Arial" w:cs="Arial" w:eastAsia="Arial" w:hAnsi="Arial"/>
          <w:sz w:val="18"/>
          <w:szCs w:val="18"/>
          <w:b w:val="1"/>
          <w:bCs w:val="1"/>
          <w:color w:val="auto"/>
        </w:rPr>
      </w:pPr>
    </w:p>
    <w:p>
      <w:pPr>
        <w:jc w:val="both"/>
        <w:ind w:left="3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March 23, 2022, the Company jointly announced with Cresco Labs LLC (“Cresco Labs”) that the Company and Cresco Labs have entered into a definitive arrangement agreement (the “Arrangement Agreement”) pursuant to which Cresco Labs will acquire all of the issued and outstanding shares (the “Company Shares”) of the Company (the “Cresco Transaction”). Subject to closing conditions and necessary regulatory approvals, closure of the Cresco Transaction must occur no later than June 30, 2023 per the terms of the Arrangement Agreement, as amended. Under the terms of the Arrangement Agreement, shareholders of the Company (the “Company Shareholders”) will receive 0.5579 of a subordinate voting share of Cresco Labs (each whole share, a “Cresco Labs Share”) for each Company common share (or equivalent) held, subject to adjustment, representing total consideration enterprise value of approximately US$2.0 billion based on the closing price of Cresco Labs Shares on the CSE as of March 22, 2022. After giving effect to the Cresco Transaction, Company Shareholders will hold approximately 35% of the pro forma Cresco Labs Shares (on a fully diluted in-the-money, treasury method basis).</w:t>
      </w:r>
    </w:p>
    <w:p>
      <w:pPr>
        <w:spacing w:after="0" w:line="109" w:lineRule="exact"/>
        <w:rPr>
          <w:rFonts w:ascii="Arial" w:cs="Arial" w:eastAsia="Arial" w:hAnsi="Arial"/>
          <w:sz w:val="18"/>
          <w:szCs w:val="18"/>
          <w:b w:val="1"/>
          <w:bCs w:val="1"/>
          <w:color w:val="auto"/>
        </w:rPr>
      </w:pPr>
    </w:p>
    <w:p>
      <w:pPr>
        <w:ind w:left="380" w:right="6200" w:hanging="372"/>
        <w:spacing w:after="0" w:line="417" w:lineRule="auto"/>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preparation</w:t>
      </w: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interim consolidated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116" w:lineRule="exact"/>
        <w:rPr>
          <w:rFonts w:ascii="Arial" w:cs="Arial" w:eastAsia="Arial" w:hAnsi="Arial"/>
          <w:sz w:val="18"/>
          <w:szCs w:val="18"/>
          <w:b w:val="1"/>
          <w:bCs w:val="1"/>
          <w:color w:val="auto"/>
        </w:rPr>
      </w:pPr>
    </w:p>
    <w:p>
      <w:pPr>
        <w:jc w:val="both"/>
        <w:ind w:left="3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interim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months ended March 31, 2023 are not necessarily indicative of the results that may be expected for the current year ending December 31, 2023. The financial data presented herein should be read in conjunction with the audited consolidated financial statements and accompanying notes as of and for the years ended December 31, 2022, and 2021 included in the Annual Report on Form 10-K for the year ended December 31, 2022 (the “2022 Form 10-K”).</w:t>
      </w:r>
    </w:p>
    <w:p>
      <w:pPr>
        <w:spacing w:after="0" w:line="127" w:lineRule="exact"/>
        <w:rPr>
          <w:rFonts w:ascii="Arial" w:cs="Arial" w:eastAsia="Arial" w:hAnsi="Arial"/>
          <w:sz w:val="18"/>
          <w:szCs w:val="18"/>
          <w:b w:val="1"/>
          <w:bCs w:val="1"/>
          <w:color w:val="auto"/>
        </w:rPr>
      </w:pPr>
    </w:p>
    <w:p>
      <w:pPr>
        <w:jc w:val="both"/>
        <w:ind w:left="3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these unaudited condensed interim consolidated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84" w:lineRule="exact"/>
        <w:rPr>
          <w:rFonts w:ascii="Arial" w:cs="Arial" w:eastAsia="Arial" w:hAnsi="Arial"/>
          <w:sz w:val="18"/>
          <w:szCs w:val="18"/>
          <w:b w:val="1"/>
          <w:bCs w:val="1"/>
          <w:color w:val="auto"/>
        </w:rPr>
      </w:pPr>
    </w:p>
    <w:p>
      <w:pPr>
        <w:ind w:lef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1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Significant Accounting Judgments, Estimates and Assumptions</w:t>
      </w:r>
    </w:p>
    <w:p>
      <w:pPr>
        <w:spacing w:after="0" w:line="157" w:lineRule="exact"/>
        <w:rPr>
          <w:rFonts w:ascii="Arial" w:cs="Arial" w:eastAsia="Arial" w:hAnsi="Arial"/>
          <w:sz w:val="18"/>
          <w:szCs w:val="18"/>
          <w:b w:val="1"/>
          <w:bCs w:val="1"/>
          <w:color w:val="auto"/>
        </w:rPr>
      </w:pPr>
    </w:p>
    <w:p>
      <w:pPr>
        <w:ind w:lef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accounting policies are described in Note 2 to the Company’s 2022 Form 10-K, filed with the SEC, on March 29, 2023. There have been no material changes to the Company’s significant accounting policies.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ind w:left="38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revenues are disaggregated as follows:</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0"/>
              </w:rPr>
              <w:t>Three months ended</w:t>
            </w:r>
          </w:p>
        </w:tc>
        <w:tc>
          <w:tcPr>
            <w:tcW w:w="1760" w:type="dxa"/>
            <w:vAlign w:val="bottom"/>
            <w:tcBorders>
              <w:bottom w:val="single" w:sz="8" w:color="auto"/>
            </w:tcBorders>
          </w:tcPr>
          <w:p>
            <w:pPr>
              <w:spacing w:after="0"/>
              <w:rPr>
                <w:sz w:val="19"/>
                <w:szCs w:val="19"/>
                <w:color w:val="auto"/>
              </w:rPr>
            </w:pPr>
          </w:p>
        </w:tc>
      </w:tr>
      <w:tr>
        <w:trPr>
          <w:trHeight w:val="223"/>
        </w:trPr>
        <w:tc>
          <w:tcPr>
            <w:tcW w:w="36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93"/>
              </w:rPr>
              <w:t>March 31, 2022</w:t>
            </w: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Dispensary</w:t>
            </w:r>
          </w:p>
        </w:tc>
        <w:tc>
          <w:tcPr>
            <w:tcW w:w="1660" w:type="dxa"/>
            <w:vAlign w:val="bottom"/>
            <w:shd w:val="clear" w:color="auto" w:fill="CFF0FC"/>
          </w:tcPr>
          <w:p>
            <w:pPr>
              <w:jc w:val="right"/>
              <w:ind w:right="150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109,156</w:t>
            </w:r>
          </w:p>
        </w:tc>
        <w:tc>
          <w:tcPr>
            <w:tcW w:w="7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105,816</w:t>
            </w:r>
          </w:p>
        </w:tc>
      </w:tr>
      <w:tr>
        <w:trPr>
          <w:trHeight w:val="220"/>
        </w:trPr>
        <w:tc>
          <w:tcPr>
            <w:tcW w:w="3620" w:type="dxa"/>
            <w:vAlign w:val="bottom"/>
          </w:tcPr>
          <w:p>
            <w:pPr>
              <w:spacing w:after="0"/>
              <w:rPr>
                <w:sz w:val="20"/>
                <w:szCs w:val="20"/>
                <w:color w:val="auto"/>
              </w:rPr>
            </w:pPr>
            <w:r>
              <w:rPr>
                <w:rFonts w:ascii="Arial" w:cs="Arial" w:eastAsia="Arial" w:hAnsi="Arial"/>
                <w:sz w:val="16"/>
                <w:szCs w:val="16"/>
                <w:color w:val="auto"/>
              </w:rPr>
              <w:t>Cultivation and wholesale</w:t>
            </w:r>
          </w:p>
        </w:tc>
        <w:tc>
          <w:tcPr>
            <w:tcW w:w="166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15,362</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17,123</w:t>
            </w:r>
          </w:p>
        </w:tc>
      </w:tr>
      <w:tr>
        <w:trPr>
          <w:trHeight w:val="236"/>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6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148</w:t>
            </w:r>
          </w:p>
        </w:tc>
      </w:tr>
      <w:tr>
        <w:trPr>
          <w:trHeight w:val="219"/>
        </w:trPr>
        <w:tc>
          <w:tcPr>
            <w:tcW w:w="3620" w:type="dxa"/>
            <w:vAlign w:val="bottom"/>
          </w:tcPr>
          <w:p>
            <w:pPr>
              <w:spacing w:after="0"/>
              <w:rPr>
                <w:sz w:val="19"/>
                <w:szCs w:val="19"/>
                <w:color w:val="auto"/>
              </w:rPr>
            </w:pPr>
          </w:p>
        </w:tc>
        <w:tc>
          <w:tcPr>
            <w:tcW w:w="1660" w:type="dxa"/>
            <w:vAlign w:val="bottom"/>
          </w:tcPr>
          <w:p>
            <w:pPr>
              <w:jc w:val="right"/>
              <w:ind w:right="150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124,535</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123,087</w:t>
            </w:r>
          </w:p>
        </w:tc>
      </w:tr>
      <w:tr>
        <w:trPr>
          <w:trHeight w:val="20"/>
        </w:trPr>
        <w:tc>
          <w:tcPr>
            <w:tcW w:w="36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-179070</wp:posOffset>
            </wp:positionV>
            <wp:extent cx="13716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79705"/>
                    </a:xfrm>
                    <a:prstGeom prst="rect">
                      <a:avLst/>
                    </a:prstGeom>
                    <a:noFill/>
                  </pic:spPr>
                </pic:pic>
              </a:graphicData>
            </a:graphic>
          </wp:anchor>
        </w:drawing>
      </w:r>
    </w:p>
    <w:p>
      <w:pPr>
        <w:spacing w:after="0" w:line="114"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During the three months ended March 31, 2023, and March 31, 2022 the Company netted discounts of $33,225 and $20,520 respectively, against the revenues. Discounts are provided by the Company during promotional days or weekends. Discounts are also provided to employees, seniors and other categories of customers and may include price reductions and coupons.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left="380"/>
        <w:spacing w:after="0" w:line="271" w:lineRule="auto"/>
        <w:rPr>
          <w:sz w:val="20"/>
          <w:szCs w:val="20"/>
          <w:color w:val="auto"/>
        </w:rPr>
      </w:pPr>
      <w:r>
        <w:rPr>
          <w:rFonts w:ascii="Arial" w:cs="Arial" w:eastAsia="Arial" w:hAnsi="Arial"/>
          <w:sz w:val="17"/>
          <w:szCs w:val="17"/>
          <w:color w:val="auto"/>
        </w:rPr>
        <w:t>The Company calculated its actual effective tax rate for the interim period and applied that rate to the interim period results. In accordance with ASC 740-270, at the end of each interim period the Company is required to determine its best estimate of its annual effective tax rate and apply that rate in providing income taxes on an interim period. However, in certain circumstances when the Company concludes it is unable to reliably estimate the annual effective tax rate for the year, the actual effective tax rate for the interim period may be used. The Company believes that, at this time, the use of the actual effective tax rate is more appropriate than the estimated annual effective tax rate method as the estimated annual effective tax rate method is not reliable due to the high degree of uncertainty in estimating annual pre-tax income due to the stage of growth of the business, the correlation of Selling, General, and Administrative ("SG&amp;A") expenses to revenue that are permanently disallowed via Section 280E of the Internal Revenue Code, and the timing of the completion of the Cresco transaction.</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Modification of debt</w:t>
      </w:r>
    </w:p>
    <w:p>
      <w:pPr>
        <w:spacing w:after="0" w:line="158"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Company accounts for modifications of debt arrangements in accordance with ASC 470-50 Modifications and Extinguishments (“ASC 470-50”). As such, the Company continues to amortize any remaining unamortized debt discount as of the debt modification date over the term of the amended debt. The Company expenses any fees paid to third parties and capitalizes creditor fees associated with the modification as a debt discount and amortizes them over the term of the amended debt.</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We include the results of operations of the businesses that we acquire as of the acquisition date. We allocate the purchase price of the acquisitions to the assets acquired and liabilities assumed based on their estimated fair values. The excess of the purchase price over the fair values of identifiable assets and liabilities is recorded as goodwill. Acquisition-related expenses are recognized separately from the business combination and are expensed as incurred.</w:t>
      </w:r>
    </w:p>
    <w:p>
      <w:pPr>
        <w:spacing w:after="0" w:line="33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w:t>
        <w:tab/>
        <w:t>INVENTORY</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Details of the Company’s inventory are shown in the table below:</w:t>
      </w:r>
    </w:p>
    <w:p>
      <w:pPr>
        <w:spacing w:after="0" w:line="199" w:lineRule="exact"/>
        <w:rPr>
          <w:sz w:val="20"/>
          <w:szCs w:val="20"/>
          <w:color w:val="auto"/>
        </w:rPr>
      </w:pPr>
    </w:p>
    <w:tbl>
      <w:tblPr>
        <w:tblLayout w:type="fixed"/>
        <w:tblInd w:w="134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4"/>
              </w:rPr>
              <w:t>December 31, 2022</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Accessories and supplies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1,629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1,506</w:t>
            </w:r>
          </w:p>
        </w:tc>
      </w:tr>
      <w:tr>
        <w:trPr>
          <w:trHeight w:val="220"/>
        </w:trPr>
        <w:tc>
          <w:tcPr>
            <w:tcW w:w="4940" w:type="dxa"/>
            <w:vAlign w:val="bottom"/>
          </w:tcPr>
          <w:p>
            <w:pPr>
              <w:spacing w:after="0"/>
              <w:rPr>
                <w:sz w:val="20"/>
                <w:szCs w:val="20"/>
                <w:color w:val="auto"/>
              </w:rPr>
            </w:pPr>
            <w:r>
              <w:rPr>
                <w:rFonts w:ascii="Arial" w:cs="Arial" w:eastAsia="Arial" w:hAnsi="Arial"/>
                <w:sz w:val="16"/>
                <w:szCs w:val="16"/>
                <w:color w:val="auto"/>
              </w:rPr>
              <w:t>Work-in-process - cannabis in cures and final vault</w:t>
            </w:r>
          </w:p>
        </w:tc>
        <w:tc>
          <w:tcPr>
            <w:tcW w:w="20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90,538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92,963</w:t>
            </w: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Finished goods - dried cannabis, concentrate and edible products</w:t>
            </w:r>
          </w:p>
        </w:tc>
        <w:tc>
          <w:tcPr>
            <w:tcW w:w="2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40,457</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33,436</w:t>
            </w:r>
          </w:p>
        </w:tc>
      </w:tr>
      <w:tr>
        <w:trPr>
          <w:trHeight w:val="226"/>
        </w:trPr>
        <w:tc>
          <w:tcPr>
            <w:tcW w:w="4940" w:type="dxa"/>
            <w:vAlign w:val="bottom"/>
          </w:tcPr>
          <w:p>
            <w:pPr>
              <w:spacing w:after="0"/>
              <w:rPr>
                <w:sz w:val="20"/>
                <w:szCs w:val="20"/>
                <w:color w:val="auto"/>
              </w:rPr>
            </w:pPr>
            <w:r>
              <w:rPr>
                <w:rFonts w:ascii="Arial" w:cs="Arial" w:eastAsia="Arial" w:hAnsi="Arial"/>
                <w:sz w:val="16"/>
                <w:szCs w:val="16"/>
                <w:b w:val="1"/>
                <w:bCs w:val="1"/>
                <w:color w:val="auto"/>
              </w:rPr>
              <w:t>Total inventory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132,624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127,905</w:t>
            </w:r>
          </w:p>
        </w:tc>
      </w:tr>
      <w:tr>
        <w:trPr>
          <w:trHeight w:val="20"/>
        </w:trPr>
        <w:tc>
          <w:tcPr>
            <w:tcW w:w="4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-179070</wp:posOffset>
            </wp:positionV>
            <wp:extent cx="8572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398"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The inventory values are net of inventory write-downs as a result of obsolescence or unmarketability charged to cost of sales. As a result of certain restructuring efforts there was a $601 write-down during the three months ended March 31, 2023. There were no material write-downs during the three months ended March 31,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 w:name="page10"/>
    <w:bookmarkEnd w:id="9"/>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CURRENT AND LONG-TERM DEBT</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Current and long-term obligations, net, are shown in the table below:</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4"/>
              </w:rPr>
              <w:t>December 31, 2022</w:t>
            </w:r>
          </w:p>
        </w:tc>
      </w:tr>
      <w:tr>
        <w:trPr>
          <w:trHeight w:val="229"/>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 Notes</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120" w:type="dxa"/>
            <w:vAlign w:val="bottom"/>
            <w:shd w:val="clear" w:color="auto" w:fill="CFF0FC"/>
          </w:tcPr>
          <w:p>
            <w:pPr>
              <w:spacing w:after="0"/>
              <w:rPr>
                <w:sz w:val="19"/>
                <w:szCs w:val="19"/>
                <w:color w:val="auto"/>
              </w:rPr>
            </w:pPr>
          </w:p>
        </w:tc>
      </w:tr>
      <w:tr>
        <w:trPr>
          <w:trHeight w:val="220"/>
        </w:trPr>
        <w:tc>
          <w:tcPr>
            <w:tcW w:w="5040" w:type="dxa"/>
            <w:vAlign w:val="bottom"/>
          </w:tcPr>
          <w:p>
            <w:pPr>
              <w:ind w:left="20"/>
              <w:spacing w:after="0"/>
              <w:rPr>
                <w:sz w:val="20"/>
                <w:szCs w:val="20"/>
                <w:color w:val="auto"/>
              </w:rPr>
            </w:pPr>
            <w:r>
              <w:rPr>
                <w:rFonts w:ascii="Arial" w:cs="Arial" w:eastAsia="Arial" w:hAnsi="Arial"/>
                <w:sz w:val="16"/>
                <w:szCs w:val="16"/>
                <w:color w:val="auto"/>
              </w:rPr>
              <w:t>Term debt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38,215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38,215</w:t>
            </w:r>
          </w:p>
        </w:tc>
        <w:tc>
          <w:tcPr>
            <w:tcW w:w="120" w:type="dxa"/>
            <w:vAlign w:val="bottom"/>
          </w:tcPr>
          <w:p>
            <w:pPr>
              <w:spacing w:after="0"/>
              <w:rPr>
                <w:sz w:val="19"/>
                <w:szCs w:val="19"/>
                <w:color w:val="auto"/>
              </w:rPr>
            </w:pPr>
          </w:p>
        </w:tc>
      </w:tr>
      <w:tr>
        <w:trPr>
          <w:trHeight w:val="239"/>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 Convertible Notes</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w:t>
            </w:r>
          </w:p>
        </w:tc>
        <w:tc>
          <w:tcPr>
            <w:tcW w:w="120" w:type="dxa"/>
            <w:vAlign w:val="bottom"/>
            <w:shd w:val="clear" w:color="auto" w:fill="CFF0FC"/>
          </w:tcPr>
          <w:p>
            <w:pPr>
              <w:spacing w:after="0"/>
              <w:rPr>
                <w:sz w:val="20"/>
                <w:szCs w:val="20"/>
                <w:color w:val="auto"/>
              </w:rPr>
            </w:pPr>
          </w:p>
        </w:tc>
      </w:tr>
      <w:tr>
        <w:trPr>
          <w:trHeight w:val="220"/>
        </w:trPr>
        <w:tc>
          <w:tcPr>
            <w:tcW w:w="5040" w:type="dxa"/>
            <w:vAlign w:val="bottom"/>
          </w:tcPr>
          <w:p>
            <w:pPr>
              <w:ind w:left="20"/>
              <w:spacing w:after="0"/>
              <w:rPr>
                <w:sz w:val="20"/>
                <w:szCs w:val="20"/>
                <w:color w:val="auto"/>
              </w:rPr>
            </w:pPr>
            <w:r>
              <w:rPr>
                <w:rFonts w:ascii="Arial" w:cs="Arial" w:eastAsia="Arial" w:hAnsi="Arial"/>
                <w:sz w:val="16"/>
                <w:szCs w:val="16"/>
                <w:color w:val="auto"/>
              </w:rPr>
              <w:t>Mortgage Note</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35,820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35,965</w:t>
            </w:r>
          </w:p>
        </w:tc>
        <w:tc>
          <w:tcPr>
            <w:tcW w:w="120" w:type="dxa"/>
            <w:vAlign w:val="bottom"/>
          </w:tcPr>
          <w:p>
            <w:pPr>
              <w:spacing w:after="0"/>
              <w:rPr>
                <w:sz w:val="19"/>
                <w:szCs w:val="19"/>
                <w:color w:val="auto"/>
              </w:rPr>
            </w:pPr>
          </w:p>
        </w:tc>
      </w:tr>
      <w:tr>
        <w:trPr>
          <w:trHeight w:val="239"/>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 Convertible Notes</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120" w:type="dxa"/>
            <w:vAlign w:val="bottom"/>
            <w:shd w:val="clear" w:color="auto" w:fill="CFF0FC"/>
          </w:tcPr>
          <w:p>
            <w:pPr>
              <w:spacing w:after="0"/>
              <w:rPr>
                <w:sz w:val="20"/>
                <w:szCs w:val="20"/>
                <w:color w:val="auto"/>
              </w:rPr>
            </w:pPr>
          </w:p>
        </w:tc>
      </w:tr>
      <w:tr>
        <w:trPr>
          <w:trHeight w:val="220"/>
        </w:trPr>
        <w:tc>
          <w:tcPr>
            <w:tcW w:w="5040" w:type="dxa"/>
            <w:vAlign w:val="bottom"/>
          </w:tcPr>
          <w:p>
            <w:pPr>
              <w:ind w:left="20"/>
              <w:spacing w:after="0"/>
              <w:rPr>
                <w:sz w:val="20"/>
                <w:szCs w:val="20"/>
                <w:color w:val="auto"/>
              </w:rPr>
            </w:pPr>
            <w:r>
              <w:rPr>
                <w:rFonts w:ascii="Arial" w:cs="Arial" w:eastAsia="Arial" w:hAnsi="Arial"/>
                <w:sz w:val="16"/>
                <w:szCs w:val="16"/>
                <w:color w:val="auto"/>
              </w:rPr>
              <w:t>Acquisition related real estate notes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19"/>
                <w:szCs w:val="19"/>
                <w:color w:val="auto"/>
              </w:rPr>
            </w:pPr>
          </w:p>
        </w:tc>
      </w:tr>
      <w:tr>
        <w:trPr>
          <w:trHeight w:val="239"/>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related promissory notes</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FF0FC"/>
          </w:tcPr>
          <w:p>
            <w:pPr>
              <w:spacing w:after="0"/>
              <w:rPr>
                <w:sz w:val="20"/>
                <w:szCs w:val="20"/>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6"/>
                <w:szCs w:val="16"/>
                <w:color w:val="auto"/>
              </w:rPr>
              <w:t>Acquisition related term debt</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351,948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352,494</w:t>
            </w:r>
          </w:p>
        </w:tc>
        <w:tc>
          <w:tcPr>
            <w:tcW w:w="120" w:type="dxa"/>
            <w:vAlign w:val="bottom"/>
            <w:shd w:val="clear" w:color="auto" w:fill="CFF0FC"/>
          </w:tcPr>
          <w:p>
            <w:pPr>
              <w:spacing w:after="0"/>
              <w:rPr>
                <w:sz w:val="19"/>
                <w:szCs w:val="19"/>
                <w:color w:val="auto"/>
              </w:rPr>
            </w:pPr>
          </w:p>
        </w:tc>
      </w:tr>
      <w:tr>
        <w:trPr>
          <w:trHeight w:val="220"/>
        </w:trPr>
        <w:tc>
          <w:tcPr>
            <w:tcW w:w="504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24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(11,112 )</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(12,483 )</w:t>
            </w:r>
          </w:p>
        </w:tc>
      </w:tr>
      <w:tr>
        <w:trPr>
          <w:trHeight w:val="239"/>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Unamortized deferred financing costs</w:t>
            </w:r>
          </w:p>
        </w:tc>
        <w:tc>
          <w:tcPr>
            <w:tcW w:w="24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(10,094 )</w:t>
            </w:r>
          </w:p>
        </w:tc>
        <w:tc>
          <w:tcPr>
            <w:tcW w:w="16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(11,016 )</w:t>
            </w:r>
          </w:p>
        </w:tc>
      </w:tr>
      <w:tr>
        <w:trPr>
          <w:trHeight w:val="223"/>
        </w:trPr>
        <w:tc>
          <w:tcPr>
            <w:tcW w:w="5040" w:type="dxa"/>
            <w:vAlign w:val="bottom"/>
          </w:tcPr>
          <w:p>
            <w:pPr>
              <w:ind w:left="20"/>
              <w:spacing w:after="0"/>
              <w:rPr>
                <w:sz w:val="20"/>
                <w:szCs w:val="20"/>
                <w:color w:val="auto"/>
              </w:rPr>
            </w:pPr>
            <w:r>
              <w:rPr>
                <w:rFonts w:ascii="Arial" w:cs="Arial" w:eastAsia="Arial" w:hAnsi="Arial"/>
                <w:sz w:val="16"/>
                <w:szCs w:val="16"/>
                <w:color w:val="auto"/>
              </w:rPr>
              <w:t>Unamortized debt premium</w:t>
            </w:r>
          </w:p>
        </w:tc>
        <w:tc>
          <w:tcPr>
            <w:tcW w:w="24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debt, net</w:t>
            </w:r>
          </w:p>
        </w:tc>
        <w:tc>
          <w:tcPr>
            <w:tcW w:w="24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330,742</w:t>
            </w: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329,020</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0"/>
              <w:spacing w:after="0" w:line="230" w:lineRule="exact"/>
              <w:rPr>
                <w:sz w:val="20"/>
                <w:szCs w:val="20"/>
                <w:color w:val="auto"/>
              </w:rPr>
            </w:pPr>
            <w:r>
              <w:rPr>
                <w:rFonts w:ascii="Arial" w:cs="Arial" w:eastAsia="Arial" w:hAnsi="Arial"/>
                <w:sz w:val="16"/>
                <w:szCs w:val="16"/>
                <w:color w:val="auto"/>
              </w:rPr>
              <w:t>Less current portion, net</w:t>
            </w:r>
            <w:r>
              <w:rPr>
                <w:rFonts w:ascii="Arial" w:cs="Arial" w:eastAsia="Arial" w:hAnsi="Arial"/>
                <w:sz w:val="21"/>
                <w:szCs w:val="21"/>
                <w:color w:val="auto"/>
                <w:vertAlign w:val="superscript"/>
              </w:rPr>
              <w:t>*</w:t>
            </w:r>
          </w:p>
        </w:tc>
        <w:tc>
          <w:tcPr>
            <w:tcW w:w="24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(7,595 )</w:t>
            </w:r>
          </w:p>
        </w:tc>
        <w:tc>
          <w:tcPr>
            <w:tcW w:w="1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(47,315 )</w:t>
            </w:r>
          </w:p>
        </w:tc>
      </w:tr>
      <w:tr>
        <w:trPr>
          <w:trHeight w:val="257"/>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Long-term portion</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323,147</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281,705</w:t>
            </w:r>
          </w:p>
        </w:tc>
        <w:tc>
          <w:tcPr>
            <w:tcW w:w="1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4" w:lineRule="exact"/>
        <w:rPr>
          <w:sz w:val="20"/>
          <w:szCs w:val="20"/>
          <w:color w:val="auto"/>
        </w:rPr>
      </w:pPr>
    </w:p>
    <w:p>
      <w:pPr>
        <w:jc w:val="both"/>
        <w:ind w:left="380"/>
        <w:spacing w:after="0" w:line="308" w:lineRule="auto"/>
        <w:rPr>
          <w:sz w:val="20"/>
          <w:szCs w:val="20"/>
          <w:color w:val="auto"/>
        </w:rPr>
      </w:pPr>
      <w:r>
        <w:rPr>
          <w:rFonts w:ascii="Arial" w:cs="Arial" w:eastAsia="Arial" w:hAnsi="Arial"/>
          <w:sz w:val="17"/>
          <w:szCs w:val="17"/>
          <w:color w:val="auto"/>
        </w:rPr>
        <w:t>*The current portion of the debt includes scheduled payments on the mortgage notes, acquisition related promissory notes and acquisition related notes payable, net of corresponding portions of the unamortized debt discount and unamortized deferred financing costs.</w:t>
      </w:r>
    </w:p>
    <w:p>
      <w:pPr>
        <w:spacing w:after="0" w:line="146"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The Company was in compliance with all financial covenants and was not in default of any provisions under any of its debt arrangements as of March 31, 2023.</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2025 Convertible Notes</w:t>
      </w:r>
    </w:p>
    <w:p>
      <w:pPr>
        <w:spacing w:after="0" w:line="225" w:lineRule="exact"/>
        <w:rPr>
          <w:sz w:val="20"/>
          <w:szCs w:val="20"/>
          <w:color w:val="auto"/>
        </w:rPr>
      </w:pPr>
    </w:p>
    <w:p>
      <w:pPr>
        <w:jc w:val="both"/>
        <w:ind w:left="380"/>
        <w:spacing w:after="0" w:line="269" w:lineRule="auto"/>
        <w:rPr>
          <w:sz w:val="20"/>
          <w:szCs w:val="20"/>
          <w:color w:val="auto"/>
        </w:rPr>
      </w:pPr>
      <w:r>
        <w:rPr>
          <w:rFonts w:ascii="Arial" w:cs="Arial" w:eastAsia="Arial" w:hAnsi="Arial"/>
          <w:sz w:val="17"/>
          <w:szCs w:val="17"/>
          <w:color w:val="auto"/>
        </w:rPr>
        <w:t>On June 29, 2021, the Company completed an offering of 6.0% Secured Convertible Notes Due 2025 (“2025 Convertible Notes”) for an aggregate principal amount of $74,500.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US$6.49 payable on the business day prior to the date of conversion, adjusted downwards for any cash dividends paid to holders of Common Shares and other customary adjustments. The Company may redeem the Notes at par, in whole or in part, on or after June 29, 2023, if the volume weighted average price of the Common Shares trading on the Canadian Stock Exchange or the NEO Exchange for 15 of the 30 trading days immediately preceding the day on which the Company exercises its redemption right, exceeds 120.0% of the conversion price of the Notes at a Redemption Price equal to 100.0% of the principal amount of the 2025 Convertible Notes redeemed, plus accrued but unpaid interest, if any, up to but excluding the Redemption Date.</w:t>
      </w:r>
    </w:p>
    <w:p>
      <w:pPr>
        <w:spacing w:after="0" w:line="185" w:lineRule="exact"/>
        <w:rPr>
          <w:sz w:val="20"/>
          <w:szCs w:val="20"/>
          <w:color w:val="auto"/>
        </w:rPr>
      </w:pPr>
    </w:p>
    <w:p>
      <w:pPr>
        <w:jc w:val="both"/>
        <w:ind w:left="380"/>
        <w:spacing w:after="0" w:line="288" w:lineRule="auto"/>
        <w:rPr>
          <w:sz w:val="20"/>
          <w:szCs w:val="20"/>
          <w:color w:val="auto"/>
        </w:rPr>
      </w:pPr>
      <w:r>
        <w:rPr>
          <w:rFonts w:ascii="Arial" w:cs="Arial" w:eastAsia="Arial" w:hAnsi="Arial"/>
          <w:sz w:val="16"/>
          <w:szCs w:val="16"/>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2023 Convertible Notes</w:t>
      </w:r>
    </w:p>
    <w:p>
      <w:pPr>
        <w:spacing w:after="0" w:line="225"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On June 19, 2020, the Company completed the first tranche of an offering of senior secured convertible notes (“Convertible Notes”) for an aggregate principal amount of $12,800. During July 2020, the Company completed subsequent tranches for an aggregate principal amount of $5,960. The Convertible Notes can be exchanged into Common Shares at a conversion price of $3.79 (Canadian Dollars). For the purposes of determining the number of Common Shares issuable upon conversion of the Convertible Notes, the principal amount of the Convertible Notes surrendered for conversion shall be deemed converted from U.S. Dollars into Canadian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Dollars, using the end-of-day exchange rate published by the Bank of Canada on the date immediately preceding the date that the Convertible Note is surrendered for conversion. The Convertible Notes require interest-only payments until December 19, 2023, at a rate of 5.0% per annum, payable semi-annually on June 30 and December 31 commencing on December 31, 2020. The Convertible Notes are due in full on December 19, 2023. The Company incurred financing costs of $175 in connection with issuance of the Convertible Notes. The Company determined that the Convertible Notes represent an obligation to issue a variable number of shares for a variable amount of liability, as the amount of the liability to be settled depends on the applicable foreign exchange rate at the date of settlement. In accordance with ASC 480 – Distinguishing Liabilities from Equity, a conversion feature within a financial instrument to issue a variable number of equity units fails to meet the definition of equity. Accordingly, such a conversion feature must be accounted for as an embedded derivative liability and measured at fair value with changes in fair value recognized in the consolidated statements of operations and comprehensive loss. Upon initial recognition, the Company recorded a derivative liability of $5,364 within other long-term liabilities in the consolidated balance sheets and a corresponding debt discount, reflected as a reduction to the carrying value of the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2023 Convertible Notes.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3, 2022, Columbia Care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premium and paid interest were paid out of funds raised from the February 2022 Private Placement. The total unamortized debt and debt issuance costs of $2,153, related to the modified portion of the Term Debt, will be amortized over the term of the 2026 Notes using the effective interest method. The Company incurred $7,189 in creditor fees in connection with the modified Term Debt and 2026 Notes and $301 in third-party legal fees related to 2026 Notes which were capitalized and will be amortized over the term of the 2026 Notes using the effective interest rate method.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Convertible notes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2021, the Company offered an incentive program to the holders of the Convertible Notes, pursuant to which, the Company would issue to each noteholder that surrendered its Convertible Notes for conversion on or before May 28, 2021, 20 Common Shares of the Company on a private placement basis for each one-thousand US dollars aggregate principal amount of Convertible Notes surrendered for conversion. Pursuant to this incentive program, 4,550,139 shares were issued upon of conversion of $13,160 of Convertible Notes. These conversions resulted in recognition of a loss on conversion of $1,580, write down of derivative liability, debt discount and debt amortization of $12,127, $2,855 and $93, respectively and a corresponding credit to paid in capital of $23,919. Convertible note holders of $5,600 of the convertible debt issued in 2020 did not convert their debt into Common Shares and as of September 30, 2021, $5,600 of the convertible debt issued in 2020 was still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the Company entered into a term loan and security agreement with a bank. The agreement provides for $20,000 mortgage on real property in New York and carries interest at a variable rate per annum equal to the Wall Street Prime Rate (“Index”) plus 2.25%. The debt is repayable in 59 monthly installments and a final balloon payment due on January 1, 2027, which is estimated at $18,047 as of March 31, 2023. In connection with this Mortgage, the Company incurred financing costs of $655.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the Company entered into a term loan and security agreement with a bank. The agreement provides for $16,500 mortgage on real property in New Jersey and carries interest at a variable rate per annum equal to the Wall Street Prime Rate (“Index”) plus 2.25%. The debt is repayable in 59 monthly installments and a final balloon payment due on July 15, 2027, which is estimated at $15,705 as of March 31, 2023. In connection with this Mortgage, the Company incurred financing costs of $209.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31, 2020 and April 23, 2020, the Company completed the first and second tranches of a private placement of notes (“Private Notes”) for an aggregate principal amount of $14,250 and $1,000, respectively. The Private Notes required interest-only payments through March 30, 2024, at a rate of 9.9% per annum, payable semi-annually on March 31 and September 30 commencing</w:t>
      </w:r>
    </w:p>
    <w:p>
      <w:pPr>
        <w:spacing w:after="0" w:line="18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41" w:right="339" w:bottom="1440" w:gutter="0" w:footer="0" w:header="0"/>
        </w:sectPr>
      </w:pPr>
    </w:p>
    <w:bookmarkStart w:id="11" w:name="page12"/>
    <w:bookmarkEnd w:id="11"/>
    <w:p>
      <w:pPr>
        <w:jc w:val="both"/>
        <w:ind w:left="380"/>
        <w:spacing w:after="0" w:line="277" w:lineRule="auto"/>
        <w:rPr>
          <w:sz w:val="20"/>
          <w:szCs w:val="20"/>
          <w:color w:val="auto"/>
        </w:rPr>
      </w:pPr>
      <w:r>
        <w:rPr>
          <w:rFonts w:ascii="Arial" w:cs="Arial" w:eastAsia="Arial" w:hAnsi="Arial"/>
          <w:sz w:val="18"/>
          <w:szCs w:val="18"/>
          <w:color w:val="auto"/>
        </w:rPr>
        <w:t>on September 30, 2020. The Private Notes were due in full on March 30, 2024. In connection with the first and second tranche offerings of the Private Notes, the Company issued 1,723,250 common share purchase warrants at an exercise price of $3.10 (Canadian Dollars).</w:t>
      </w:r>
    </w:p>
    <w:p>
      <w:pPr>
        <w:spacing w:after="0" w:line="170" w:lineRule="exact"/>
        <w:rPr>
          <w:sz w:val="20"/>
          <w:szCs w:val="20"/>
          <w:color w:val="auto"/>
        </w:rPr>
      </w:pPr>
    </w:p>
    <w:p>
      <w:pPr>
        <w:jc w:val="both"/>
        <w:ind w:left="380"/>
        <w:spacing w:after="0" w:line="275" w:lineRule="auto"/>
        <w:rPr>
          <w:sz w:val="20"/>
          <w:szCs w:val="20"/>
          <w:color w:val="auto"/>
        </w:rPr>
      </w:pPr>
      <w:r>
        <w:rPr>
          <w:rFonts w:ascii="Arial" w:cs="Arial" w:eastAsia="Arial" w:hAnsi="Arial"/>
          <w:sz w:val="17"/>
          <w:szCs w:val="17"/>
          <w:color w:val="auto"/>
        </w:rPr>
        <w:t>On May 14, 2020, the Company completed a private placement of an aggregate of 19,115 senior secured first-lien note units (the “May Units”) for aggregate gross proceeds of $19,115, each May Unit being comprised of (i) $1,000 principal amount of 13.0% senior secured first-lien notes (“Notes”) and (ii) 120 Common Share purchase warrants (the “May Warrants”) with an exercise price of $2.95 (Canadian Dollars) per underlying Common Share (the “May Private Placement”). Concurrent with the closing of the May Private Placement, the Private Notes were exchanged for Notes. In addition, holders of Private Notes were issued additional 130,388 May Warrants with an exercise price of $2.95 (Canadian Dollars).</w:t>
      </w:r>
    </w:p>
    <w:p>
      <w:pPr>
        <w:spacing w:after="0" w:line="176"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On July 2, 2020, the Company completed a second private placement of an aggregate of 4,000 units (the “July Units”) for aggregate gross proceeds of $4,000, each July Unit being comprised of (i) $1,000 Notes and (ii) 75 Common Share purchase warrants (the “July Warrants”) with an exercise price of $4.53 (Canadian Dollars) per underlying Common Share.</w:t>
      </w:r>
    </w:p>
    <w:p>
      <w:pPr>
        <w:spacing w:after="0" w:line="184" w:lineRule="exact"/>
        <w:rPr>
          <w:sz w:val="20"/>
          <w:szCs w:val="20"/>
          <w:color w:val="auto"/>
        </w:rPr>
      </w:pPr>
    </w:p>
    <w:p>
      <w:pPr>
        <w:jc w:val="both"/>
        <w:ind w:left="380"/>
        <w:spacing w:after="0" w:line="291" w:lineRule="auto"/>
        <w:rPr>
          <w:sz w:val="20"/>
          <w:szCs w:val="20"/>
          <w:color w:val="auto"/>
        </w:rPr>
      </w:pPr>
      <w:r>
        <w:rPr>
          <w:rFonts w:ascii="Arial" w:cs="Arial" w:eastAsia="Arial" w:hAnsi="Arial"/>
          <w:sz w:val="16"/>
          <w:szCs w:val="16"/>
          <w:color w:val="auto"/>
        </w:rPr>
        <w:t>On October 29, 2020, November 10, 2020 and November 27, 2020, the Company completed private placements of an aggregate of 20,000, 8,400 and 3,000 units (the “Early November Units”), respectively, for aggregate gross proceeds of $32,054, each unit being comprised of (i) $1,000 Notes and</w:t>
      </w:r>
    </w:p>
    <w:p>
      <w:pPr>
        <w:ind w:left="380" w:firstLine="2"/>
        <w:spacing w:after="0" w:line="260"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60 Common Share purchase warrants (the “Fall Warrants” and together with the May Warrants and July Warrants, the “Warrants”) with an exercise price of $5.84 (Canadian Dollars) per underlying Common Share.</w:t>
      </w:r>
    </w:p>
    <w:p>
      <w:pPr>
        <w:spacing w:after="0" w:line="185"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On November 30, 2020, the Company completed another private placement of an aggregate of 200 units (the “Late November Units”) and together with the May Units, the July Units and the Early November Units (the “Units”), respectively for aggregate gross proceeds of $200, each unit being comprised of (i) $1,000 Notes and (ii) 125 Fall Warrants.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option of the holder, each Warrant can be exchanged for one Common Share. The Warrants expire on May 14, 2023.</w:t>
      </w:r>
    </w:p>
    <w:p>
      <w:pPr>
        <w:spacing w:after="0" w:line="225" w:lineRule="exact"/>
        <w:rPr>
          <w:sz w:val="20"/>
          <w:szCs w:val="20"/>
          <w:color w:val="auto"/>
        </w:rPr>
      </w:pPr>
    </w:p>
    <w:p>
      <w:pPr>
        <w:jc w:val="both"/>
        <w:ind w:left="380"/>
        <w:spacing w:after="0" w:line="311" w:lineRule="auto"/>
        <w:rPr>
          <w:sz w:val="20"/>
          <w:szCs w:val="20"/>
          <w:color w:val="auto"/>
        </w:rPr>
      </w:pPr>
      <w:r>
        <w:rPr>
          <w:rFonts w:ascii="Arial" w:cs="Arial" w:eastAsia="Arial" w:hAnsi="Arial"/>
          <w:sz w:val="16"/>
          <w:szCs w:val="16"/>
          <w:color w:val="auto"/>
        </w:rPr>
        <w:t>The Notes require interest-only payments through May 14, 2023, at a rate of 13.0% per annum, payable semi-annually on May 31 and November 30, which commenced on November 30, 2020. The Notes are due in full on May 14, 2024. The Company incurred financing costs of $3,373 in connection with the issuance of these Notes. The Notes contain customary terms and conditions, representations and warranties, and events of default.</w:t>
      </w:r>
    </w:p>
    <w:p>
      <w:pPr>
        <w:spacing w:after="0" w:line="149"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Upon initial recognition, the Company recorded $6,298 to equity reserves, reflecting the fair value of the warrants issued, with a corresponding reduction to the carrying value of the Notes. The debt discount will be amortized to interest expense over the term of the notes using the effective interest method.</w:t>
      </w:r>
    </w:p>
    <w:p>
      <w:pPr>
        <w:spacing w:after="0" w:line="3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interest and amortization expense on the Company’s debt obligations during the three months ended March 31, 2023 and 2022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5"/>
          </w:tcPr>
          <w:p>
            <w:pPr>
              <w:jc w:val="right"/>
              <w:ind w:right="1100"/>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March 31, 2023</w:t>
            </w:r>
          </w:p>
        </w:tc>
        <w:tc>
          <w:tcPr>
            <w:tcW w:w="18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8"/>
              </w:rPr>
              <w:t>March 31, 2022</w:t>
            </w:r>
          </w:p>
        </w:tc>
      </w:tr>
      <w:tr>
        <w:trPr>
          <w:trHeight w:val="230"/>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on debt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10,395</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9,426</w:t>
            </w:r>
          </w:p>
        </w:tc>
        <w:tc>
          <w:tcPr>
            <w:tcW w:w="120" w:type="dxa"/>
            <w:vAlign w:val="bottom"/>
            <w:shd w:val="clear" w:color="auto" w:fill="CFF0FC"/>
          </w:tcPr>
          <w:p>
            <w:pPr>
              <w:spacing w:after="0"/>
              <w:rPr>
                <w:sz w:val="19"/>
                <w:szCs w:val="19"/>
                <w:color w:val="auto"/>
              </w:rPr>
            </w:pPr>
          </w:p>
        </w:tc>
      </w:tr>
      <w:tr>
        <w:trPr>
          <w:trHeight w:val="220"/>
        </w:trPr>
        <w:tc>
          <w:tcPr>
            <w:tcW w:w="548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9"/>
                <w:szCs w:val="19"/>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debt premium</w:t>
            </w: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(26 )</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(49 )</w:t>
            </w:r>
          </w:p>
        </w:tc>
      </w:tr>
      <w:tr>
        <w:trPr>
          <w:trHeight w:val="220"/>
        </w:trPr>
        <w:tc>
          <w:tcPr>
            <w:tcW w:w="548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9"/>
                <w:szCs w:val="19"/>
                <w:color w:val="auto"/>
              </w:rPr>
            </w:pPr>
          </w:p>
        </w:tc>
      </w:tr>
      <w:tr>
        <w:trPr>
          <w:trHeight w:val="233"/>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interest (expense) income, net</w:t>
            </w: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(113 )</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(118 )</w:t>
            </w:r>
          </w:p>
        </w:tc>
      </w:tr>
      <w:tr>
        <w:trPr>
          <w:trHeight w:val="223"/>
        </w:trPr>
        <w:tc>
          <w:tcPr>
            <w:tcW w:w="54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interest expense,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12,573</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11,244</w:t>
            </w:r>
          </w:p>
        </w:tc>
        <w:tc>
          <w:tcPr>
            <w:tcW w:w="120" w:type="dxa"/>
            <w:vAlign w:val="bottom"/>
            <w:tcBorders>
              <w:top w:val="single" w:sz="8" w:color="CFF0FC"/>
            </w:tcBorders>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-179705</wp:posOffset>
            </wp:positionV>
            <wp:extent cx="6858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-179705</wp:posOffset>
            </wp:positionV>
            <wp:extent cx="7747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interest rate on the Company’s indebtedness was 8.79%.</w:t>
      </w:r>
    </w:p>
    <w:p>
      <w:pPr>
        <w:spacing w:after="0" w:line="15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Green Leaf Medical</w:t>
      </w:r>
    </w:p>
    <w:p>
      <w:pPr>
        <w:spacing w:after="0" w:line="225"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On June 11, 2021, the Company acquired (the “Green Leaf Transaction”) a 100% ownership interest in Green Leaf Medical, LLC (“Green Leaf”). On July 7, 2021, the Company acquired (“the Green Leaf-Ohio Transaction”) a residual 49% ownership interest (constituting 949,379 Common Shares) in Green Leaf Medical of Ohio II, LLC (“Green Leaf-Ohio”).</w:t>
      </w:r>
    </w:p>
    <w:p>
      <w:pPr>
        <w:spacing w:after="0" w:line="184"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Green Leaf was formed in April 2014 for the purpose of selling medicinal and recreational cannabis products in the states of Maryland, Pennsylvania, Ohio, and Virginia. Green Leaf owns and operates vertically integrated cultivation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left="62"/>
        <w:spacing w:after="0" w:line="263" w:lineRule="auto"/>
        <w:rPr>
          <w:sz w:val="20"/>
          <w:szCs w:val="20"/>
          <w:color w:val="auto"/>
        </w:rPr>
      </w:pPr>
      <w:r>
        <w:rPr>
          <w:rFonts w:ascii="Arial" w:cs="Arial" w:eastAsia="Arial" w:hAnsi="Arial"/>
          <w:sz w:val="18"/>
          <w:szCs w:val="18"/>
          <w:color w:val="auto"/>
        </w:rPr>
        <w:t>manufacturing facilities and retail dispensaries in the states of Maryland, Pennsylvania, Ohio, and Virginia. The Company executed the Green Leaf Transaction in order to continue to grow revenues; expand its cultivation facilities, manufacturing facilities and dispensaries; and enter, or expand in the Maryland, Pennsylvania, Ohio, and Virginia markets.</w:t>
      </w:r>
    </w:p>
    <w:p>
      <w:pPr>
        <w:spacing w:after="0" w:line="292" w:lineRule="exact"/>
        <w:rPr>
          <w:sz w:val="20"/>
          <w:szCs w:val="20"/>
          <w:color w:val="auto"/>
        </w:rPr>
      </w:pPr>
    </w:p>
    <w:p>
      <w:pPr>
        <w:ind w:left="562" w:hanging="503"/>
        <w:spacing w:after="0"/>
        <w:tabs>
          <w:tab w:leader="none" w:pos="562"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Futurevision Holdings, Inc., Futurevision 2020, LLC and Medicine Man Longmont, LLC</w:t>
      </w:r>
    </w:p>
    <w:p>
      <w:pPr>
        <w:spacing w:after="0" w:line="225" w:lineRule="exact"/>
        <w:rPr>
          <w:sz w:val="20"/>
          <w:szCs w:val="20"/>
          <w:color w:val="auto"/>
        </w:rPr>
      </w:pPr>
    </w:p>
    <w:p>
      <w:pPr>
        <w:jc w:val="both"/>
        <w:ind w:left="62"/>
        <w:spacing w:after="0" w:line="255" w:lineRule="auto"/>
        <w:rPr>
          <w:sz w:val="20"/>
          <w:szCs w:val="20"/>
          <w:color w:val="auto"/>
        </w:rPr>
      </w:pPr>
      <w:r>
        <w:rPr>
          <w:rFonts w:ascii="Arial" w:cs="Arial" w:eastAsia="Arial" w:hAnsi="Arial"/>
          <w:sz w:val="18"/>
          <w:szCs w:val="18"/>
          <w:color w:val="auto"/>
        </w:rPr>
        <w:t>On November 1, 2021, the Company acquired (the “Medicine Man Transaction”) a 100% ownership interest in Futurevision Holdings, Inc. and Futurevision 2020, LLC (collectively, “Medicine Man”), through the Agreement and Plan of Merger (the “Merger Agreement”). Concurrently with the Merger Agreement, the Company was granted an option (the “Option”) to purchase Medicine Man Longmont, LLC (“Medicine Man Longmont”). The option was exercised on August 12, 2022 upon completion of the sale of the TGS Longmont location as required under the Merger Agreement, with the correspondent measurement period adjustments applied subsequently to the period of acquisition against goodwill from the acquisition.</w:t>
      </w:r>
    </w:p>
    <w:p>
      <w:pPr>
        <w:spacing w:after="0" w:line="192" w:lineRule="exact"/>
        <w:rPr>
          <w:sz w:val="20"/>
          <w:szCs w:val="20"/>
          <w:color w:val="auto"/>
        </w:rPr>
      </w:pPr>
    </w:p>
    <w:p>
      <w:pPr>
        <w:jc w:val="both"/>
        <w:ind w:left="62"/>
        <w:spacing w:after="0" w:line="259" w:lineRule="auto"/>
        <w:rPr>
          <w:sz w:val="20"/>
          <w:szCs w:val="20"/>
          <w:color w:val="auto"/>
        </w:rPr>
      </w:pPr>
      <w:r>
        <w:rPr>
          <w:rFonts w:ascii="Arial" w:cs="Arial" w:eastAsia="Arial" w:hAnsi="Arial"/>
          <w:sz w:val="18"/>
          <w:szCs w:val="18"/>
          <w:color w:val="auto"/>
        </w:rPr>
        <w:t>Medicine Man was formed in 2010 for the purpose of selling medicinal and recreational cannabis products in the state of Colorado. Medicine Man owns and operates vertically integrated cultivation facilities, manufacturing facilities and retail dispensaries in the state of Colorado. The Company executed the Medicine Man Transaction in order to continue to grow revenues; expand its cultivation facilities, manufacturing facilities and dispensaries; and enter, or expand in the Colorado market.</w:t>
      </w:r>
    </w:p>
    <w:p>
      <w:pPr>
        <w:spacing w:after="0" w:line="295" w:lineRule="exact"/>
        <w:rPr>
          <w:sz w:val="20"/>
          <w:szCs w:val="20"/>
          <w:color w:val="auto"/>
        </w:rPr>
      </w:pPr>
    </w:p>
    <w:p>
      <w:pPr>
        <w:ind w:left="562" w:hanging="503"/>
        <w:spacing w:after="0"/>
        <w:tabs>
          <w:tab w:leader="none" w:pos="562"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Healing Center San Diego (THCSD)</w:t>
      </w:r>
    </w:p>
    <w:p>
      <w:pPr>
        <w:spacing w:after="0" w:line="225" w:lineRule="exact"/>
        <w:rPr>
          <w:sz w:val="20"/>
          <w:szCs w:val="20"/>
          <w:color w:val="auto"/>
        </w:rPr>
      </w:pPr>
    </w:p>
    <w:p>
      <w:pPr>
        <w:ind w:left="62"/>
        <w:spacing w:after="0"/>
        <w:rPr>
          <w:sz w:val="20"/>
          <w:szCs w:val="20"/>
          <w:color w:val="auto"/>
        </w:rPr>
      </w:pPr>
      <w:r>
        <w:rPr>
          <w:rFonts w:ascii="Arial" w:cs="Arial" w:eastAsia="Arial" w:hAnsi="Arial"/>
          <w:sz w:val="18"/>
          <w:szCs w:val="18"/>
          <w:color w:val="auto"/>
        </w:rPr>
        <w:t>On January 6, 2021, the Company acquired a 100% ownership interest in The Healing Center of San Diego, Inc. (“THCSD”).</w:t>
      </w:r>
    </w:p>
    <w:p>
      <w:pPr>
        <w:spacing w:after="0" w:line="23" w:lineRule="exact"/>
        <w:rPr>
          <w:sz w:val="20"/>
          <w:szCs w:val="20"/>
          <w:color w:val="auto"/>
        </w:rPr>
      </w:pPr>
    </w:p>
    <w:p>
      <w:pPr>
        <w:jc w:val="both"/>
        <w:ind w:left="62"/>
        <w:spacing w:after="0" w:line="255" w:lineRule="auto"/>
        <w:rPr>
          <w:sz w:val="20"/>
          <w:szCs w:val="20"/>
          <w:color w:val="auto"/>
        </w:rPr>
      </w:pPr>
      <w:r>
        <w:rPr>
          <w:rFonts w:ascii="Arial" w:cs="Arial" w:eastAsia="Arial" w:hAnsi="Arial"/>
          <w:sz w:val="18"/>
          <w:szCs w:val="18"/>
          <w:color w:val="auto"/>
        </w:rPr>
        <w:t>THCSD was formed in 2016 for the purpose of selling recreational and related cannabis products in San Diego, California, where it owns and operates a dispensary. The Company executed the THCSD Transaction in order to continue to grow revenues; expand its dispensaries; and penetrate the San Diego market.</w:t>
      </w:r>
    </w:p>
    <w:p>
      <w:pPr>
        <w:spacing w:after="0" w:line="298" w:lineRule="exact"/>
        <w:rPr>
          <w:sz w:val="20"/>
          <w:szCs w:val="20"/>
          <w:color w:val="auto"/>
        </w:rPr>
      </w:pPr>
    </w:p>
    <w:p>
      <w:pPr>
        <w:ind w:left="562" w:hanging="503"/>
        <w:spacing w:after="0"/>
        <w:tabs>
          <w:tab w:leader="none" w:pos="56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Project Cannabis</w:t>
      </w:r>
    </w:p>
    <w:p>
      <w:pPr>
        <w:spacing w:after="0" w:line="225" w:lineRule="exact"/>
        <w:rPr>
          <w:sz w:val="20"/>
          <w:szCs w:val="20"/>
          <w:color w:val="auto"/>
        </w:rPr>
      </w:pPr>
    </w:p>
    <w:p>
      <w:pPr>
        <w:jc w:val="both"/>
        <w:ind w:left="62"/>
        <w:spacing w:after="0" w:line="263" w:lineRule="auto"/>
        <w:rPr>
          <w:sz w:val="20"/>
          <w:szCs w:val="20"/>
          <w:color w:val="auto"/>
        </w:rPr>
      </w:pPr>
      <w:r>
        <w:rPr>
          <w:rFonts w:ascii="Arial" w:cs="Arial" w:eastAsia="Arial" w:hAnsi="Arial"/>
          <w:sz w:val="18"/>
          <w:szCs w:val="18"/>
          <w:color w:val="auto"/>
        </w:rPr>
        <w:t>On December 1, 2020, the Company acquired (the “Project Cannabis Transaction”) a 100% ownership interest in Resource Referral Services Inc., PHC Facilities Inc. and Wellness Earth Energy Dispensary, Inc., and acquired a 49.9% ownership interest in Access Bryant SPC (collectively, “Project Cannabis”).</w:t>
      </w:r>
    </w:p>
    <w:p>
      <w:pPr>
        <w:spacing w:after="0" w:line="184" w:lineRule="exact"/>
        <w:rPr>
          <w:sz w:val="20"/>
          <w:szCs w:val="20"/>
          <w:color w:val="auto"/>
        </w:rPr>
      </w:pPr>
    </w:p>
    <w:p>
      <w:pPr>
        <w:jc w:val="both"/>
        <w:ind w:left="62"/>
        <w:spacing w:after="0" w:line="279" w:lineRule="auto"/>
        <w:rPr>
          <w:sz w:val="20"/>
          <w:szCs w:val="20"/>
          <w:color w:val="auto"/>
        </w:rPr>
      </w:pPr>
      <w:r>
        <w:rPr>
          <w:rFonts w:ascii="Arial" w:cs="Arial" w:eastAsia="Arial" w:hAnsi="Arial"/>
          <w:sz w:val="17"/>
          <w:szCs w:val="17"/>
          <w:color w:val="auto"/>
        </w:rPr>
        <w:t>Project Cannabis was formed in August 2014 for the purpose of selling medicinal and recreational cannabis products in the state of California, on both a wholesale and retail basis. Project Cannabis owns and operates vertically integrated cultivation facilities, manufacturing facilities and retail dispensaries in the state of California. The Company executed the Project Cannabis Transaction in order to continue to grow revenues; expand its cultivation facilities, manufacturing facilities and dispensaries; and penetrate the California market.</w:t>
      </w:r>
    </w:p>
    <w:p>
      <w:pPr>
        <w:spacing w:after="0" w:line="171" w:lineRule="exact"/>
        <w:rPr>
          <w:sz w:val="20"/>
          <w:szCs w:val="20"/>
          <w:color w:val="auto"/>
        </w:rPr>
      </w:pPr>
    </w:p>
    <w:p>
      <w:pPr>
        <w:ind w:left="562" w:hanging="503"/>
        <w:spacing w:after="0"/>
        <w:tabs>
          <w:tab w:leader="none" w:pos="56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Corsa Verde</w:t>
      </w:r>
    </w:p>
    <w:p>
      <w:pPr>
        <w:spacing w:after="0" w:line="225" w:lineRule="exact"/>
        <w:rPr>
          <w:sz w:val="20"/>
          <w:szCs w:val="20"/>
          <w:color w:val="auto"/>
        </w:rPr>
      </w:pPr>
    </w:p>
    <w:p>
      <w:pPr>
        <w:ind w:left="62"/>
        <w:spacing w:after="0" w:line="277" w:lineRule="auto"/>
        <w:rPr>
          <w:sz w:val="20"/>
          <w:szCs w:val="20"/>
          <w:color w:val="auto"/>
        </w:rPr>
      </w:pPr>
      <w:r>
        <w:rPr>
          <w:rFonts w:ascii="Arial" w:cs="Arial" w:eastAsia="Arial" w:hAnsi="Arial"/>
          <w:sz w:val="18"/>
          <w:szCs w:val="18"/>
          <w:color w:val="auto"/>
        </w:rPr>
        <w:t>On May 4, 2021, the Company acquired Corsa Verde, LLC (“Corsa Verde”). Corsa Verde is an Ohio-based limited liability company formed in October 2017 that operates a medical marijuana processing facility.</w:t>
      </w:r>
    </w:p>
    <w:p>
      <w:pPr>
        <w:spacing w:after="0" w:line="170" w:lineRule="exact"/>
        <w:rPr>
          <w:sz w:val="20"/>
          <w:szCs w:val="20"/>
          <w:color w:val="auto"/>
        </w:rPr>
      </w:pPr>
    </w:p>
    <w:p>
      <w:pPr>
        <w:ind w:left="422" w:hanging="422"/>
        <w:spacing w:after="0"/>
        <w:tabs>
          <w:tab w:leader="none" w:pos="42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CannAscend</w:t>
      </w:r>
    </w:p>
    <w:p>
      <w:pPr>
        <w:spacing w:after="0" w:line="225" w:lineRule="exact"/>
        <w:rPr>
          <w:sz w:val="20"/>
          <w:szCs w:val="20"/>
          <w:color w:val="auto"/>
        </w:rPr>
      </w:pPr>
    </w:p>
    <w:p>
      <w:pPr>
        <w:jc w:val="both"/>
        <w:ind w:left="62"/>
        <w:spacing w:after="0" w:line="263" w:lineRule="auto"/>
        <w:rPr>
          <w:sz w:val="20"/>
          <w:szCs w:val="20"/>
          <w:color w:val="auto"/>
        </w:rPr>
      </w:pPr>
      <w:r>
        <w:rPr>
          <w:rFonts w:ascii="Arial" w:cs="Arial" w:eastAsia="Arial" w:hAnsi="Arial"/>
          <w:sz w:val="18"/>
          <w:szCs w:val="18"/>
          <w:color w:val="auto"/>
        </w:rPr>
        <w:t>On October 25, 2018, the Company, CannAscend Alternative, LLC (“CAA), and CannAscend Alternative Logan, LLC (“CAA Logan”) entered into a Membership Interest Purchase Option Agreement. CAA and CAA Logan are both Ohio-based limited liability companies formed in November 2017 that operate four dispensaries. The Company closed the acquisition on July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5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2"/>
          </w:cols>
          <w:pgMar w:left="778" w:top="341" w:right="339" w:bottom="1440" w:gutter="0" w:footer="0" w:header="0"/>
        </w:sectPr>
      </w:pPr>
    </w:p>
    <w:bookmarkStart w:id="13" w:name="page14"/>
    <w:bookmarkEnd w:id="13"/>
    <w:p>
      <w:pPr>
        <w:ind w:left="380" w:hanging="372"/>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property and equipment and related depreciation expense are summarized in the tables below:</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2"/>
              </w:rPr>
              <w:t>December 31, 2022</w:t>
            </w:r>
          </w:p>
        </w:tc>
      </w:tr>
      <w:tr>
        <w:trPr>
          <w:trHeight w:val="230"/>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Land and buildings</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128,389</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128,389</w:t>
            </w:r>
          </w:p>
        </w:tc>
        <w:tc>
          <w:tcPr>
            <w:tcW w:w="120" w:type="dxa"/>
            <w:vAlign w:val="bottom"/>
            <w:shd w:val="clear" w:color="auto" w:fill="CFF0FC"/>
          </w:tcPr>
          <w:p>
            <w:pPr>
              <w:spacing w:after="0"/>
              <w:rPr>
                <w:sz w:val="19"/>
                <w:szCs w:val="19"/>
                <w:color w:val="auto"/>
              </w:rPr>
            </w:pPr>
          </w:p>
        </w:tc>
      </w:tr>
      <w:tr>
        <w:trPr>
          <w:trHeight w:val="220"/>
        </w:trPr>
        <w:tc>
          <w:tcPr>
            <w:tcW w:w="528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8,749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8,773</w:t>
            </w:r>
          </w:p>
        </w:tc>
        <w:tc>
          <w:tcPr>
            <w:tcW w:w="120" w:type="dxa"/>
            <w:vAlign w:val="bottom"/>
          </w:tcPr>
          <w:p>
            <w:pPr>
              <w:spacing w:after="0"/>
              <w:rPr>
                <w:sz w:val="19"/>
                <w:szCs w:val="19"/>
                <w:color w:val="auto"/>
              </w:rPr>
            </w:pP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Equipment</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38,530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38,467</w:t>
            </w:r>
          </w:p>
        </w:tc>
        <w:tc>
          <w:tcPr>
            <w:tcW w:w="120" w:type="dxa"/>
            <w:vAlign w:val="bottom"/>
            <w:shd w:val="clear" w:color="auto" w:fill="CFF0FC"/>
          </w:tcPr>
          <w:p>
            <w:pPr>
              <w:spacing w:after="0"/>
              <w:rPr>
                <w:sz w:val="20"/>
                <w:szCs w:val="20"/>
                <w:color w:val="auto"/>
              </w:rPr>
            </w:pPr>
          </w:p>
        </w:tc>
      </w:tr>
      <w:tr>
        <w:trPr>
          <w:trHeight w:val="220"/>
        </w:trPr>
        <w:tc>
          <w:tcPr>
            <w:tcW w:w="528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3,565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3,537</w:t>
            </w:r>
          </w:p>
        </w:tc>
        <w:tc>
          <w:tcPr>
            <w:tcW w:w="120" w:type="dxa"/>
            <w:vAlign w:val="bottom"/>
          </w:tcPr>
          <w:p>
            <w:pPr>
              <w:spacing w:after="0"/>
              <w:rPr>
                <w:sz w:val="19"/>
                <w:szCs w:val="19"/>
                <w:color w:val="auto"/>
              </w:rPr>
            </w:pP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Leasehold improvements</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191,733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193,454</w:t>
            </w:r>
          </w:p>
        </w:tc>
        <w:tc>
          <w:tcPr>
            <w:tcW w:w="120" w:type="dxa"/>
            <w:vAlign w:val="bottom"/>
            <w:shd w:val="clear" w:color="auto" w:fill="CFF0FC"/>
          </w:tcPr>
          <w:p>
            <w:pPr>
              <w:spacing w:after="0"/>
              <w:rPr>
                <w:sz w:val="20"/>
                <w:szCs w:val="20"/>
                <w:color w:val="auto"/>
              </w:rPr>
            </w:pPr>
          </w:p>
        </w:tc>
      </w:tr>
      <w:tr>
        <w:trPr>
          <w:trHeight w:val="227"/>
        </w:trPr>
        <w:tc>
          <w:tcPr>
            <w:tcW w:w="5280" w:type="dxa"/>
            <w:vAlign w:val="bottom"/>
          </w:tcPr>
          <w:p>
            <w:pPr>
              <w:ind w:left="20"/>
              <w:spacing w:after="0"/>
              <w:rPr>
                <w:sz w:val="20"/>
                <w:szCs w:val="20"/>
                <w:color w:val="auto"/>
              </w:rPr>
            </w:pPr>
            <w:r>
              <w:rPr>
                <w:rFonts w:ascii="Arial" w:cs="Arial" w:eastAsia="Arial" w:hAnsi="Arial"/>
                <w:sz w:val="16"/>
                <w:szCs w:val="16"/>
                <w:color w:val="auto"/>
              </w:rPr>
              <w:t>Construction in process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56,398</w:t>
            </w:r>
          </w:p>
        </w:tc>
        <w:tc>
          <w:tcPr>
            <w:tcW w:w="120" w:type="dxa"/>
            <w:vAlign w:val="bottom"/>
          </w:tcPr>
          <w:p>
            <w:pPr>
              <w:spacing w:after="0"/>
              <w:rPr>
                <w:sz w:val="19"/>
                <w:szCs w:val="19"/>
                <w:color w:val="auto"/>
              </w:rPr>
            </w:pPr>
          </w:p>
        </w:tc>
      </w:tr>
      <w:tr>
        <w:trPr>
          <w:trHeight w:val="226"/>
        </w:trPr>
        <w:tc>
          <w:tcPr>
            <w:tcW w:w="5280" w:type="dxa"/>
            <w:vAlign w:val="bottom"/>
            <w:shd w:val="clear" w:color="auto" w:fill="CFF0FC"/>
          </w:tcPr>
          <w:p>
            <w:pPr>
              <w:ind w:left="200"/>
              <w:spacing w:after="0"/>
              <w:rPr>
                <w:sz w:val="20"/>
                <w:szCs w:val="20"/>
                <w:color w:val="auto"/>
              </w:rPr>
            </w:pPr>
            <w:r>
              <w:rPr>
                <w:rFonts w:ascii="Arial" w:cs="Arial" w:eastAsia="Arial" w:hAnsi="Arial"/>
                <w:sz w:val="16"/>
                <w:szCs w:val="16"/>
                <w:b w:val="1"/>
                <w:bCs w:val="1"/>
                <w:color w:val="auto"/>
              </w:rPr>
              <w:t>Total property and equipment, gross</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426,920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429,018</w:t>
            </w:r>
          </w:p>
        </w:tc>
        <w:tc>
          <w:tcPr>
            <w:tcW w:w="120" w:type="dxa"/>
            <w:vAlign w:val="bottom"/>
            <w:shd w:val="clear" w:color="auto" w:fill="CFF0FC"/>
          </w:tcPr>
          <w:p>
            <w:pPr>
              <w:spacing w:after="0"/>
              <w:rPr>
                <w:sz w:val="19"/>
                <w:szCs w:val="19"/>
                <w:color w:val="auto"/>
              </w:rPr>
            </w:pPr>
          </w:p>
        </w:tc>
      </w:tr>
      <w:tr>
        <w:trPr>
          <w:trHeight w:val="227"/>
        </w:trPr>
        <w:tc>
          <w:tcPr>
            <w:tcW w:w="5280" w:type="dxa"/>
            <w:vAlign w:val="bottom"/>
          </w:tcPr>
          <w:p>
            <w:pPr>
              <w:ind w:left="380"/>
              <w:spacing w:after="0"/>
              <w:rPr>
                <w:sz w:val="20"/>
                <w:szCs w:val="20"/>
                <w:color w:val="auto"/>
              </w:rPr>
            </w:pPr>
            <w:r>
              <w:rPr>
                <w:rFonts w:ascii="Arial" w:cs="Arial" w:eastAsia="Arial" w:hAnsi="Arial"/>
                <w:sz w:val="16"/>
                <w:szCs w:val="16"/>
                <w:color w:val="auto"/>
              </w:rPr>
              <w:t>Less: Accumulated depreciation</w:t>
            </w:r>
          </w:p>
        </w:tc>
        <w:tc>
          <w:tcPr>
            <w:tcW w:w="1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(78,339 )</w:t>
            </w:r>
          </w:p>
        </w:tc>
        <w:tc>
          <w:tcPr>
            <w:tcW w:w="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(71,025 )</w:t>
            </w:r>
          </w:p>
        </w:tc>
      </w:tr>
      <w:tr>
        <w:trPr>
          <w:trHeight w:val="266"/>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b w:val="1"/>
                <w:bCs w:val="1"/>
                <w:color w:val="auto"/>
              </w:rPr>
              <w:t>Total property and equipment, net</w:t>
            </w: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348,581</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357,993</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tbl>
      <w:tblPr>
        <w:tblLayout w:type="fixed"/>
        <w:tblInd w:w="1200" w:type="dxa"/>
        <w:tblCellMar>
          <w:top w:w="0" w:type="dxa"/>
          <w:left w:w="0" w:type="dxa"/>
          <w:bottom w:w="0" w:type="dxa"/>
          <w:right w:w="0" w:type="dxa"/>
        </w:tblCellMar>
      </w:tblPr>
      <w:tr>
        <w:trPr>
          <w:trHeight w:val="223"/>
        </w:trPr>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2022</w:t>
            </w:r>
          </w:p>
        </w:tc>
      </w:tr>
      <w:tr>
        <w:trPr>
          <w:trHeight w:val="22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depreciation expense for year ended</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7,853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7,328</w:t>
            </w:r>
          </w:p>
        </w:tc>
      </w:tr>
      <w:tr>
        <w:trPr>
          <w:trHeight w:val="220"/>
        </w:trPr>
        <w:tc>
          <w:tcPr>
            <w:tcW w:w="5240" w:type="dxa"/>
            <w:vAlign w:val="bottom"/>
          </w:tcPr>
          <w:p>
            <w:pPr>
              <w:ind w:left="20"/>
              <w:spacing w:after="0"/>
              <w:rPr>
                <w:sz w:val="20"/>
                <w:szCs w:val="20"/>
                <w:color w:val="auto"/>
              </w:rPr>
            </w:pPr>
            <w:r>
              <w:rPr>
                <w:rFonts w:ascii="Arial" w:cs="Arial" w:eastAsia="Arial" w:hAnsi="Arial"/>
                <w:sz w:val="16"/>
                <w:szCs w:val="16"/>
                <w:color w:val="auto"/>
              </w:rPr>
              <w:t>Included in:</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Costs of sales related to inventory production</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4,726</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4,127</w:t>
            </w: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3,127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3,201</w:t>
            </w:r>
          </w:p>
        </w:tc>
      </w:tr>
    </w:tbl>
    <w:p>
      <w:pPr>
        <w:spacing w:after="0" w:line="15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prepaid expenses and other current assets are summarized in the table below:</w:t>
      </w:r>
    </w:p>
    <w:p>
      <w:pPr>
        <w:spacing w:after="0" w:line="199"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1"/>
              </w:rPr>
              <w:t>December 31, 2022</w:t>
            </w: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5,683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7,151</w:t>
            </w:r>
          </w:p>
        </w:tc>
      </w:tr>
      <w:tr>
        <w:trPr>
          <w:trHeight w:val="220"/>
        </w:trPr>
        <w:tc>
          <w:tcPr>
            <w:tcW w:w="5140" w:type="dxa"/>
            <w:vAlign w:val="bottom"/>
          </w:tcPr>
          <w:p>
            <w:pPr>
              <w:ind w:left="20"/>
              <w:spacing w:after="0"/>
              <w:rPr>
                <w:sz w:val="20"/>
                <w:szCs w:val="20"/>
                <w:color w:val="auto"/>
              </w:rPr>
            </w:pPr>
            <w:r>
              <w:rPr>
                <w:rFonts w:ascii="Arial" w:cs="Arial" w:eastAsia="Arial" w:hAnsi="Arial"/>
                <w:sz w:val="16"/>
                <w:szCs w:val="16"/>
                <w:color w:val="auto"/>
              </w:rPr>
              <w:t>Short term deposits</w:t>
            </w:r>
          </w:p>
        </w:tc>
        <w:tc>
          <w:tcPr>
            <w:tcW w:w="2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2,447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1,814</w:t>
            </w:r>
          </w:p>
        </w:tc>
      </w:tr>
      <w:tr>
        <w:trPr>
          <w:trHeight w:val="239"/>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15,665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12,286</w:t>
            </w:r>
          </w:p>
        </w:tc>
      </w:tr>
      <w:tr>
        <w:trPr>
          <w:trHeight w:val="223"/>
        </w:trPr>
        <w:tc>
          <w:tcPr>
            <w:tcW w:w="514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Excise and sales tax receivable</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691</w:t>
            </w:r>
          </w:p>
        </w:tc>
      </w:tr>
      <w:tr>
        <w:trPr>
          <w:trHeight w:val="263"/>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Prepaid expenses and other current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24,339</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-179070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other non-current assets are summarized in the table below:</w:t>
      </w:r>
    </w:p>
    <w:p>
      <w:pPr>
        <w:spacing w:after="0" w:line="185" w:lineRule="exact"/>
        <w:rPr>
          <w:sz w:val="20"/>
          <w:szCs w:val="20"/>
          <w:color w:val="auto"/>
        </w:rPr>
      </w:pPr>
    </w:p>
    <w:tbl>
      <w:tblPr>
        <w:tblLayout w:type="fixed"/>
        <w:tblInd w:w="1200" w:type="dxa"/>
        <w:tblCellMar>
          <w:top w:w="0" w:type="dxa"/>
          <w:left w:w="0" w:type="dxa"/>
          <w:bottom w:w="0" w:type="dxa"/>
          <w:right w:w="0" w:type="dxa"/>
        </w:tblCellMar>
      </w:tblPr>
      <w:tr>
        <w:trPr>
          <w:trHeight w:val="223"/>
        </w:trPr>
        <w:tc>
          <w:tcPr>
            <w:tcW w:w="5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1"/>
              </w:rPr>
              <w:t>December 31, 2022</w:t>
            </w:r>
          </w:p>
        </w:tc>
      </w:tr>
      <w:tr>
        <w:trPr>
          <w:trHeight w:val="22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 term deposits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7,960</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8,090</w:t>
            </w:r>
          </w:p>
        </w:tc>
      </w:tr>
      <w:tr>
        <w:trPr>
          <w:trHeight w:val="220"/>
        </w:trPr>
        <w:tc>
          <w:tcPr>
            <w:tcW w:w="5280" w:type="dxa"/>
            <w:vAlign w:val="bottom"/>
          </w:tcPr>
          <w:p>
            <w:pPr>
              <w:ind w:left="20"/>
              <w:spacing w:after="0"/>
              <w:rPr>
                <w:sz w:val="20"/>
                <w:szCs w:val="20"/>
                <w:color w:val="auto"/>
              </w:rPr>
            </w:pPr>
            <w:r>
              <w:rPr>
                <w:rFonts w:ascii="Arial" w:cs="Arial" w:eastAsia="Arial" w:hAnsi="Arial"/>
                <w:sz w:val="16"/>
                <w:szCs w:val="16"/>
                <w:color w:val="auto"/>
              </w:rPr>
              <w:t>Indemnification receivable</w:t>
            </w:r>
          </w:p>
        </w:tc>
        <w:tc>
          <w:tcPr>
            <w:tcW w:w="20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2,774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2,774</w:t>
            </w: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in affiliates</w:t>
            </w: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775</w:t>
            </w:r>
          </w:p>
        </w:tc>
      </w:tr>
      <w:tr>
        <w:trPr>
          <w:trHeight w:val="220"/>
        </w:trPr>
        <w:tc>
          <w:tcPr>
            <w:tcW w:w="52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1,335</w:t>
            </w: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receivable</w:t>
            </w:r>
          </w:p>
        </w:tc>
        <w:tc>
          <w:tcPr>
            <w:tcW w:w="20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2,631</w:t>
            </w:r>
          </w:p>
        </w:tc>
        <w:tc>
          <w:tcPr>
            <w:tcW w:w="1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2,148</w:t>
            </w:r>
          </w:p>
        </w:tc>
      </w:tr>
      <w:tr>
        <w:trPr>
          <w:trHeight w:val="217"/>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15,475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15,122</w:t>
            </w: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accrued expenses and other current liabilities are summarized in the table below:</w:t>
      </w:r>
    </w:p>
    <w:p>
      <w:pPr>
        <w:spacing w:after="0" w:line="199" w:lineRule="exact"/>
        <w:rPr>
          <w:sz w:val="20"/>
          <w:szCs w:val="20"/>
          <w:color w:val="auto"/>
        </w:rPr>
      </w:pPr>
    </w:p>
    <w:tbl>
      <w:tblPr>
        <w:tblLayout w:type="fixed"/>
        <w:tblInd w:w="118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2"/>
              </w:rPr>
              <w:t>December 31, 2022</w:t>
            </w:r>
          </w:p>
        </w:tc>
      </w:tr>
      <w:tr>
        <w:trPr>
          <w:trHeight w:val="206"/>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acquisition and settlement of pre-existing</w:t>
            </w: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26"/>
        </w:trPr>
        <w:tc>
          <w:tcPr>
            <w:tcW w:w="5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relationships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r>
      <w:tr>
        <w:trPr>
          <w:trHeight w:val="220"/>
        </w:trPr>
        <w:tc>
          <w:tcPr>
            <w:tcW w:w="5140" w:type="dxa"/>
            <w:vAlign w:val="bottom"/>
          </w:tcPr>
          <w:p>
            <w:pPr>
              <w:ind w:left="20"/>
              <w:spacing w:after="0"/>
              <w:rPr>
                <w:sz w:val="20"/>
                <w:szCs w:val="20"/>
                <w:color w:val="auto"/>
              </w:rPr>
            </w:pPr>
            <w:r>
              <w:rPr>
                <w:rFonts w:ascii="Arial" w:cs="Arial" w:eastAsia="Arial" w:hAnsi="Arial"/>
                <w:sz w:val="16"/>
                <w:szCs w:val="16"/>
                <w:color w:val="auto"/>
              </w:rPr>
              <w:t>Taxes - property and other</w:t>
            </w:r>
          </w:p>
        </w:tc>
        <w:tc>
          <w:tcPr>
            <w:tcW w:w="2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9,682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9,306</w:t>
            </w:r>
          </w:p>
        </w:tc>
      </w:tr>
      <w:tr>
        <w:trPr>
          <w:trHeight w:val="239"/>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accrued expenses</w:t>
            </w: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26,698</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29,021</w:t>
            </w:r>
          </w:p>
        </w:tc>
      </w:tr>
      <w:tr>
        <w:trPr>
          <w:trHeight w:val="220"/>
        </w:trPr>
        <w:tc>
          <w:tcPr>
            <w:tcW w:w="5140" w:type="dxa"/>
            <w:vAlign w:val="bottom"/>
          </w:tcPr>
          <w:p>
            <w:pPr>
              <w:ind w:left="20"/>
              <w:spacing w:after="0"/>
              <w:rPr>
                <w:sz w:val="20"/>
                <w:szCs w:val="20"/>
                <w:color w:val="auto"/>
              </w:rPr>
            </w:pPr>
            <w:r>
              <w:rPr>
                <w:rFonts w:ascii="Arial" w:cs="Arial" w:eastAsia="Arial" w:hAnsi="Arial"/>
                <w:sz w:val="16"/>
                <w:szCs w:val="16"/>
                <w:color w:val="auto"/>
              </w:rPr>
              <w:t>Payroll liabilities</w:t>
            </w:r>
          </w:p>
        </w:tc>
        <w:tc>
          <w:tcPr>
            <w:tcW w:w="2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11,537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14,516</w:t>
            </w:r>
          </w:p>
        </w:tc>
      </w:tr>
      <w:tr>
        <w:trPr>
          <w:trHeight w:val="239"/>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10,097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10,011</w:t>
            </w:r>
          </w:p>
        </w:tc>
      </w:tr>
      <w:tr>
        <w:trPr>
          <w:trHeight w:val="223"/>
        </w:trPr>
        <w:tc>
          <w:tcPr>
            <w:tcW w:w="514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1,620</w:t>
            </w:r>
          </w:p>
        </w:tc>
      </w:tr>
      <w:tr>
        <w:trPr>
          <w:trHeight w:val="263"/>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58,130</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As of March 31, 2023, other accrued expenses include approximately $15,231 relating to a combination of indemnification claims, notices and demand letters received by the Company, including, without limitation, potential disputes arising out of the Green Leaf Transaction, together with a general accrual for estimated fees anticipated to close these matters. The outcome of any of these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ind w:left="380"/>
        <w:spacing w:after="0"/>
        <w:rPr>
          <w:sz w:val="20"/>
          <w:szCs w:val="20"/>
          <w:color w:val="auto"/>
        </w:rPr>
      </w:pPr>
      <w:r>
        <w:rPr>
          <w:rFonts w:ascii="Arial" w:cs="Arial" w:eastAsia="Arial" w:hAnsi="Arial"/>
          <w:sz w:val="18"/>
          <w:szCs w:val="18"/>
          <w:color w:val="auto"/>
        </w:rPr>
        <w:t>matters cannot yet be determined with any certainty and the Company will continue to rigorously defend any claims made against it.</w:t>
      </w:r>
    </w:p>
    <w:p>
      <w:pPr>
        <w:spacing w:after="0" w:line="154"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4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 had the following activity during the three months ended March 31, 2023:</w:t>
      </w:r>
    </w:p>
    <w:p>
      <w:pPr>
        <w:spacing w:after="0" w:line="225" w:lineRule="exact"/>
        <w:rPr>
          <w:rFonts w:ascii="Arial" w:cs="Arial" w:eastAsia="Arial" w:hAnsi="Arial"/>
          <w:sz w:val="18"/>
          <w:szCs w:val="18"/>
          <w:b w:val="1"/>
          <w:bCs w:val="1"/>
          <w:color w:val="auto"/>
        </w:rPr>
      </w:pPr>
    </w:p>
    <w:p>
      <w:pPr>
        <w:ind w:left="1020" w:hanging="503"/>
        <w:spacing w:after="0"/>
        <w:tabs>
          <w:tab w:leader="none" w:pos="10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Issued 2,116,944 Common Shares upon vesting of Restricted Stock Units (RSUs) during the three months ended March 31, 2023.</w:t>
      </w:r>
    </w:p>
    <w:p>
      <w:pPr>
        <w:spacing w:after="0" w:line="232" w:lineRule="exact"/>
        <w:rPr>
          <w:rFonts w:ascii="Arial" w:cs="Arial" w:eastAsia="Arial" w:hAnsi="Arial"/>
          <w:sz w:val="17"/>
          <w:szCs w:val="17"/>
          <w:color w:val="auto"/>
        </w:rPr>
      </w:pPr>
    </w:p>
    <w:p>
      <w:pPr>
        <w:ind w:left="380" w:hanging="372"/>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As of March 31, 2023 and December 31, 2022, outstanding equity-classified warrants to purchase Common Shares consisted of the following:</w:t>
      </w:r>
    </w:p>
    <w:p>
      <w:pPr>
        <w:spacing w:after="0" w:line="210"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2023</w:t>
            </w:r>
          </w:p>
        </w:tc>
        <w:tc>
          <w:tcPr>
            <w:tcW w:w="1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2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December 31, 2022</w:t>
            </w:r>
          </w:p>
        </w:tc>
      </w:tr>
      <w:tr>
        <w:trPr>
          <w:trHeight w:val="202"/>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Exercise Price</w:t>
            </w:r>
          </w:p>
        </w:tc>
        <w:tc>
          <w:tcPr>
            <w:tcW w:w="120" w:type="dxa"/>
            <w:vAlign w:val="bottom"/>
          </w:tcPr>
          <w:p>
            <w:pPr>
              <w:spacing w:after="0"/>
              <w:rPr>
                <w:sz w:val="17"/>
                <w:szCs w:val="17"/>
                <w:color w:val="auto"/>
              </w:rPr>
            </w:pPr>
          </w:p>
        </w:tc>
        <w:tc>
          <w:tcPr>
            <w:tcW w:w="192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Exercise Price</w:t>
            </w:r>
          </w:p>
        </w:tc>
      </w:tr>
      <w:tr>
        <w:trPr>
          <w:trHeight w:val="223"/>
        </w:trPr>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Expiration</w:t>
            </w:r>
          </w:p>
        </w:tc>
        <w:tc>
          <w:tcPr>
            <w:tcW w:w="120" w:type="dxa"/>
            <w:vAlign w:val="bottom"/>
          </w:tcPr>
          <w:p>
            <w:pPr>
              <w:spacing w:after="0"/>
              <w:rPr>
                <w:sz w:val="19"/>
                <w:szCs w:val="19"/>
                <w:color w:val="auto"/>
              </w:rPr>
            </w:pPr>
          </w:p>
        </w:tc>
        <w:tc>
          <w:tcPr>
            <w:tcW w:w="1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Issued and Exercisable</w:t>
            </w:r>
          </w:p>
        </w:tc>
        <w:tc>
          <w:tcPr>
            <w:tcW w:w="180" w:type="dxa"/>
            <w:vAlign w:val="bottom"/>
          </w:tcPr>
          <w:p>
            <w:pPr>
              <w:spacing w:after="0"/>
              <w:rPr>
                <w:sz w:val="19"/>
                <w:szCs w:val="19"/>
                <w:color w:val="auto"/>
              </w:rPr>
            </w:pPr>
          </w:p>
        </w:tc>
        <w:tc>
          <w:tcPr>
            <w:tcW w:w="16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w w:val="97"/>
              </w:rPr>
              <w:t>(Canadian Dollars)</w:t>
            </w:r>
          </w:p>
        </w:tc>
        <w:tc>
          <w:tcPr>
            <w:tcW w:w="120" w:type="dxa"/>
            <w:vAlign w:val="bottom"/>
          </w:tcPr>
          <w:p>
            <w:pPr>
              <w:spacing w:after="0"/>
              <w:rPr>
                <w:sz w:val="19"/>
                <w:szCs w:val="19"/>
                <w:color w:val="auto"/>
              </w:rPr>
            </w:pPr>
          </w:p>
        </w:tc>
        <w:tc>
          <w:tcPr>
            <w:tcW w:w="1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Issued and Exercisable</w:t>
            </w:r>
          </w:p>
        </w:tc>
        <w:tc>
          <w:tcPr>
            <w:tcW w:w="180" w:type="dxa"/>
            <w:vAlign w:val="bottom"/>
          </w:tcPr>
          <w:p>
            <w:pPr>
              <w:spacing w:after="0"/>
              <w:rPr>
                <w:sz w:val="19"/>
                <w:szCs w:val="19"/>
                <w:color w:val="auto"/>
              </w:rPr>
            </w:pPr>
          </w:p>
        </w:tc>
        <w:tc>
          <w:tcPr>
            <w:tcW w:w="16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w w:val="99"/>
              </w:rPr>
              <w:t>(Canadian Dollars)</w:t>
            </w:r>
          </w:p>
        </w:tc>
      </w:tr>
      <w:tr>
        <w:trPr>
          <w:trHeight w:val="230"/>
        </w:trPr>
        <w:tc>
          <w:tcPr>
            <w:tcW w:w="1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May 8, 2021</w:t>
            </w:r>
          </w:p>
        </w:tc>
        <w:tc>
          <w:tcPr>
            <w:tcW w:w="1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5.71</w:t>
            </w:r>
          </w:p>
        </w:tc>
      </w:tr>
      <w:tr>
        <w:trPr>
          <w:trHeight w:val="220"/>
        </w:trPr>
        <w:tc>
          <w:tcPr>
            <w:tcW w:w="1420" w:type="dxa"/>
            <w:vAlign w:val="bottom"/>
            <w:gridSpan w:val="2"/>
          </w:tcPr>
          <w:p>
            <w:pPr>
              <w:ind w:left="20"/>
              <w:spacing w:after="0"/>
              <w:rPr>
                <w:sz w:val="20"/>
                <w:szCs w:val="20"/>
                <w:color w:val="auto"/>
              </w:rPr>
            </w:pPr>
            <w:r>
              <w:rPr>
                <w:rFonts w:ascii="Arial" w:cs="Arial" w:eastAsia="Arial" w:hAnsi="Arial"/>
                <w:sz w:val="16"/>
                <w:szCs w:val="16"/>
                <w:color w:val="auto"/>
              </w:rPr>
              <w:t>October 1, 2025</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648,783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8.12</w:t>
            </w:r>
          </w:p>
        </w:tc>
        <w:tc>
          <w:tcPr>
            <w:tcW w:w="2040" w:type="dxa"/>
            <w:vAlign w:val="bottom"/>
            <w:gridSpan w:val="2"/>
          </w:tcPr>
          <w:p>
            <w:pPr>
              <w:jc w:val="right"/>
              <w:ind w:right="39"/>
              <w:spacing w:after="0"/>
              <w:rPr>
                <w:sz w:val="20"/>
                <w:szCs w:val="20"/>
                <w:color w:val="auto"/>
              </w:rPr>
            </w:pPr>
            <w:r>
              <w:rPr>
                <w:rFonts w:ascii="Arial" w:cs="Arial" w:eastAsia="Arial" w:hAnsi="Arial"/>
                <w:sz w:val="16"/>
                <w:szCs w:val="16"/>
                <w:color w:val="auto"/>
              </w:rPr>
              <w:t>648,783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8.12</w:t>
            </w:r>
          </w:p>
        </w:tc>
      </w:tr>
      <w:tr>
        <w:trPr>
          <w:trHeight w:val="239"/>
        </w:trPr>
        <w:tc>
          <w:tcPr>
            <w:tcW w:w="1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April 26, 2024</w:t>
            </w:r>
          </w:p>
        </w:tc>
        <w:tc>
          <w:tcPr>
            <w:tcW w:w="1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5,394,945</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10.35</w:t>
            </w:r>
          </w:p>
        </w:tc>
        <w:tc>
          <w:tcPr>
            <w:tcW w:w="20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5,394,945</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10.35</w:t>
            </w:r>
          </w:p>
        </w:tc>
      </w:tr>
      <w:tr>
        <w:trPr>
          <w:trHeight w:val="220"/>
        </w:trPr>
        <w:tc>
          <w:tcPr>
            <w:tcW w:w="1420" w:type="dxa"/>
            <w:vAlign w:val="bottom"/>
            <w:gridSpan w:val="2"/>
          </w:tcPr>
          <w:p>
            <w:pPr>
              <w:ind w:left="20"/>
              <w:spacing w:after="0"/>
              <w:rPr>
                <w:sz w:val="20"/>
                <w:szCs w:val="20"/>
                <w:color w:val="auto"/>
              </w:rPr>
            </w:pPr>
            <w:r>
              <w:rPr>
                <w:rFonts w:ascii="Arial" w:cs="Arial" w:eastAsia="Arial" w:hAnsi="Arial"/>
                <w:sz w:val="16"/>
                <w:szCs w:val="16"/>
                <w:color w:val="auto"/>
              </w:rPr>
              <w:t>March 31, 2023</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3.10</w:t>
            </w:r>
          </w:p>
        </w:tc>
        <w:tc>
          <w:tcPr>
            <w:tcW w:w="2040" w:type="dxa"/>
            <w:vAlign w:val="bottom"/>
            <w:gridSpan w:val="2"/>
          </w:tcPr>
          <w:p>
            <w:pPr>
              <w:jc w:val="right"/>
              <w:ind w:right="39"/>
              <w:spacing w:after="0"/>
              <w:rPr>
                <w:sz w:val="20"/>
                <w:szCs w:val="20"/>
                <w:color w:val="auto"/>
              </w:rPr>
            </w:pPr>
            <w:r>
              <w:rPr>
                <w:rFonts w:ascii="Arial" w:cs="Arial" w:eastAsia="Arial" w:hAnsi="Arial"/>
                <w:sz w:val="16"/>
                <w:szCs w:val="16"/>
                <w:color w:val="auto"/>
              </w:rPr>
              <w:t>1,723,250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3.10</w:t>
            </w:r>
          </w:p>
        </w:tc>
      </w:tr>
      <w:tr>
        <w:trPr>
          <w:trHeight w:val="239"/>
        </w:trPr>
        <w:tc>
          <w:tcPr>
            <w:tcW w:w="1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May 14, 2023</w:t>
            </w:r>
          </w:p>
        </w:tc>
        <w:tc>
          <w:tcPr>
            <w:tcW w:w="1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1,818,788</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2.95</w:t>
            </w:r>
          </w:p>
        </w:tc>
        <w:tc>
          <w:tcPr>
            <w:tcW w:w="20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1,818,788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w:t>
            </w:r>
          </w:p>
        </w:tc>
      </w:tr>
      <w:tr>
        <w:trPr>
          <w:trHeight w:val="220"/>
        </w:trPr>
        <w:tc>
          <w:tcPr>
            <w:tcW w:w="1420" w:type="dxa"/>
            <w:vAlign w:val="bottom"/>
            <w:gridSpan w:val="2"/>
          </w:tcPr>
          <w:p>
            <w:pPr>
              <w:ind w:left="20"/>
              <w:spacing w:after="0"/>
              <w:rPr>
                <w:sz w:val="20"/>
                <w:szCs w:val="20"/>
                <w:color w:val="auto"/>
              </w:rPr>
            </w:pPr>
            <w:r>
              <w:rPr>
                <w:rFonts w:ascii="Arial" w:cs="Arial" w:eastAsia="Arial" w:hAnsi="Arial"/>
                <w:sz w:val="16"/>
                <w:szCs w:val="16"/>
                <w:color w:val="auto"/>
              </w:rPr>
              <w:t>May 14, 2023</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9"/>
                <w:szCs w:val="19"/>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4.53</w:t>
            </w:r>
          </w:p>
        </w:tc>
      </w:tr>
      <w:tr>
        <w:trPr>
          <w:trHeight w:val="236"/>
        </w:trPr>
        <w:tc>
          <w:tcPr>
            <w:tcW w:w="14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May 14, 2023</w:t>
            </w:r>
          </w:p>
        </w:tc>
        <w:tc>
          <w:tcPr>
            <w:tcW w:w="1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1,897,000</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1,897,000</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5.84</w:t>
            </w:r>
          </w:p>
        </w:tc>
      </w:tr>
      <w:tr>
        <w:trPr>
          <w:trHeight w:val="226"/>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9,759,516</w:t>
            </w:r>
          </w:p>
        </w:tc>
        <w:tc>
          <w:tcPr>
            <w:tcW w:w="4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7.95</w:t>
            </w:r>
          </w:p>
        </w:tc>
        <w:tc>
          <w:tcPr>
            <w:tcW w:w="2040" w:type="dxa"/>
            <w:vAlign w:val="bottom"/>
            <w:gridSpan w:val="2"/>
          </w:tcPr>
          <w:p>
            <w:pPr>
              <w:jc w:val="right"/>
              <w:ind w:right="39"/>
              <w:spacing w:after="0"/>
              <w:rPr>
                <w:sz w:val="20"/>
                <w:szCs w:val="20"/>
                <w:color w:val="auto"/>
              </w:rPr>
            </w:pPr>
            <w:r>
              <w:rPr>
                <w:rFonts w:ascii="Arial" w:cs="Arial" w:eastAsia="Arial" w:hAnsi="Arial"/>
                <w:sz w:val="16"/>
                <w:szCs w:val="16"/>
                <w:color w:val="auto"/>
              </w:rPr>
              <w:t>11,482,766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7.22</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-179070</wp:posOffset>
            </wp:positionV>
            <wp:extent cx="11112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wp:posOffset>
            </wp:positionV>
            <wp:extent cx="111125"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 activity for the three months ended March 31, 2023 and 2022 are summarized in the table below:</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center"/>
              <w:ind w:right="259"/>
              <w:spacing w:after="0"/>
              <w:rPr>
                <w:sz w:val="20"/>
                <w:szCs w:val="20"/>
                <w:color w:val="auto"/>
              </w:rPr>
            </w:pPr>
            <w:r>
              <w:rPr>
                <w:rFonts w:ascii="Arial" w:cs="Arial" w:eastAsia="Arial" w:hAnsi="Arial"/>
                <w:sz w:val="16"/>
                <w:szCs w:val="16"/>
                <w:b w:val="1"/>
                <w:bCs w:val="1"/>
                <w:color w:val="auto"/>
                <w:w w:val="90"/>
              </w:rPr>
              <w:t>Weighted average</w:t>
            </w:r>
          </w:p>
        </w:tc>
      </w:tr>
      <w:tr>
        <w:trPr>
          <w:trHeight w:val="230"/>
        </w:trPr>
        <w:tc>
          <w:tcPr>
            <w:tcW w:w="4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539"/>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exercise price</w:t>
            </w:r>
          </w:p>
        </w:tc>
      </w:tr>
      <w:tr>
        <w:trPr>
          <w:trHeight w:val="276"/>
        </w:trPr>
        <w:tc>
          <w:tcPr>
            <w:tcW w:w="4600" w:type="dxa"/>
            <w:vAlign w:val="bottom"/>
            <w:tcBorders>
              <w:bottom w:val="single" w:sz="8" w:color="CCEEFF"/>
            </w:tcBorders>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Warrants</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93"/>
              </w:rPr>
              <w:t>(Canadian Dollars)</w:t>
            </w: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11,662,766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9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7.15</w:t>
            </w:r>
          </w:p>
        </w:tc>
      </w:tr>
      <w:tr>
        <w:trPr>
          <w:trHeight w:val="223"/>
        </w:trPr>
        <w:tc>
          <w:tcPr>
            <w:tcW w:w="46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4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(180,000 )</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w:t>
            </w:r>
          </w:p>
        </w:tc>
      </w:tr>
      <w:tr>
        <w:trPr>
          <w:trHeight w:val="263"/>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40" w:type="dxa"/>
            <w:vAlign w:val="bottom"/>
            <w:tcBorders>
              <w:bottom w:val="single" w:sz="8" w:color="CFF0FC"/>
            </w:tcBorders>
            <w:shd w:val="clear" w:color="auto" w:fill="CFF0FC"/>
          </w:tcPr>
          <w:p>
            <w:pPr>
              <w:spacing w:after="0"/>
              <w:rPr>
                <w:sz w:val="22"/>
                <w:szCs w:val="22"/>
                <w:color w:val="auto"/>
              </w:rPr>
            </w:pPr>
          </w:p>
        </w:tc>
        <w:tc>
          <w:tcPr>
            <w:tcW w:w="1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11,482,766</w:t>
            </w:r>
          </w:p>
        </w:tc>
        <w:tc>
          <w:tcPr>
            <w:tcW w:w="20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7.22</w:t>
            </w:r>
          </w:p>
        </w:tc>
      </w:tr>
      <w:tr>
        <w:trPr>
          <w:trHeight w:val="43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2020" w:type="dxa"/>
            <w:vAlign w:val="bottom"/>
            <w:gridSpan w:val="2"/>
          </w:tcPr>
          <w:p>
            <w:pPr>
              <w:jc w:val="right"/>
              <w:ind w:right="39"/>
              <w:spacing w:after="0"/>
              <w:rPr>
                <w:sz w:val="20"/>
                <w:szCs w:val="20"/>
                <w:color w:val="auto"/>
              </w:rPr>
            </w:pPr>
            <w:r>
              <w:rPr>
                <w:rFonts w:ascii="Arial" w:cs="Arial" w:eastAsia="Arial" w:hAnsi="Arial"/>
                <w:sz w:val="16"/>
                <w:szCs w:val="16"/>
                <w:color w:val="auto"/>
              </w:rPr>
              <w:t>11,482,766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7.22</w:t>
            </w:r>
          </w:p>
        </w:tc>
      </w:tr>
      <w:tr>
        <w:trPr>
          <w:trHeight w:val="23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14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4600" w:type="dxa"/>
            <w:vAlign w:val="bottom"/>
          </w:tcPr>
          <w:p>
            <w:pPr>
              <w:ind w:left="20"/>
              <w:spacing w:after="0"/>
              <w:rPr>
                <w:sz w:val="20"/>
                <w:szCs w:val="20"/>
                <w:color w:val="auto"/>
              </w:rPr>
            </w:pPr>
            <w:r>
              <w:rPr>
                <w:rFonts w:ascii="Arial" w:cs="Arial" w:eastAsia="Arial" w:hAnsi="Arial"/>
                <w:sz w:val="16"/>
                <w:szCs w:val="16"/>
                <w:color w:val="auto"/>
              </w:rPr>
              <w:t>Expired</w:t>
            </w:r>
          </w:p>
        </w:tc>
        <w:tc>
          <w:tcPr>
            <w:tcW w:w="14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(1,723,250 )</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3.10</w:t>
            </w:r>
          </w:p>
        </w:tc>
      </w:tr>
      <w:tr>
        <w:trPr>
          <w:trHeight w:val="263"/>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40" w:type="dxa"/>
            <w:vAlign w:val="bottom"/>
            <w:tcBorders>
              <w:bottom w:val="single" w:sz="8" w:color="CFF0FC"/>
            </w:tcBorders>
            <w:shd w:val="clear" w:color="auto" w:fill="CFF0FC"/>
          </w:tcPr>
          <w:p>
            <w:pPr>
              <w:spacing w:after="0"/>
              <w:rPr>
                <w:sz w:val="22"/>
                <w:szCs w:val="22"/>
                <w:color w:val="auto"/>
              </w:rPr>
            </w:pPr>
          </w:p>
        </w:tc>
        <w:tc>
          <w:tcPr>
            <w:tcW w:w="1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9,759,516</w:t>
            </w:r>
          </w:p>
        </w:tc>
        <w:tc>
          <w:tcPr>
            <w:tcW w:w="20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7.95</w:t>
            </w:r>
          </w:p>
        </w:tc>
      </w:tr>
    </w:tbl>
    <w:p>
      <w:pPr>
        <w:spacing w:after="0" w:line="200" w:lineRule="exact"/>
        <w:rPr>
          <w:sz w:val="20"/>
          <w:szCs w:val="20"/>
          <w:color w:val="auto"/>
        </w:rPr>
      </w:pPr>
    </w:p>
    <w:p>
      <w:pPr>
        <w:spacing w:after="0" w:line="227"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4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the Company was calculated as follows:</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5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2022</w:t>
            </w:r>
          </w:p>
        </w:tc>
      </w:tr>
      <w:tr>
        <w:trPr>
          <w:trHeight w:val="229"/>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Numerator:</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220"/>
        </w:trPr>
        <w:tc>
          <w:tcPr>
            <w:tcW w:w="5040" w:type="dxa"/>
            <w:vAlign w:val="bottom"/>
          </w:tcPr>
          <w:p>
            <w:pPr>
              <w:ind w:left="20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(36,572 )</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(27,906 )</w:t>
            </w:r>
          </w:p>
        </w:tc>
      </w:tr>
      <w:tr>
        <w:trPr>
          <w:trHeight w:val="233"/>
        </w:trPr>
        <w:tc>
          <w:tcPr>
            <w:tcW w:w="5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768</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(1,270 )</w:t>
            </w:r>
          </w:p>
        </w:tc>
      </w:tr>
      <w:tr>
        <w:trPr>
          <w:trHeight w:val="223"/>
        </w:trPr>
        <w:tc>
          <w:tcPr>
            <w:tcW w:w="5040" w:type="dxa"/>
            <w:vAlign w:val="bottom"/>
          </w:tcPr>
          <w:p>
            <w:pPr>
              <w:ind w:left="380"/>
              <w:spacing w:after="0"/>
              <w:rPr>
                <w:sz w:val="20"/>
                <w:szCs w:val="20"/>
                <w:color w:val="auto"/>
              </w:rPr>
            </w:pPr>
            <w:r>
              <w:rPr>
                <w:rFonts w:ascii="Arial" w:cs="Arial" w:eastAsia="Arial" w:hAnsi="Arial"/>
                <w:sz w:val="16"/>
                <w:szCs w:val="16"/>
                <w:color w:val="auto"/>
              </w:rPr>
              <w:t>Net loss attributable to shareholders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(37,340 )</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(26,636 )</w:t>
            </w: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5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20"/>
        </w:trPr>
        <w:tc>
          <w:tcPr>
            <w:tcW w:w="504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3"/>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outstanding - 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401,438,546</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376,397,260</w:t>
            </w:r>
          </w:p>
        </w:tc>
      </w:tr>
      <w:tr>
        <w:trPr>
          <w:trHeight w:val="223"/>
        </w:trPr>
        <w:tc>
          <w:tcPr>
            <w:tcW w:w="5040" w:type="dxa"/>
            <w:vAlign w:val="bottom"/>
          </w:tcPr>
          <w:p>
            <w:pPr>
              <w:ind w:left="20"/>
              <w:spacing w:after="0"/>
              <w:rPr>
                <w:sz w:val="20"/>
                <w:szCs w:val="20"/>
                <w:color w:val="auto"/>
              </w:rPr>
            </w:pPr>
            <w:r>
              <w:rPr>
                <w:rFonts w:ascii="Arial" w:cs="Arial" w:eastAsia="Arial" w:hAnsi="Arial"/>
                <w:sz w:val="16"/>
                <w:szCs w:val="16"/>
                <w:color w:val="auto"/>
              </w:rPr>
              <w:t>Loss per share - basic and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(0.09 )</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(0.07 )</w:t>
            </w: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-796290</wp:posOffset>
            </wp:positionV>
            <wp:extent cx="8572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8572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14"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Certain share-based equity awards were excluded from the computation of dilutive loss per share because inclusion of these awards would have had an anti-dilutive effect.</w:t>
      </w:r>
    </w:p>
    <w:p>
      <w:pPr>
        <w:spacing w:after="0" w:line="139"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rFonts w:ascii="Arial" w:cs="Arial" w:eastAsia="Arial" w:hAnsi="Arial"/>
          <w:sz w:val="18"/>
          <w:szCs w:val="18"/>
          <w:b w:val="1"/>
          <w:bCs w:val="1"/>
          <w:color w:val="auto"/>
        </w:rPr>
      </w:pPr>
    </w:p>
    <w:p>
      <w:pPr>
        <w:ind w:lef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ind w:left="380"/>
        <w:spacing w:after="0" w:line="279" w:lineRule="auto"/>
        <w:rPr>
          <w:sz w:val="20"/>
          <w:szCs w:val="20"/>
          <w:color w:val="auto"/>
        </w:rPr>
      </w:pPr>
      <w:r>
        <w:rPr>
          <w:rFonts w:ascii="Arial" w:cs="Arial" w:eastAsia="Arial" w:hAnsi="Arial"/>
          <w:sz w:val="17"/>
          <w:szCs w:val="17"/>
          <w:color w:val="auto"/>
        </w:rPr>
        <w:t>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90" w:lineRule="exact"/>
        <w:rPr>
          <w:sz w:val="20"/>
          <w:szCs w:val="20"/>
          <w:color w:val="auto"/>
        </w:rPr>
      </w:pPr>
    </w:p>
    <w:p>
      <w:pPr>
        <w:jc w:val="both"/>
        <w:ind w:left="380"/>
        <w:spacing w:after="0" w:line="285" w:lineRule="auto"/>
        <w:rPr>
          <w:sz w:val="20"/>
          <w:szCs w:val="20"/>
          <w:color w:val="auto"/>
        </w:rPr>
      </w:pPr>
      <w:r>
        <w:rPr>
          <w:rFonts w:ascii="Arial" w:cs="Arial" w:eastAsia="Arial" w:hAnsi="Arial"/>
          <w:sz w:val="16"/>
          <w:szCs w:val="16"/>
          <w:color w:val="auto"/>
        </w:rPr>
        <w:t>The Green Leaf Transaction closed on June 11, 2021. By letters dated April 22, 2022, June 1, 2022 and March 14, 2023, the Company notified the shareholder representative (“SRS”) for the former Green Leaf shareholders, including a director of the Company, that the Company was seeking indemnification of approximately $11 million for certain preclosing taxes paid by the Company on behalf of the former Green Leaf shareholders. By letter dated July 14, 2022, SRS notified the Company that the former Green Leaf shareholders were making an indemnification claim to the Company for $17.6 million related to alleged damages arising out of certain alleged undisclosed and under-disclosed litigation matters. By letter dated October 6, 2022, SRS sent an updated demand letter seeking in excess of $75 million from the Company. In addition to the claims raised in SRS’s July 14, 2022 letter, SRS demanded payment of at least $58 million for Green Leaf's purported achievement of a milestone payout contemplated in the Green Leaf Transaction for the time period July 1, 2021 to June 30, 2022. The Company, based on a third-party assessment, determined that the milestone was not achieved. The parties engaged in preliminary negotiations, including a non-binding mediation, about the possibility of entering into a global resolution of outstanding disputes. On March 2, 2023, SRS filed a complaint in the Circuit Court for Baltimore City, Maryland against the Company, a Company subsidiary, the Company’s Chairman, CEO and CFO, as well as the third-party firm that prepared the aforementioned assessment, seeking in excess of $72 million in damages, in addition to punitive damages, based on asserted legal claims of breach of contract, fraud and intentional misrepresentation, negligent misrepresentation, tortious interference with a contract, breach of a fiduciary duty, aiding and abetting a breach of a fiduciary duty and civil conspiracy. The Company (and the other named parties) will assert defenses with respect to the claims in the complaint. However, there can be no assurance that such defenses will be successful and, if they are not successful, that the direct or indirect losses will not be material. Separately, the Company intends to continue to pursue legal recourse against the former Green Leaf shareholders with respect to the approximately $11 million owed to the Company for certain preclosing tax payments.</w:t>
      </w:r>
    </w:p>
    <w:p>
      <w:pPr>
        <w:spacing w:after="0" w:line="106"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183" w:lineRule="exact"/>
        <w:rPr>
          <w:sz w:val="20"/>
          <w:szCs w:val="20"/>
          <w:color w:val="auto"/>
        </w:rPr>
      </w:pPr>
    </w:p>
    <w:p>
      <w:pPr>
        <w:ind w:left="380" w:right="5360" w:hanging="372"/>
        <w:spacing w:after="0" w:line="417" w:lineRule="auto"/>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FAIR VALUE MEASUREMENTS </w:t>
      </w:r>
      <w:r>
        <w:rPr>
          <w:rFonts w:ascii="Arial" w:cs="Arial" w:eastAsia="Arial" w:hAnsi="Arial"/>
          <w:sz w:val="18"/>
          <w:szCs w:val="18"/>
          <w:i w:val="1"/>
          <w:iCs w:val="1"/>
          <w:u w:val="single" w:color="auto"/>
          <w:color w:val="auto"/>
        </w:rPr>
        <w:t>Fair Value Measurements</w:t>
      </w: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financial instruments that are measured at fair value on a recurring basis:</w:t>
      </w: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4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Level 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29"/>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7"/>
        </w:trPr>
        <w:tc>
          <w:tcPr>
            <w:tcW w:w="4500" w:type="dxa"/>
            <w:vAlign w:val="bottom"/>
          </w:tcPr>
          <w:p>
            <w:pPr>
              <w:ind w:left="20"/>
              <w:spacing w:after="0"/>
              <w:rPr>
                <w:sz w:val="20"/>
                <w:szCs w:val="20"/>
                <w:color w:val="auto"/>
              </w:rPr>
            </w:pPr>
            <w:r>
              <w:rPr>
                <w:rFonts w:ascii="Arial" w:cs="Arial" w:eastAsia="Arial" w:hAnsi="Arial"/>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r>
      <w:tr>
        <w:trPr>
          <w:trHeight w:val="260"/>
        </w:trPr>
        <w:tc>
          <w:tcPr>
            <w:tcW w:w="45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(265 )</w:t>
            </w:r>
          </w:p>
        </w:tc>
      </w:tr>
      <w:tr>
        <w:trPr>
          <w:trHeight w:val="216"/>
        </w:trPr>
        <w:tc>
          <w:tcPr>
            <w:tcW w:w="45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6"/>
        </w:trPr>
        <w:tc>
          <w:tcPr>
            <w:tcW w:w="4500" w:type="dxa"/>
            <w:vAlign w:val="bottom"/>
          </w:tcPr>
          <w:p>
            <w:pPr>
              <w:ind w:left="20"/>
              <w:spacing w:after="0"/>
              <w:rPr>
                <w:sz w:val="20"/>
                <w:szCs w:val="20"/>
                <w:color w:val="auto"/>
              </w:rPr>
            </w:pPr>
            <w:r>
              <w:rPr>
                <w:rFonts w:ascii="Arial" w:cs="Arial" w:eastAsia="Arial" w:hAnsi="Arial"/>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r>
      <w:tr>
        <w:trPr>
          <w:trHeight w:val="260"/>
        </w:trPr>
        <w:tc>
          <w:tcPr>
            <w:tcW w:w="45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(235 )</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-642620</wp:posOffset>
            </wp:positionV>
            <wp:extent cx="154305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0"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period included in these financial statements, there were no transfers of amounts between levels.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valuation techniques and key inputs used in the fair value measurement of Level 3 financial instruments:</w:t>
      </w:r>
    </w:p>
    <w:p>
      <w:pPr>
        <w:spacing w:after="0" w:line="210"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22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Financial asset/financial</w:t>
            </w:r>
          </w:p>
        </w:tc>
        <w:tc>
          <w:tcPr>
            <w:tcW w:w="1940" w:type="dxa"/>
            <w:vAlign w:val="bottom"/>
            <w:vMerge w:val="restart"/>
          </w:tcPr>
          <w:p>
            <w:pPr>
              <w:ind w:left="340"/>
              <w:spacing w:after="0"/>
              <w:rPr>
                <w:sz w:val="20"/>
                <w:szCs w:val="20"/>
                <w:color w:val="auto"/>
              </w:rPr>
            </w:pPr>
            <w:r>
              <w:rPr>
                <w:rFonts w:ascii="Arial" w:cs="Arial" w:eastAsia="Arial" w:hAnsi="Arial"/>
                <w:sz w:val="16"/>
                <w:szCs w:val="16"/>
                <w:b w:val="1"/>
                <w:bCs w:val="1"/>
                <w:color w:val="auto"/>
                <w:w w:val="98"/>
              </w:rPr>
              <w:t>Valuation techniques</w:t>
            </w:r>
          </w:p>
        </w:tc>
        <w:tc>
          <w:tcPr>
            <w:tcW w:w="212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Significant unobservable</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0"/>
              </w:rPr>
              <w:t>Relationship of unobservable</w:t>
            </w:r>
          </w:p>
        </w:tc>
        <w:tc>
          <w:tcPr>
            <w:tcW w:w="0" w:type="dxa"/>
            <w:vAlign w:val="bottom"/>
          </w:tcPr>
          <w:p>
            <w:pPr>
              <w:spacing w:after="0"/>
              <w:rPr>
                <w:sz w:val="1"/>
                <w:szCs w:val="1"/>
                <w:color w:val="auto"/>
              </w:rPr>
            </w:pPr>
          </w:p>
        </w:tc>
      </w:tr>
      <w:tr>
        <w:trPr>
          <w:trHeight w:val="102"/>
        </w:trPr>
        <w:tc>
          <w:tcPr>
            <w:tcW w:w="226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97"/>
              </w:rPr>
              <w:t>liability</w:t>
            </w:r>
          </w:p>
        </w:tc>
        <w:tc>
          <w:tcPr>
            <w:tcW w:w="1940" w:type="dxa"/>
            <w:vAlign w:val="bottom"/>
            <w:vMerge w:val="continue"/>
          </w:tcPr>
          <w:p>
            <w:pPr>
              <w:spacing w:after="0"/>
              <w:rPr>
                <w:sz w:val="8"/>
                <w:szCs w:val="8"/>
                <w:color w:val="auto"/>
              </w:rPr>
            </w:pPr>
          </w:p>
        </w:tc>
        <w:tc>
          <w:tcPr>
            <w:tcW w:w="212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87"/>
              </w:rPr>
              <w:t>inputs</w:t>
            </w:r>
          </w:p>
        </w:tc>
        <w:tc>
          <w:tcPr>
            <w:tcW w:w="2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inputs to fair value</w:t>
            </w:r>
          </w:p>
        </w:tc>
        <w:tc>
          <w:tcPr>
            <w:tcW w:w="0" w:type="dxa"/>
            <w:vAlign w:val="bottom"/>
          </w:tcPr>
          <w:p>
            <w:pPr>
              <w:spacing w:after="0"/>
              <w:rPr>
                <w:sz w:val="1"/>
                <w:szCs w:val="1"/>
                <w:color w:val="auto"/>
              </w:rPr>
            </w:pPr>
          </w:p>
        </w:tc>
      </w:tr>
      <w:tr>
        <w:trPr>
          <w:trHeight w:val="118"/>
        </w:trPr>
        <w:tc>
          <w:tcPr>
            <w:tcW w:w="226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Derivative liability</w:t>
            </w:r>
          </w:p>
        </w:tc>
        <w:tc>
          <w:tcPr>
            <w:tcW w:w="19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Market approach</w:t>
            </w:r>
          </w:p>
        </w:tc>
        <w:tc>
          <w:tcPr>
            <w:tcW w:w="21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Conversion Period</w:t>
            </w: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Increase or decrease in conversion</w:t>
            </w:r>
          </w:p>
        </w:tc>
        <w:tc>
          <w:tcPr>
            <w:tcW w:w="0" w:type="dxa"/>
            <w:vAlign w:val="bottom"/>
          </w:tcPr>
          <w:p>
            <w:pPr>
              <w:spacing w:after="0"/>
              <w:rPr>
                <w:sz w:val="1"/>
                <w:szCs w:val="1"/>
                <w:color w:val="auto"/>
              </w:rPr>
            </w:pPr>
          </w:p>
        </w:tc>
      </w:tr>
      <w:tr>
        <w:trPr>
          <w:trHeight w:val="203"/>
        </w:trPr>
        <w:tc>
          <w:tcPr>
            <w:tcW w:w="226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period will result in an increase or</w:t>
            </w:r>
          </w:p>
        </w:tc>
        <w:tc>
          <w:tcPr>
            <w:tcW w:w="0" w:type="dxa"/>
            <w:vAlign w:val="bottom"/>
          </w:tcPr>
          <w:p>
            <w:pPr>
              <w:spacing w:after="0"/>
              <w:rPr>
                <w:sz w:val="1"/>
                <w:szCs w:val="1"/>
                <w:color w:val="auto"/>
              </w:rPr>
            </w:pPr>
          </w:p>
        </w:tc>
      </w:tr>
      <w:tr>
        <w:trPr>
          <w:trHeight w:val="226"/>
        </w:trPr>
        <w:tc>
          <w:tcPr>
            <w:tcW w:w="2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decrease in fair value</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380"/>
        <w:spacing w:after="0" w:line="279" w:lineRule="auto"/>
        <w:rPr>
          <w:sz w:val="20"/>
          <w:szCs w:val="20"/>
          <w:color w:val="auto"/>
        </w:rPr>
      </w:pPr>
      <w:r>
        <w:rPr>
          <w:rFonts w:ascii="Arial" w:cs="Arial" w:eastAsia="Arial" w:hAnsi="Arial"/>
          <w:sz w:val="17"/>
          <w:szCs w:val="17"/>
          <w:color w:val="auto"/>
        </w:rPr>
        <w:t>The carrying amounts of cash and restricted cash, accounts receivable, and other current assets, accounts payable, accrued expenses, and other current liabilities, current portion of long-term debt and lease liability as of March 31, 2023 and December 31, 2022 approximate their fair values because of the short-term nature of these items and are not included in the table above. The Company’s other long-term payables, long-term debt and lease liabilities approximate fair value due to the market rate of interest used on initial recognition.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jc w:val="both"/>
        <w:ind w:left="380"/>
        <w:spacing w:after="0" w:line="279" w:lineRule="auto"/>
        <w:rPr>
          <w:sz w:val="20"/>
          <w:szCs w:val="20"/>
          <w:color w:val="auto"/>
        </w:rPr>
      </w:pPr>
      <w:r>
        <w:rPr>
          <w:rFonts w:ascii="Arial" w:cs="Arial" w:eastAsia="Arial" w:hAnsi="Arial"/>
          <w:sz w:val="17"/>
          <w:szCs w:val="17"/>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March 31, 2023 and December 31, 2022. These estimates require management's judgement and may not be indicative of the future fair values of the assets and liabilities.</w:t>
      </w:r>
    </w:p>
    <w:p>
      <w:pPr>
        <w:spacing w:after="0" w:line="127" w:lineRule="exact"/>
        <w:rPr>
          <w:sz w:val="20"/>
          <w:szCs w:val="20"/>
          <w:color w:val="auto"/>
        </w:rPr>
      </w:pPr>
    </w:p>
    <w:p>
      <w:pPr>
        <w:ind w:left="380" w:right="6840" w:hanging="372"/>
        <w:spacing w:after="0" w:line="475" w:lineRule="auto"/>
        <w:tabs>
          <w:tab w:leader="none" w:pos="3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Goodwill and intangible assets consist of the following:</w:t>
      </w:r>
    </w:p>
    <w:tbl>
      <w:tblPr>
        <w:tblLayout w:type="fixed"/>
        <w:tblInd w:w="1340" w:type="dxa"/>
        <w:tblCellMar>
          <w:top w:w="0" w:type="dxa"/>
          <w:left w:w="0" w:type="dxa"/>
          <w:bottom w:w="0" w:type="dxa"/>
          <w:right w:w="0" w:type="dxa"/>
        </w:tblCellMar>
      </w:tblPr>
      <w:tr>
        <w:trPr>
          <w:trHeight w:val="223"/>
        </w:trPr>
        <w:tc>
          <w:tcPr>
            <w:tcW w:w="4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2"/>
              </w:rPr>
              <w:t>December 31, 2022</w:t>
            </w: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189,917</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189,917</w:t>
            </w:r>
          </w:p>
        </w:tc>
      </w:tr>
      <w:tr>
        <w:trPr>
          <w:trHeight w:val="227"/>
        </w:trPr>
        <w:tc>
          <w:tcPr>
            <w:tcW w:w="4940" w:type="dxa"/>
            <w:vAlign w:val="bottom"/>
          </w:tcPr>
          <w:p>
            <w:pPr>
              <w:spacing w:after="0"/>
              <w:rPr>
                <w:sz w:val="20"/>
                <w:szCs w:val="20"/>
                <w:color w:val="auto"/>
              </w:rPr>
            </w:pPr>
            <w:r>
              <w:rPr>
                <w:rFonts w:ascii="Arial" w:cs="Arial" w:eastAsia="Arial" w:hAnsi="Arial"/>
                <w:sz w:val="16"/>
                <w:szCs w:val="16"/>
                <w:color w:val="auto"/>
              </w:rPr>
              <w:t>Less: Accumulated impairment on goodwill</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(170,643 )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(170,643 )</w:t>
            </w:r>
          </w:p>
        </w:tc>
      </w:tr>
      <w:tr>
        <w:trPr>
          <w:trHeight w:val="266"/>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goodwill, net</w:t>
            </w:r>
          </w:p>
        </w:tc>
        <w:tc>
          <w:tcPr>
            <w:tcW w:w="200" w:type="dxa"/>
            <w:vAlign w:val="bottom"/>
            <w:tcBorders>
              <w:bottom w:val="single" w:sz="8" w:color="auto"/>
            </w:tcBorders>
            <w:shd w:val="clear" w:color="auto" w:fill="CFF0FC"/>
          </w:tcPr>
          <w:p>
            <w:pPr>
              <w:spacing w:after="0"/>
              <w:rPr>
                <w:sz w:val="23"/>
                <w:szCs w:val="23"/>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19,274</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19,274</w:t>
            </w:r>
          </w:p>
        </w:tc>
      </w:tr>
      <w:tr>
        <w:trPr>
          <w:trHeight w:val="210"/>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Licenses</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156,911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156,911</w:t>
            </w:r>
          </w:p>
        </w:tc>
      </w:tr>
      <w:tr>
        <w:trPr>
          <w:trHeight w:val="220"/>
        </w:trPr>
        <w:tc>
          <w:tcPr>
            <w:tcW w:w="4940" w:type="dxa"/>
            <w:vAlign w:val="bottom"/>
          </w:tcPr>
          <w:p>
            <w:pPr>
              <w:spacing w:after="0"/>
              <w:rPr>
                <w:sz w:val="20"/>
                <w:szCs w:val="20"/>
                <w:color w:val="auto"/>
              </w:rPr>
            </w:pPr>
            <w:r>
              <w:rPr>
                <w:rFonts w:ascii="Arial" w:cs="Arial" w:eastAsia="Arial" w:hAnsi="Arial"/>
                <w:sz w:val="16"/>
                <w:szCs w:val="16"/>
                <w:color w:val="auto"/>
              </w:rPr>
              <w:t>Trademarks</w:t>
            </w:r>
          </w:p>
        </w:tc>
        <w:tc>
          <w:tcPr>
            <w:tcW w:w="2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45,936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45,936</w:t>
            </w: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16,944</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16,944</w:t>
            </w:r>
          </w:p>
        </w:tc>
      </w:tr>
      <w:tr>
        <w:trPr>
          <w:trHeight w:val="216"/>
        </w:trPr>
        <w:tc>
          <w:tcPr>
            <w:tcW w:w="4940" w:type="dxa"/>
            <w:vAlign w:val="bottom"/>
          </w:tcPr>
          <w:p>
            <w:pPr>
              <w:spacing w:after="0"/>
              <w:rPr>
                <w:sz w:val="20"/>
                <w:szCs w:val="20"/>
                <w:color w:val="auto"/>
              </w:rPr>
            </w:pPr>
            <w:r>
              <w:rPr>
                <w:rFonts w:ascii="Arial" w:cs="Arial" w:eastAsia="Arial" w:hAnsi="Arial"/>
                <w:sz w:val="16"/>
                <w:szCs w:val="16"/>
                <w:color w:val="auto"/>
              </w:rPr>
              <w:t>Total intangible assets</w:t>
            </w:r>
          </w:p>
        </w:tc>
        <w:tc>
          <w:tcPr>
            <w:tcW w:w="2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219,791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219,791</w:t>
            </w: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Accumulated amortization</w:t>
            </w:r>
          </w:p>
        </w:tc>
        <w:tc>
          <w:tcPr>
            <w:tcW w:w="2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(79,330 )</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(74,526 )</w:t>
            </w:r>
          </w:p>
        </w:tc>
      </w:tr>
      <w:tr>
        <w:trPr>
          <w:trHeight w:val="226"/>
        </w:trPr>
        <w:tc>
          <w:tcPr>
            <w:tcW w:w="4940" w:type="dxa"/>
            <w:vAlign w:val="bottom"/>
          </w:tcPr>
          <w:p>
            <w:pPr>
              <w:spacing w:after="0"/>
              <w:rPr>
                <w:sz w:val="20"/>
                <w:szCs w:val="20"/>
                <w:color w:val="auto"/>
              </w:rPr>
            </w:pPr>
            <w:r>
              <w:rPr>
                <w:rFonts w:ascii="Arial" w:cs="Arial" w:eastAsia="Arial" w:hAnsi="Arial"/>
                <w:sz w:val="16"/>
                <w:szCs w:val="16"/>
                <w:color w:val="auto"/>
              </w:rPr>
              <w:t>Total intangible assets, net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140,461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145,265</w:t>
            </w:r>
          </w:p>
        </w:tc>
      </w:tr>
      <w:tr>
        <w:trPr>
          <w:trHeight w:val="20"/>
        </w:trPr>
        <w:tc>
          <w:tcPr>
            <w:tcW w:w="4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-1088390</wp:posOffset>
            </wp:positionV>
            <wp:extent cx="8572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-479425</wp:posOffset>
            </wp:positionV>
            <wp:extent cx="8572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-179705</wp:posOffset>
            </wp:positionV>
            <wp:extent cx="8572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amortization expense for the three months ended March 31, 2023 and 2022 are as follows:</w:t>
      </w:r>
    </w:p>
    <w:p>
      <w:pPr>
        <w:spacing w:after="0" w:line="199"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56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r>
      <w:tr>
        <w:trPr>
          <w:trHeight w:val="242"/>
        </w:trPr>
        <w:tc>
          <w:tcPr>
            <w:tcW w:w="4980" w:type="dxa"/>
            <w:vAlign w:val="bottom"/>
          </w:tcPr>
          <w:p>
            <w:pPr>
              <w:spacing w:after="0"/>
              <w:rPr>
                <w:sz w:val="21"/>
                <w:szCs w:val="21"/>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2023</w:t>
            </w:r>
          </w:p>
        </w:tc>
        <w:tc>
          <w:tcPr>
            <w:tcW w:w="240" w:type="dxa"/>
            <w:vAlign w:val="bottom"/>
          </w:tcPr>
          <w:p>
            <w:pPr>
              <w:spacing w:after="0"/>
              <w:rPr>
                <w:sz w:val="21"/>
                <w:szCs w:val="21"/>
                <w:color w:val="auto"/>
              </w:rPr>
            </w:pP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21"/>
                <w:szCs w:val="2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expenses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4,803</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12,204</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SELLING, GENERAL AND ADMINISTRATIVE EXPENSES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are summarized in the table below:</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4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March 31, 2022</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Salaries and benefits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28,566</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30,371</w:t>
            </w:r>
          </w:p>
        </w:tc>
      </w:tr>
      <w:tr>
        <w:trPr>
          <w:trHeight w:val="220"/>
        </w:trPr>
        <w:tc>
          <w:tcPr>
            <w:tcW w:w="4800" w:type="dxa"/>
            <w:vAlign w:val="bottom"/>
          </w:tcPr>
          <w:p>
            <w:pPr>
              <w:spacing w:after="0"/>
              <w:rPr>
                <w:sz w:val="20"/>
                <w:szCs w:val="20"/>
                <w:color w:val="auto"/>
              </w:rPr>
            </w:pPr>
            <w:r>
              <w:rPr>
                <w:rFonts w:ascii="Arial" w:cs="Arial" w:eastAsia="Arial" w:hAnsi="Arial"/>
                <w:sz w:val="16"/>
                <w:szCs w:val="16"/>
                <w:color w:val="auto"/>
              </w:rPr>
              <w:t>Professional fees</w:t>
            </w:r>
          </w:p>
        </w:tc>
        <w:tc>
          <w:tcPr>
            <w:tcW w:w="1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2,853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6,809</w:t>
            </w:r>
          </w:p>
        </w:tc>
      </w:tr>
      <w:tr>
        <w:trPr>
          <w:trHeight w:val="23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8,589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15,710</w:t>
            </w:r>
          </w:p>
        </w:tc>
      </w:tr>
      <w:tr>
        <w:trPr>
          <w:trHeight w:val="220"/>
        </w:trPr>
        <w:tc>
          <w:tcPr>
            <w:tcW w:w="4800" w:type="dxa"/>
            <w:vAlign w:val="bottom"/>
          </w:tcPr>
          <w:p>
            <w:pPr>
              <w:spacing w:after="0"/>
              <w:rPr>
                <w:sz w:val="20"/>
                <w:szCs w:val="20"/>
                <w:color w:val="auto"/>
              </w:rPr>
            </w:pPr>
            <w:r>
              <w:rPr>
                <w:rFonts w:ascii="Arial" w:cs="Arial" w:eastAsia="Arial" w:hAnsi="Arial"/>
                <w:sz w:val="16"/>
                <w:szCs w:val="16"/>
                <w:color w:val="auto"/>
              </w:rPr>
              <w:t>Operating facilities costs</w:t>
            </w:r>
          </w:p>
        </w:tc>
        <w:tc>
          <w:tcPr>
            <w:tcW w:w="1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10,284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10,037</w:t>
            </w:r>
          </w:p>
        </w:tc>
      </w:tr>
      <w:tr>
        <w:trPr>
          <w:trHeight w:val="23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Operating office and general expenses</w:t>
            </w: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2,213</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2,777</w:t>
            </w:r>
          </w:p>
        </w:tc>
      </w:tr>
      <w:tr>
        <w:trPr>
          <w:trHeight w:val="220"/>
        </w:trPr>
        <w:tc>
          <w:tcPr>
            <w:tcW w:w="4800" w:type="dxa"/>
            <w:vAlign w:val="bottom"/>
          </w:tcPr>
          <w:p>
            <w:pPr>
              <w:spacing w:after="0"/>
              <w:rPr>
                <w:sz w:val="20"/>
                <w:szCs w:val="20"/>
                <w:color w:val="auto"/>
              </w:rPr>
            </w:pPr>
            <w:r>
              <w:rPr>
                <w:rFonts w:ascii="Arial" w:cs="Arial" w:eastAsia="Arial" w:hAnsi="Arial"/>
                <w:sz w:val="16"/>
                <w:szCs w:val="16"/>
                <w:color w:val="auto"/>
              </w:rPr>
              <w:t>Advertising and promotion</w:t>
            </w:r>
          </w:p>
        </w:tc>
        <w:tc>
          <w:tcPr>
            <w:tcW w:w="18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1,939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4,257</w:t>
            </w:r>
          </w:p>
        </w:tc>
      </w:tr>
      <w:tr>
        <w:trPr>
          <w:trHeight w:val="233"/>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fees and expenses</w:t>
            </w:r>
          </w:p>
        </w:tc>
        <w:tc>
          <w:tcPr>
            <w:tcW w:w="1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906</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1,331</w:t>
            </w:r>
          </w:p>
        </w:tc>
      </w:tr>
      <w:tr>
        <w:trPr>
          <w:trHeight w:val="223"/>
        </w:trPr>
        <w:tc>
          <w:tcPr>
            <w:tcW w:w="4800" w:type="dxa"/>
            <w:vAlign w:val="bottom"/>
          </w:tcPr>
          <w:p>
            <w:pPr>
              <w:spacing w:after="0"/>
              <w:rPr>
                <w:sz w:val="20"/>
                <w:szCs w:val="20"/>
                <w:color w:val="auto"/>
              </w:rPr>
            </w:pPr>
            <w:r>
              <w:rPr>
                <w:rFonts w:ascii="Arial" w:cs="Arial" w:eastAsia="Arial" w:hAnsi="Arial"/>
                <w:sz w:val="16"/>
                <w:szCs w:val="16"/>
                <w:b w:val="1"/>
                <w:bCs w:val="1"/>
                <w:color w:val="auto"/>
              </w:rPr>
              <w:t>Total selling, general and administrative expenses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55,350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71,292</w:t>
            </w: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-179070</wp:posOffset>
            </wp:positionV>
            <wp:extent cx="9398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10"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 NET</w:t>
      </w:r>
    </w:p>
    <w:p>
      <w:pPr>
        <w:spacing w:after="0" w:line="364"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Other expense, net is summarized in the table below:</w:t>
      </w:r>
    </w:p>
    <w:p>
      <w:pPr>
        <w:spacing w:after="0" w:line="199"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4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2022</w:t>
            </w:r>
          </w:p>
        </w:tc>
      </w:tr>
      <w:tr>
        <w:trPr>
          <w:trHeight w:val="230"/>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the derivative liability</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683</w:t>
            </w:r>
          </w:p>
        </w:tc>
      </w:tr>
      <w:tr>
        <w:trPr>
          <w:trHeight w:val="220"/>
        </w:trPr>
        <w:tc>
          <w:tcPr>
            <w:tcW w:w="4920" w:type="dxa"/>
            <w:vAlign w:val="bottom"/>
          </w:tcPr>
          <w:p>
            <w:pPr>
              <w:ind w:left="20"/>
              <w:spacing w:after="0"/>
              <w:rPr>
                <w:sz w:val="20"/>
                <w:szCs w:val="20"/>
                <w:color w:val="auto"/>
              </w:rPr>
            </w:pPr>
            <w:r>
              <w:rPr>
                <w:rFonts w:ascii="Arial" w:cs="Arial" w:eastAsia="Arial" w:hAnsi="Arial"/>
                <w:sz w:val="16"/>
                <w:szCs w:val="16"/>
                <w:color w:val="auto"/>
              </w:rPr>
              <w:t>Loss on deconsolidation</w:t>
            </w:r>
          </w:p>
        </w:tc>
        <w:tc>
          <w:tcPr>
            <w:tcW w:w="20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2,473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Restructuring expense</w:t>
            </w: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3,178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49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239"/>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disposal of group</w:t>
            </w: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6"/>
                <w:szCs w:val="16"/>
                <w:color w:val="auto"/>
              </w:rPr>
              <w:t>Rental income</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(762 )</w:t>
            </w:r>
          </w:p>
        </w:tc>
      </w:tr>
      <w:tr>
        <w:trPr>
          <w:trHeight w:val="263"/>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other expense, net</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3,943</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30"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During the year 2022, the Company implemented three separate rounds of restructuring initiatives. The first round of restructuring initiatives, Round 1, began in May 2022, with the decision to close the Company’s Europe-based operations. The third and final round, Round 3, began in early November 2022 and involved significant headcount and canopy reduction.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 w:name="page18"/>
    <w:bookmarkEnd w:id="17"/>
    <w:p>
      <w:pPr>
        <w:jc w:val="both"/>
        <w:ind w:left="380"/>
        <w:spacing w:after="0" w:line="277" w:lineRule="auto"/>
        <w:rPr>
          <w:sz w:val="20"/>
          <w:szCs w:val="20"/>
          <w:color w:val="auto"/>
        </w:rPr>
      </w:pPr>
      <w:r>
        <w:rPr>
          <w:rFonts w:ascii="Arial" w:cs="Arial" w:eastAsia="Arial" w:hAnsi="Arial"/>
          <w:sz w:val="18"/>
          <w:szCs w:val="18"/>
          <w:color w:val="auto"/>
        </w:rPr>
        <w:t>The Company has booked an amount of $3,178 on account of the restructuring expense; the balance outstanding on account of the restructuring reserve amounts to $3,647.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DIVESTITURE</w:t>
      </w:r>
    </w:p>
    <w:p>
      <w:pPr>
        <w:spacing w:after="0" w:line="364" w:lineRule="exact"/>
        <w:rPr>
          <w:sz w:val="20"/>
          <w:szCs w:val="20"/>
          <w:color w:val="auto"/>
        </w:rPr>
      </w:pPr>
    </w:p>
    <w:p>
      <w:pPr>
        <w:jc w:val="both"/>
        <w:ind w:left="380"/>
        <w:spacing w:after="0" w:line="273" w:lineRule="auto"/>
        <w:rPr>
          <w:sz w:val="20"/>
          <w:szCs w:val="20"/>
          <w:color w:val="auto"/>
        </w:rPr>
      </w:pPr>
      <w:r>
        <w:rPr>
          <w:rFonts w:ascii="Arial" w:cs="Arial" w:eastAsia="Arial" w:hAnsi="Arial"/>
          <w:sz w:val="17"/>
          <w:szCs w:val="17"/>
          <w:color w:val="auto"/>
        </w:rPr>
        <w:t>Columbia Care MO, LLC is licensed to sell medical and adult-use marijuana at its dispensary, as well as produce medical and adult-use marijuana products at its processing facility. The Company supported Columbia Care MO, LLC through management services agreements. In 2022, the Company began considering strategic options for Columbia Care MO, LLC, including the potential for the sale of its associated assets and liabilities (the “Missouri Business”). On March 13, 2023, a definitive agreement was signed to sell the Missouri Business, which is considered non-core, and the Company no longer operated the Missouri Business as of that date. The assets of the Missouri Business are comprised of one dispensary and one processing facility and are being divested for gross proceeds of approximately $7 million.</w:t>
      </w:r>
    </w:p>
    <w:p>
      <w:pPr>
        <w:spacing w:after="0" w:line="110"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As of March 31, 2023, no assets or liabilities of the disposed-of business remained on our consolidated balance sheets. The table below summarizes the operating results of Columbia Care MO, LLC for the three months ended March 31, 2023, and 2022:</w:t>
      </w:r>
    </w:p>
    <w:p>
      <w:pPr>
        <w:spacing w:after="0" w:line="360"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1030" w:type="dxa"/>
        <w:tblCellMar>
          <w:top w:w="0" w:type="dxa"/>
          <w:left w:w="0" w:type="dxa"/>
          <w:bottom w:w="0" w:type="dxa"/>
          <w:right w:w="0" w:type="dxa"/>
        </w:tblCellMar>
      </w:tblPr>
      <w:tr>
        <w:trPr>
          <w:trHeight w:val="236"/>
        </w:trPr>
        <w:tc>
          <w:tcPr>
            <w:tcW w:w="60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600" w:type="dxa"/>
            <w:vAlign w:val="bottom"/>
            <w:tcBorders>
              <w:top w:val="single" w:sz="8" w:color="auto"/>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2023</w:t>
            </w:r>
          </w:p>
        </w:tc>
        <w:tc>
          <w:tcPr>
            <w:tcW w:w="1580" w:type="dxa"/>
            <w:vAlign w:val="bottom"/>
            <w:tcBorders>
              <w:top w:val="single" w:sz="8" w:color="auto"/>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2022</w:t>
            </w:r>
          </w:p>
        </w:tc>
      </w:tr>
      <w:tr>
        <w:trPr>
          <w:trHeight w:val="223"/>
        </w:trPr>
        <w:tc>
          <w:tcPr>
            <w:tcW w:w="60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Revenue</w:t>
            </w:r>
          </w:p>
        </w:tc>
        <w:tc>
          <w:tcPr>
            <w:tcW w:w="16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$221</w:t>
            </w:r>
          </w:p>
        </w:tc>
        <w:tc>
          <w:tcPr>
            <w:tcW w:w="158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r>
      <w:tr>
        <w:trPr>
          <w:trHeight w:val="223"/>
        </w:trPr>
        <w:tc>
          <w:tcPr>
            <w:tcW w:w="6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Expenses</w:t>
            </w:r>
          </w:p>
        </w:tc>
        <w:tc>
          <w:tcPr>
            <w:tcW w:w="16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$1,668</w:t>
            </w:r>
          </w:p>
        </w:tc>
        <w:tc>
          <w:tcPr>
            <w:tcW w:w="15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$589</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disclosed in Note 11, Warrants, outstanding equity-classified warrants to purchase 3,715,788 Common Shares expired as of May 14,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This management’s discussion and analysis (“MD&amp;A”) of the financial condition and results of operations of Columbia Care Inc. (“Columbia Care”, the “Company”, “us”, “our” or “we”) is supplemental to, and should be read in conjunction with, Columbia Care’s unaudited condensed interim consolidated financial statements and the accompanying notes for the three months ended March 31, 2023 and 2022.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2022 Form 10-K filed with the SEC on March 29, 2023 and subsequent securities filings.</w:t>
      </w:r>
    </w:p>
    <w:p>
      <w:pPr>
        <w:spacing w:after="0" w:line="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Columbia Care’s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COLUMBIA CARE</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CARE OBJECTIVES AND FACTORS AFFECTING OUR PERFORMANCE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one of the largest fully integrated operators in the global medical cannabis industry, our strategy to grow our business is comprised of the following key components:</w:t>
      </w:r>
    </w:p>
    <w:p>
      <w:pPr>
        <w:spacing w:after="0" w:line="103" w:lineRule="exact"/>
        <w:rPr>
          <w:sz w:val="20"/>
          <w:szCs w:val="20"/>
          <w:color w:val="auto"/>
        </w:rPr>
      </w:pPr>
    </w:p>
    <w:p>
      <w:pPr>
        <w:ind w:left="1140" w:hanging="75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and development within and outside our current markets</w:t>
      </w:r>
    </w:p>
    <w:p>
      <w:pPr>
        <w:spacing w:after="0" w:line="144" w:lineRule="exact"/>
        <w:rPr>
          <w:rFonts w:ascii="Arial" w:cs="Arial" w:eastAsia="Arial" w:hAnsi="Arial"/>
          <w:sz w:val="18"/>
          <w:szCs w:val="18"/>
          <w:color w:val="auto"/>
        </w:rPr>
      </w:pPr>
    </w:p>
    <w:p>
      <w:pPr>
        <w:ind w:left="1140" w:hanging="75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 and customer-centric, leveraging health and wellness focus</w:t>
      </w:r>
    </w:p>
    <w:p>
      <w:pPr>
        <w:spacing w:after="0" w:line="117" w:lineRule="exact"/>
        <w:rPr>
          <w:rFonts w:ascii="Arial" w:cs="Arial" w:eastAsia="Arial" w:hAnsi="Arial"/>
          <w:sz w:val="18"/>
          <w:szCs w:val="18"/>
          <w:color w:val="auto"/>
        </w:rPr>
      </w:pPr>
    </w:p>
    <w:p>
      <w:pPr>
        <w:ind w:left="1140" w:hanging="75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Consistency and quality of proprietary product portfolio, including branded consumer products</w:t>
      </w:r>
    </w:p>
    <w:p>
      <w:pPr>
        <w:spacing w:after="0" w:line="157" w:lineRule="exact"/>
        <w:rPr>
          <w:rFonts w:ascii="Arial" w:cs="Arial" w:eastAsia="Arial" w:hAnsi="Arial"/>
          <w:sz w:val="18"/>
          <w:szCs w:val="18"/>
          <w:color w:val="auto"/>
        </w:rPr>
      </w:pPr>
    </w:p>
    <w:p>
      <w:pPr>
        <w:ind w:left="1140" w:hanging="758"/>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Intellectual property and data-driven innovation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performance and future success are dependent on several factors. These factors are also subject to inherent risks and challenges, some of which are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Branding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established a national branding strategy across each of the jurisdictions in which we operate. Maintaining and growing our brand appeal is critical to our continued success.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the local and federal laws in the jurisdictions in which we operate. We hold all required licenses for the production and distribution of our products in the jurisdictions in which we operate and continuously monitor changes in laws, regulations, treaties and agreements.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Innovation and Consumer Trends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Growth Strategies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successful history of growing revenue and we believe we have a strong strategy aimed at continuing our history of expansion in both current and new markets. Our future depends, in part, on our ability to implement our growth strategy including (i) product innovations; (ii) penetration of new markets; (iii) growth of wholesale revenue through third party retailers and distributors; (iv) future development of e-commerce and home delivery distribution capabilities; and (v) expansion of our cultivation and manufacturing capacity. Our ability to implement this growth strategy depends, among other things, on our ability to develop new products that appeal to consumers, maintain and expand brand loyalty, maintain and improve product quality and brand recognition, maintain and improve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competitive position in our current markets, and identify and successfully enter and market products in new geographic areas and segments.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 forth selected consolidated financial information derived from our unaudited condensed interim consolidated financial statements and the respective accompanying notes prepared in accordance with U.S. GAAP.</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7"/>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March 31, 2023</w:t>
            </w:r>
          </w:p>
        </w:tc>
        <w:tc>
          <w:tcPr>
            <w:tcW w:w="240" w:type="dxa"/>
            <w:vAlign w:val="bottom"/>
            <w:gridSpan w:val="2"/>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March 31, 2022</w:t>
            </w:r>
          </w:p>
        </w:tc>
        <w:tc>
          <w:tcPr>
            <w:tcW w:w="2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 Change</w:t>
            </w:r>
          </w:p>
        </w:tc>
        <w:tc>
          <w:tcPr>
            <w:tcW w:w="240" w:type="dxa"/>
            <w:vAlign w:val="bottom"/>
            <w:gridSpan w:val="2"/>
          </w:tcPr>
          <w:p>
            <w:pPr>
              <w:spacing w:after="0"/>
              <w:rPr>
                <w:sz w:val="19"/>
                <w:szCs w:val="19"/>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124,535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123,087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Cost of sales related to inventory production</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(77,454 )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(66,460 )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(10,994 )</w:t>
            </w:r>
          </w:p>
        </w:tc>
        <w:tc>
          <w:tcPr>
            <w:tcW w:w="14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3"/>
        </w:trPr>
        <w:tc>
          <w:tcPr>
            <w:tcW w:w="37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47,081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(9,546 )</w:t>
            </w:r>
          </w:p>
        </w:tc>
        <w:tc>
          <w:tcPr>
            <w:tcW w:w="1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3"/>
        </w:trPr>
        <w:tc>
          <w:tcPr>
            <w:tcW w:w="37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(55,350 )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(71,292 )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(55,350 )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(71,292 )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
              <w:spacing w:after="0"/>
              <w:rPr>
                <w:sz w:val="20"/>
                <w:szCs w:val="20"/>
                <w:color w:val="auto"/>
              </w:rPr>
            </w:pPr>
            <w:r>
              <w:rPr>
                <w:rFonts w:ascii="Arial" w:cs="Arial" w:eastAsia="Arial" w:hAnsi="Arial"/>
                <w:sz w:val="16"/>
                <w:szCs w:val="16"/>
                <w:color w:val="auto"/>
              </w:rPr>
              <w:t>Other (expense) income, net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(17,614 )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(12,609 )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(5,005 )</w:t>
            </w:r>
          </w:p>
        </w:tc>
        <w:tc>
          <w:tcPr>
            <w:tcW w:w="14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40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(10,689 )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(632 )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(10,057 )</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1591 %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7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(36,572 )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(27,906 )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(8,666 )</w:t>
            </w:r>
          </w:p>
        </w:tc>
        <w:tc>
          <w:tcPr>
            <w:tcW w:w="14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(1,270 )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
              <w:spacing w:after="0"/>
              <w:rPr>
                <w:sz w:val="20"/>
                <w:szCs w:val="20"/>
                <w:color w:val="auto"/>
              </w:rPr>
            </w:pPr>
            <w:r>
              <w:rPr>
                <w:rFonts w:ascii="Arial" w:cs="Arial" w:eastAsia="Arial" w:hAnsi="Arial"/>
                <w:sz w:val="16"/>
                <w:szCs w:val="16"/>
                <w:color w:val="auto"/>
              </w:rPr>
              <w:t>Net loss attributable to Columbia Care Inc.</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(37,340 )</w:t>
            </w:r>
          </w:p>
        </w:tc>
        <w:tc>
          <w:tcPr>
            <w:tcW w:w="1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(26,636 )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(10,704 )</w:t>
            </w:r>
          </w:p>
        </w:tc>
        <w:tc>
          <w:tcPr>
            <w:tcW w:w="14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40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per share attributable to Columbia Care Inc.—</w:t>
            </w:r>
          </w:p>
        </w:tc>
        <w:tc>
          <w:tcPr>
            <w:tcW w:w="1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(0.09 )</w:t>
            </w:r>
          </w:p>
        </w:tc>
        <w:tc>
          <w:tcPr>
            <w:tcW w:w="14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(0.07 )</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based and diluted</w:t>
            </w:r>
          </w:p>
        </w:tc>
        <w:tc>
          <w:tcPr>
            <w:tcW w:w="18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(0.02 )</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7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 average number of shares outstanding—</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401,438,546</w:t>
            </w: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376,397,260</w:t>
            </w:r>
          </w:p>
        </w:tc>
        <w:tc>
          <w:tcPr>
            <w:tcW w:w="1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80" w:type="dxa"/>
            <w:vAlign w:val="bottom"/>
          </w:tcPr>
          <w:p>
            <w:pPr>
              <w:ind w:left="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-1803400</wp:posOffset>
            </wp:positionV>
            <wp:extent cx="5721985" cy="6299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21985" cy="62992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-1028065</wp:posOffset>
            </wp:positionV>
            <wp:extent cx="5709285" cy="480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09285" cy="48006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-299720</wp:posOffset>
            </wp:positionV>
            <wp:extent cx="95123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51230" cy="3003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Summary of Balance Sheet items:</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1"/>
              </w:rPr>
              <w:t>December 31, 2022</w:t>
            </w: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973,021</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994,726</w:t>
            </w:r>
          </w:p>
        </w:tc>
      </w:tr>
      <w:tr>
        <w:trPr>
          <w:trHeight w:val="220"/>
        </w:trPr>
        <w:tc>
          <w:tcPr>
            <w:tcW w:w="53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791,696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787,823</w:t>
            </w:r>
          </w:p>
        </w:tc>
      </w:tr>
      <w:tr>
        <w:trPr>
          <w:trHeight w:val="239"/>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Long-Term Liabilities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619,333</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584,705</w:t>
            </w: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181,325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206,903</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our results of operations for the three months ended March 31, 2023 and 2022:</w:t>
      </w:r>
    </w:p>
    <w:p>
      <w:pPr>
        <w:spacing w:after="0" w:line="200" w:lineRule="exact"/>
        <w:rPr>
          <w:sz w:val="20"/>
          <w:szCs w:val="20"/>
          <w:color w:val="auto"/>
        </w:rPr>
      </w:pP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6"/>
                <w:szCs w:val="16"/>
                <w:b w:val="1"/>
                <w:bCs w:val="1"/>
                <w:color w:val="auto"/>
                <w:w w:val="97"/>
              </w:rPr>
              <w:t>For three months ended</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March 31, 2023</w:t>
            </w:r>
          </w:p>
        </w:tc>
        <w:tc>
          <w:tcPr>
            <w:tcW w:w="240" w:type="dxa"/>
            <w:vAlign w:val="bottom"/>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March 31, 2022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124,535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1,448</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Cost of sales related to inventory production</w:t>
            </w: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(77,454 )</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(66,460 )</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(10,994 )</w:t>
            </w: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47,081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56,627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(9,546 )</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(55,350 )</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(71,292 )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15,942</w:t>
            </w: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(55,350 )</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(71,292 )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15,942</w:t>
            </w: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(8,269 )</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(14,665 )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6,396</w:t>
            </w: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 income, net</w:t>
            </w: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(17,614 )</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(12,609 )</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(5,005 )</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7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(25,883 )</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(27,274 )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1,391</w:t>
            </w: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(10,689 )</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(632 )</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(10,057 )</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1591 %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7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(36,572 )</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(27,906 )</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(8,666 )</w:t>
            </w: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26"/>
        </w:trPr>
        <w:tc>
          <w:tcPr>
            <w:tcW w:w="3780" w:type="dxa"/>
            <w:vAlign w:val="bottom"/>
          </w:tcPr>
          <w:p>
            <w:pPr>
              <w:ind w:left="20"/>
              <w:spacing w:after="0"/>
              <w:rPr>
                <w:sz w:val="20"/>
                <w:szCs w:val="20"/>
                <w:color w:val="auto"/>
              </w:rPr>
            </w:pPr>
            <w:r>
              <w:rPr>
                <w:rFonts w:ascii="Arial" w:cs="Arial" w:eastAsia="Arial" w:hAnsi="Arial"/>
                <w:sz w:val="16"/>
                <w:szCs w:val="16"/>
                <w:color w:val="auto"/>
              </w:rPr>
              <w:t>Net loss attributable to non-controlling</w:t>
            </w:r>
          </w:p>
        </w:tc>
        <w:tc>
          <w:tcPr>
            <w:tcW w:w="3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(1,270 )</w:t>
            </w:r>
          </w:p>
        </w:tc>
        <w:tc>
          <w:tcPr>
            <w:tcW w:w="2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2,038</w:t>
            </w:r>
          </w:p>
        </w:tc>
        <w:tc>
          <w:tcPr>
            <w:tcW w:w="240" w:type="dxa"/>
            <w:vAlign w:val="bottom"/>
          </w:tcPr>
          <w:p>
            <w:pPr>
              <w:spacing w:after="0"/>
              <w:rPr>
                <w:sz w:val="19"/>
                <w:szCs w:val="19"/>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206"/>
        </w:trPr>
        <w:tc>
          <w:tcPr>
            <w:tcW w:w="3780" w:type="dxa"/>
            <w:vAlign w:val="bottom"/>
          </w:tcPr>
          <w:p>
            <w:pPr>
              <w:ind w:left="140"/>
              <w:spacing w:after="0"/>
              <w:rPr>
                <w:sz w:val="20"/>
                <w:szCs w:val="20"/>
                <w:color w:val="auto"/>
              </w:rPr>
            </w:pPr>
            <w:r>
              <w:rPr>
                <w:rFonts w:ascii="Arial" w:cs="Arial" w:eastAsia="Arial" w:hAnsi="Arial"/>
                <w:sz w:val="16"/>
                <w:szCs w:val="16"/>
                <w:color w:val="auto"/>
              </w:rPr>
              <w:t>interest</w:t>
            </w:r>
          </w:p>
        </w:tc>
        <w:tc>
          <w:tcPr>
            <w:tcW w:w="3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
              <w:spacing w:after="0"/>
              <w:rPr>
                <w:sz w:val="20"/>
                <w:szCs w:val="20"/>
                <w:color w:val="auto"/>
              </w:rPr>
            </w:pPr>
            <w:r>
              <w:rPr>
                <w:rFonts w:ascii="Arial" w:cs="Arial" w:eastAsia="Arial" w:hAnsi="Arial"/>
                <w:sz w:val="16"/>
                <w:szCs w:val="16"/>
                <w:color w:val="auto"/>
              </w:rPr>
              <w:t>Net loss attributable to Columbia Care Inc.</w:t>
            </w: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(37,340 )</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(26,636 )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(10,704 )</w:t>
            </w: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40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-1654175</wp:posOffset>
            </wp:positionV>
            <wp:extent cx="570928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9285" cy="15430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-1344930</wp:posOffset>
            </wp:positionV>
            <wp:extent cx="5709285" cy="299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9285" cy="29972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-899795</wp:posOffset>
            </wp:positionV>
            <wp:extent cx="6858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-899795</wp:posOffset>
            </wp:positionV>
            <wp:extent cx="7747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-899795</wp:posOffset>
            </wp:positionV>
            <wp:extent cx="6858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-599440</wp:posOffset>
            </wp:positionV>
            <wp:extent cx="5709285" cy="6000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9285" cy="60007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increase in revenue of $1,448 for the three months ended March 31, 2023, as compared to the prior year period, was driven by the expansion of new wholesale and retail facilities which contributed to a revenue growth of $4,914 as compared to the prior period and our acquisition of Medicine Man Longmont which contributed an additional $1,772 of revenue during the three months ended March 31, 2023, as compared to the prior period. This was offset by a net decline in revenue of $5,238 in our Legacy Columbia Care network, our 2020 acquisitions of The Green Solution a</w:t>
      </w:r>
      <w:r>
        <w:rPr>
          <w:rFonts w:ascii="Arial" w:cs="Arial" w:eastAsia="Arial" w:hAnsi="Arial"/>
          <w:sz w:val="18"/>
          <w:szCs w:val="18"/>
          <w:color w:val="auto"/>
        </w:rPr>
        <w:t>n</w:t>
      </w:r>
      <w:r>
        <w:rPr>
          <w:rFonts w:ascii="Arial" w:cs="Arial" w:eastAsia="Arial" w:hAnsi="Arial"/>
          <w:sz w:val="17"/>
          <w:szCs w:val="17"/>
          <w:color w:val="auto"/>
        </w:rPr>
        <w:t>d Project Cannabis, and our 2021 acquisitions of The Healing Center, Corsa Verde, Cannascend, Medicine Man (excluding Longmont), and Green Leaf.</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cost of sales of $10,994 for the three months ended March 31, 2023, as compared to the prior year period, was driven by a cost of sales increase of $5,992 in our Legacy Columbia Care network, our 2020 acquisitions of The Green Solution and Project Cannabis, and our 2021 acquisitions of The Healing Center, Corsa Verde, Cannascend, Medicine Man (excluding Longmont), and Green Leaf. The expansion of new wholesale and retail facilities contributed to a cost of sales growth of $3,911 as compared to the prior period and our acquisition of Medicine Man Longmont contributed to an additional $1,091 of cost of sales during the three months ended March 31, 2023, as compared to the prior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decrease in gross profit of $9,546 for the three months ended March 31, 2023, as compared to the prior year period, was primarily driven by a gross profit decrease of $11,230 in our Legacy Columbia Care network, our 2020 acquisitions of The Green Solution and Project Cannabis, and our 2021 acquisitions of The Healing Center, Corsa Verde, Cannascend Medicine Man (excluding Longmont), and Green Leaf. This was offset by an expansion of new wholesale and retail facilities contributing gross profit growth of $1,003 as compared to the prior period and our acquisition of Medicine Man Longmont that contributed an additional $681 of gross profit during the three months ended March 31, 2023, as compared to the prior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of $15,942 in operating expenses for the three months ended March 31, 2023, as compared to the prior year period, was primarily attributable to a decrease in salary and benefits expenses of $1,805, depreciation and amortization of $7,121, professional fees of $3,956, advertisement and promotion expenses of $2,318, operating office and general expenses of $564, and other fees and expenses of $425. This was offset by an increase in operating facility cost of $247.</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expense, net of $5,005 for the three months ended March 31, 2023, as compared to the prior year period, was primarily due to a increase in interest expense on debt of $969, amortization of debt issuance costs of $252, loss on deconsolidation of $2,473, and restructuring expense of $3,178. This was partially offset by a gain on disposal of group of $600, a decrease in change in fair valuation of the derivative liability of $653, other expenses of $314, and interest expense on leases of $328.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for Income Taxes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income tax expense of $10,689 for the three months ended March 31, 2023, as compared to an income tax expense of $632 for the three months ended March 31, 2022.</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period ended March 31, 2023 the company has a Deferred Tax Asset of approximately $16,900 related to its acquisition of VentureForth LLC, which occurred during 2022. The consideration paid to acquire 100% of the VentureForth Holdings LLC partnership interests was expensed for book purposes. For tax purposes, such consideration is capitalized as the transaction is treated as a deemed asset purchase for tax purposes. Such treatment results in a Deferred Tax Asset. However, because of the limitations of Section 280E of the Internal Revenue Code, the company does not expect to recognize the full tax benefit for this specific deferred tax asset.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net loss for the period to EBITDA and Adjusted EBITDA for the three months ended March 31, 2023, and 2022:</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60" w:type="dxa"/>
            <w:vAlign w:val="bottom"/>
            <w:gridSpan w:val="6"/>
          </w:tcPr>
          <w:p>
            <w:pPr>
              <w:jc w:val="right"/>
              <w:ind w:right="1340"/>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5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2023</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(36,572 )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(27,906 )</w:t>
            </w:r>
          </w:p>
        </w:tc>
        <w:tc>
          <w:tcPr>
            <w:tcW w:w="40" w:type="dxa"/>
            <w:vAlign w:val="bottom"/>
          </w:tcPr>
          <w:p>
            <w:pPr>
              <w:spacing w:after="0"/>
              <w:rPr>
                <w:sz w:val="19"/>
                <w:szCs w:val="19"/>
                <w:color w:val="auto"/>
              </w:rPr>
            </w:pPr>
          </w:p>
        </w:tc>
      </w:tr>
      <w:tr>
        <w:trPr>
          <w:trHeight w:val="220"/>
        </w:trPr>
        <w:tc>
          <w:tcPr>
            <w:tcW w:w="508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10,689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21,210</w:t>
            </w: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080" w:type="dxa"/>
            <w:vAlign w:val="bottom"/>
          </w:tcPr>
          <w:p>
            <w:pPr>
              <w:ind w:left="200"/>
              <w:spacing w:after="0"/>
              <w:rPr>
                <w:sz w:val="20"/>
                <w:szCs w:val="20"/>
                <w:color w:val="auto"/>
              </w:rPr>
            </w:pPr>
            <w:r>
              <w:rPr>
                <w:rFonts w:ascii="Arial" w:cs="Arial" w:eastAsia="Arial" w:hAnsi="Arial"/>
                <w:sz w:val="16"/>
                <w:szCs w:val="16"/>
                <w:color w:val="auto"/>
              </w:rPr>
              <w:t>Interest expense, net and debt amortization</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EBITDA (Non-GAAP measure)</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6,606</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6,374</w:t>
            </w: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06"/>
        </w:trPr>
        <w:tc>
          <w:tcPr>
            <w:tcW w:w="5080" w:type="dxa"/>
            <w:vAlign w:val="bottom"/>
          </w:tcPr>
          <w:p>
            <w:pPr>
              <w:ind w:left="200"/>
              <w:spacing w:after="0"/>
              <w:rPr>
                <w:sz w:val="20"/>
                <w:szCs w:val="20"/>
                <w:color w:val="auto"/>
              </w:rPr>
            </w:pPr>
            <w:r>
              <w:rPr>
                <w:rFonts w:ascii="Arial" w:cs="Arial" w:eastAsia="Arial" w:hAnsi="Arial"/>
                <w:sz w:val="16"/>
                <w:szCs w:val="16"/>
                <w:color w:val="auto"/>
                <w:w w:val="93"/>
              </w:rPr>
              <w:t>Transaction and other non-core costs, including costs associated with the</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tcPr>
          <w:p>
            <w:pPr>
              <w:ind w:left="200"/>
              <w:spacing w:after="0"/>
              <w:rPr>
                <w:sz w:val="20"/>
                <w:szCs w:val="20"/>
                <w:color w:val="auto"/>
              </w:rPr>
            </w:pPr>
            <w:r>
              <w:rPr>
                <w:rFonts w:ascii="Arial" w:cs="Arial" w:eastAsia="Arial" w:hAnsi="Arial"/>
                <w:sz w:val="16"/>
                <w:szCs w:val="16"/>
                <w:color w:val="auto"/>
              </w:rPr>
              <w:t>Cresco transaction, litigation expenses and other costs related to</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6"/>
                <w:szCs w:val="16"/>
                <w:color w:val="auto"/>
              </w:rPr>
              <w:t>restructuring</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9"/>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Fair-value changes on derivative liabilities</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080" w:type="dxa"/>
            <w:vAlign w:val="bottom"/>
          </w:tcPr>
          <w:p>
            <w:pPr>
              <w:ind w:left="200"/>
              <w:spacing w:after="0"/>
              <w:rPr>
                <w:sz w:val="20"/>
                <w:szCs w:val="20"/>
                <w:color w:val="auto"/>
              </w:rPr>
            </w:pPr>
            <w:r>
              <w:rPr>
                <w:rFonts w:ascii="Arial" w:cs="Arial" w:eastAsia="Arial" w:hAnsi="Arial"/>
                <w:sz w:val="16"/>
                <w:szCs w:val="16"/>
                <w:color w:val="auto"/>
              </w:rPr>
              <w:t>Restructuring expense</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r>
        <w:trPr>
          <w:trHeight w:val="239"/>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deconsolidation</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17"/>
        </w:trPr>
        <w:tc>
          <w:tcPr>
            <w:tcW w:w="5080" w:type="dxa"/>
            <w:vAlign w:val="bottom"/>
          </w:tcPr>
          <w:p>
            <w:pPr>
              <w:ind w:left="20"/>
              <w:spacing w:after="0"/>
              <w:rPr>
                <w:sz w:val="20"/>
                <w:szCs w:val="20"/>
                <w:color w:val="auto"/>
              </w:rPr>
            </w:pPr>
            <w:r>
              <w:rPr>
                <w:rFonts w:ascii="Arial" w:cs="Arial" w:eastAsia="Arial" w:hAnsi="Arial"/>
                <w:sz w:val="16"/>
                <w:szCs w:val="16"/>
                <w:color w:val="auto"/>
              </w:rPr>
              <w:t>Adjusted EBITDA (Non-GAAP measure)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16,364</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124,535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123,087</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Adjusted EBITDA (Non-GAAP measure)</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16,364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16,832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Adjusted EBITDA margin (Non-GAAP measure)</w:t>
            </w:r>
          </w:p>
        </w:tc>
        <w:tc>
          <w:tcPr>
            <w:tcW w:w="20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13.1 %</w:t>
            </w:r>
          </w:p>
        </w:tc>
        <w:tc>
          <w:tcPr>
            <w:tcW w:w="2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13.7 %</w:t>
            </w:r>
          </w:p>
        </w:tc>
        <w:tc>
          <w:tcPr>
            <w:tcW w:w="40" w:type="dxa"/>
            <w:vAlign w:val="bottom"/>
          </w:tcPr>
          <w:p>
            <w:pPr>
              <w:spacing w:after="0"/>
              <w:rPr>
                <w:sz w:val="20"/>
                <w:szCs w:val="20"/>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124,535</w:t>
            </w:r>
          </w:p>
        </w:tc>
        <w:tc>
          <w:tcPr>
            <w:tcW w:w="26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123,087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47,081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56,627</w:t>
            </w: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6"/>
                <w:szCs w:val="16"/>
                <w:color w:val="auto"/>
              </w:rPr>
              <w:t>37.8 %</w:t>
            </w:r>
          </w:p>
        </w:tc>
        <w:tc>
          <w:tcPr>
            <w:tcW w:w="2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46.0 %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-2181225</wp:posOffset>
            </wp:positionV>
            <wp:extent cx="7683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-2181225</wp:posOffset>
            </wp:positionV>
            <wp:extent cx="7747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15430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Adjusted EBITDA for the quarter ended March 31, 2023, as compared to the prior year period, was primarily driven by margin pressures across the portfolio offset by improved leverage of revenues across selling, general, and administrative expenses such as facility costs, salary costs, and benefit costs.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meeting our obligations and are earning revenues from our operations. However, we have sustained losses since inception and may require additional capital in the future. We estimate that based on our current business operations and working capital, we will continue to meet our obligations in the short term. As we continue to seek growth through expansion or acquisition, our cash flow requirements and obligations could materially change. As of March 31, 2023, we did not have any significant external capital requirements.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Financing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3, 2022, Columbia Care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 w:name="page23"/>
    <w:bookmarkEnd w:id="22"/>
    <w:p>
      <w:pPr>
        <w:jc w:val="both"/>
        <w:spacing w:after="0" w:line="301" w:lineRule="auto"/>
        <w:rPr>
          <w:sz w:val="20"/>
          <w:szCs w:val="20"/>
          <w:color w:val="auto"/>
        </w:rPr>
      </w:pPr>
      <w:r>
        <w:rPr>
          <w:rFonts w:ascii="Arial" w:cs="Arial" w:eastAsia="Arial" w:hAnsi="Arial"/>
          <w:sz w:val="16"/>
          <w:szCs w:val="16"/>
          <w:color w:val="auto"/>
        </w:rPr>
        <w:t>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premium and paid interest were paid out of funds raised from the February 2022 Private Placement. The total unamortized debt and debt issuance costs of $2,153, related to the modified portion of the Term Debt, will be amortized over the term of the 2026 Notes using the effective interest method. The Company incurred $7,189 in creditor fees in connection with the modified Term Debt and 2026 Notes and $301 in third-party legal fees related to 2026 Notes which were capitalized and will be amortized over the term of the 2026 Notes using the effective interest rate method.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sources and uses of cash for each of the periods presented:</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6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March 31, 2023</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1"/>
              </w:rPr>
              <w:t>March 31, 2022</w:t>
            </w:r>
          </w:p>
        </w:tc>
        <w:tc>
          <w:tcPr>
            <w:tcW w:w="120" w:type="dxa"/>
            <w:vAlign w:val="bottom"/>
          </w:tcPr>
          <w:p>
            <w:pPr>
              <w:spacing w:after="0"/>
              <w:rPr>
                <w:sz w:val="19"/>
                <w:szCs w:val="19"/>
                <w:color w:val="auto"/>
              </w:rPr>
            </w:pPr>
          </w:p>
        </w:tc>
      </w:tr>
      <w:tr>
        <w:trPr>
          <w:trHeight w:val="230"/>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(3,405 )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(27,822 )</w:t>
            </w:r>
          </w:p>
        </w:tc>
      </w:tr>
      <w:tr>
        <w:trPr>
          <w:trHeight w:val="220"/>
        </w:trPr>
        <w:tc>
          <w:tcPr>
            <w:tcW w:w="60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(2,552 )</w:t>
            </w: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(29,555 )</w:t>
            </w:r>
          </w:p>
        </w:tc>
      </w:tr>
      <w:tr>
        <w:trPr>
          <w:trHeight w:val="229"/>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(used in)/cash provided by financing activities</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(2,037 )</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144,253</w:t>
            </w:r>
          </w:p>
        </w:tc>
        <w:tc>
          <w:tcPr>
            <w:tcW w:w="120" w:type="dxa"/>
            <w:vAlign w:val="bottom"/>
            <w:shd w:val="clear" w:color="auto" w:fill="CFF0FC"/>
          </w:tcPr>
          <w:p>
            <w:pPr>
              <w:spacing w:after="0"/>
              <w:rPr>
                <w:sz w:val="19"/>
                <w:szCs w:val="19"/>
                <w:color w:val="auto"/>
              </w:rPr>
            </w:pPr>
          </w:p>
        </w:tc>
      </w:tr>
      <w:tr>
        <w:trPr>
          <w:trHeight w:val="23"/>
        </w:trPr>
        <w:tc>
          <w:tcPr>
            <w:tcW w:w="60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6"/>
                <w:szCs w:val="16"/>
                <w:color w:val="auto"/>
              </w:rPr>
              <w:t>Net (decrease)/increase in cash and cash equivalents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 xml:space="preserve">(7,994 </w:t>
            </w:r>
            <w:r>
              <w:rPr>
                <w:rFonts w:ascii="Arial" w:cs="Arial" w:eastAsia="Arial" w:hAnsi="Arial"/>
                <w:sz w:val="16"/>
                <w:szCs w:val="16"/>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86,876</w:t>
            </w:r>
          </w:p>
        </w:tc>
        <w:tc>
          <w:tcPr>
            <w:tcW w:w="12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-179705</wp:posOffset>
            </wp:positionV>
            <wp:extent cx="7747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March 31, 2023, operating activities used $3,405 of cash, primarily resulting from a net loss of $36,572, and net changes in operating assets and liabilities of $5,280; this was partially offset by depreciation and amortization of $15,063, equity-based compensation expense of $6,515, loss on deconsolidation of subsidiary of $2,473, and debt amortization expense of $2,291. The net change in operating assets and liabilities was primarily due to an decrease in other assets of $6,126, an increase in accounts payable of $8,134, and an increase in income tax payable of $9,194, which is offset by an increase in inventory of $6,315, an increase in accounts receivable of $2,322, an increase in prepaid expenses, an increase in other current assets of $2,442, a decrease in accrued expenses of $4,874, and a decrease other long term liabilities of $2,221.</w:t>
      </w:r>
    </w:p>
    <w:p>
      <w:pPr>
        <w:spacing w:after="0" w:line="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March 31, 2022, operating activities used $27,822 of cash, primarily resulting from a net loss of $27,906, and net changes in operating assets and liabilities of $25,932, partially offset by depreciation and amortization of $21,210, equity-based compensation expense of $6,374, debt amortization expense of $1,936, change in fair value of derivative liability of $683 partially offset by change in deferred taxes of $4,560.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2023, investing activities used $2,552 of cash pursuant to purchases of property and equipment of $5,724. This was partially offset by proceeds from the deconsolidation of the Company's Missouri entity of $3,040 and cash received from deposits of $132.</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investing activities used $29,555 of cash, purchases of property and equipment of $29,511 partially offset by proceeds from sale of property and equipment of $179.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2023, financing activities used $2,037 of cash, mainly due to the payment of lease liabilities of $1,588 and repayment of a seller's note of $375.</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financing activities provided $144,253 of cash, $145,984 in net proceeds received from issuance of debt partially offset by lease liability payments of $1,642.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contractual obligations as of March 31, 2023 and the effects that such obligations are expected to have on our liquidity and cash flows in future periods:</w:t>
      </w:r>
    </w:p>
    <w:p>
      <w:pPr>
        <w:spacing w:after="0" w:line="360"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Year 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and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Year 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Year 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Year 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Year 4</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Year 5</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7"/>
              </w:rPr>
              <w:t>beyond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commitments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378,118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21,878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32,267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26,322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6"/>
                <w:szCs w:val="16"/>
                <w:color w:val="auto"/>
              </w:rPr>
              <w:t>Sale-Leaseback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6"/>
                <w:szCs w:val="16"/>
                <w:color w:val="auto"/>
              </w:rPr>
              <w:t>commitments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205,308</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9,844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10,162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10,490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10,829</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11,179</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152,804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 Notes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Term debt (principal)</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38,215</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38,215</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related term debt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Interest on term debt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61,322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22,669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18,281</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17,692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1,701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107</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Convertible debt (principal)</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Interest on convertible debt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11,334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4,672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4,470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2,192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 notes (principal)</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35,820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18,465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Mortgage notes (interest)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14,504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3,659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3,596</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3,534</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3,173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542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Closing promissory note</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6"/>
                <w:szCs w:val="16"/>
                <w:color w:val="auto"/>
              </w:rPr>
              <w:t>Closing promissory note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6"/>
                <w:szCs w:val="16"/>
                <w:color w:val="auto"/>
              </w:rPr>
              <w:t>(interest)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75</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Acquisition related real estate</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(principal)</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0"/>
              <w:spacing w:after="0"/>
              <w:rPr>
                <w:sz w:val="20"/>
                <w:szCs w:val="20"/>
                <w:color w:val="auto"/>
              </w:rPr>
            </w:pPr>
            <w:r>
              <w:rPr>
                <w:rFonts w:ascii="Arial" w:cs="Arial" w:eastAsia="Arial" w:hAnsi="Arial"/>
                <w:sz w:val="16"/>
                <w:szCs w:val="16"/>
                <w:color w:val="auto"/>
                <w:w w:val="99"/>
              </w:rPr>
              <w:t>Acquisition related real estate</w:t>
            </w: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435</w:t>
            </w:r>
          </w:p>
        </w:tc>
        <w:tc>
          <w:tcPr>
            <w:tcW w:w="24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24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24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20"/>
              <w:spacing w:after="0"/>
              <w:rPr>
                <w:sz w:val="20"/>
                <w:szCs w:val="20"/>
                <w:color w:val="auto"/>
              </w:rPr>
            </w:pPr>
            <w:r>
              <w:rPr>
                <w:rFonts w:ascii="Arial" w:cs="Arial" w:eastAsia="Arial" w:hAnsi="Arial"/>
                <w:sz w:val="16"/>
                <w:szCs w:val="16"/>
                <w:color w:val="auto"/>
              </w:rPr>
              <w:t>notes (interest)</w:t>
            </w: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120" w:type="dxa"/>
            <w:vAlign w:val="bottom"/>
            <w:shd w:val="clear" w:color="auto" w:fill="CFF0FC"/>
          </w:tcPr>
          <w:p>
            <w:pPr>
              <w:ind w:left="200"/>
              <w:spacing w:after="0"/>
              <w:rPr>
                <w:sz w:val="20"/>
                <w:szCs w:val="20"/>
                <w:color w:val="auto"/>
              </w:rPr>
            </w:pPr>
            <w:r>
              <w:rPr>
                <w:rFonts w:ascii="Arial" w:cs="Arial" w:eastAsia="Arial" w:hAnsi="Arial"/>
                <w:sz w:val="16"/>
                <w:szCs w:val="16"/>
                <w:b w:val="1"/>
                <w:bCs w:val="1"/>
                <w:color w:val="auto"/>
              </w:rPr>
              <w:t>Total contractual</w:t>
            </w:r>
          </w:p>
        </w:tc>
        <w:tc>
          <w:tcPr>
            <w:tcW w:w="160" w:type="dxa"/>
            <w:vAlign w:val="bottom"/>
            <w:vMerge w:val="restart"/>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8"/>
              </w:rPr>
              <w:t>1,023,179</w:t>
            </w:r>
          </w:p>
        </w:tc>
        <w:tc>
          <w:tcPr>
            <w:tcW w:w="24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72,576</w:t>
            </w:r>
          </w:p>
        </w:tc>
        <w:tc>
          <w:tcPr>
            <w:tcW w:w="24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114,313</w:t>
            </w:r>
          </w:p>
        </w:tc>
        <w:tc>
          <w:tcPr>
            <w:tcW w:w="24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322,882</w:t>
            </w:r>
          </w:p>
        </w:tc>
        <w:tc>
          <w:tcPr>
            <w:tcW w:w="240" w:type="dxa"/>
            <w:vAlign w:val="bottom"/>
            <w:vMerge w:val="restart"/>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60,609</w:t>
            </w:r>
          </w:p>
        </w:tc>
        <w:tc>
          <w:tcPr>
            <w:tcW w:w="240" w:type="dxa"/>
            <w:vAlign w:val="bottom"/>
            <w:vMerge w:val="restart"/>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53,403</w:t>
            </w:r>
          </w:p>
        </w:tc>
        <w:tc>
          <w:tcPr>
            <w:tcW w:w="240" w:type="dxa"/>
            <w:vAlign w:val="bottom"/>
            <w:vMerge w:val="restart"/>
            <w:shd w:val="clear" w:color="auto" w:fill="CFF0FC"/>
          </w:tcPr>
          <w:p>
            <w:pPr>
              <w:spacing w:after="0"/>
              <w:rPr>
                <w:sz w:val="17"/>
                <w:szCs w:val="17"/>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399,396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b w:val="1"/>
                <w:bCs w:val="1"/>
                <w:color w:val="auto"/>
              </w:rPr>
              <w:t>obligations</w:t>
            </w: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6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6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above table excludes purchase orders for inventory in the normal course of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Judgements estimates and assumptions with the most significant effect on the amounts recognized in the consolidated financial statements are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Columbia Care classifies its derivative liability as fair value through profit and loss (FVTPL).</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fair value contained within the hierarchy are: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Our risk exposures and the impact on our financial instruments is summarized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The maximum credit exposure at March 31, 2023 and December 31, 2022,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credit to our customers in the normal course of business and have established credit evaluation and monitoring processes to mitigate credit risk but have limited risk as the majority of our sales are transacted with cash. Through our Columbia Care National Credit program, we provide credit to customers in certain markets in which we operate.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date, we have incurred significant cumulative net losses and we have not generated positive cash flows from our operations. We have therefore depended on financing from sale of our equity and from debt financing to fund our operations. Overall, we do not expect the net cash contribution from our operations and investments to be positive in the near term, and we therefore expect to rely on financing from equity or debt.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operating results and financial position are reported in thousands of U.S. dollars. We may enter into financial transactions denominated in other currencies, which would result in Columbia Care’s operations and financial position to be subject to currency transaction and translation risks.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and December 31, 2022, we had no hedging agreements in place with respect to foreign exchange rates. We have not entered into any agreements or purchased any instruments to hedge possible currency risks at this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Price Risk</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significant material changes to the market risks as disclosed in the Company’s 2022 Form 10-K. See also Financial Risk Management in Part I, Item 2 of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under the Securities Exchange Act of 1934, as amended) during the quarter ended March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 discussion of our litigation matters occurring in the period covered by this report is found in Reference to Part I, Item 1, </w:t>
      </w:r>
      <w:r>
        <w:rPr>
          <w:rFonts w:ascii="Arial" w:cs="Arial" w:eastAsia="Arial" w:hAnsi="Arial"/>
          <w:sz w:val="18"/>
          <w:szCs w:val="18"/>
          <w:u w:val="single" w:color="auto"/>
          <w:color w:val="0563C1"/>
        </w:rPr>
        <w:t>Note 13, Commitments and</w:t>
      </w:r>
      <w:r>
        <w:rPr>
          <w:rFonts w:ascii="Arial" w:cs="Arial" w:eastAsia="Arial" w:hAnsi="Arial"/>
          <w:sz w:val="18"/>
          <w:szCs w:val="18"/>
          <w:color w:val="auto"/>
        </w:rPr>
        <w:t xml:space="preserve"> </w:t>
      </w:r>
      <w:r>
        <w:rPr>
          <w:rFonts w:ascii="Arial" w:cs="Arial" w:eastAsia="Arial" w:hAnsi="Arial"/>
          <w:sz w:val="18"/>
          <w:szCs w:val="18"/>
          <w:u w:val="single" w:color="auto"/>
          <w:color w:val="0563C1"/>
        </w:rPr>
        <w:t>Contingencies</w:t>
      </w:r>
      <w:r>
        <w:rPr>
          <w:rFonts w:ascii="Arial" w:cs="Arial" w:eastAsia="Arial" w:hAnsi="Arial"/>
          <w:sz w:val="18"/>
          <w:szCs w:val="18"/>
          <w:color w:val="0563C1"/>
        </w:rPr>
        <w:t xml:space="preserve"> </w:t>
      </w:r>
      <w:r>
        <w:rPr>
          <w:rFonts w:ascii="Arial" w:cs="Arial" w:eastAsia="Arial" w:hAnsi="Arial"/>
          <w:sz w:val="18"/>
          <w:szCs w:val="18"/>
          <w:color w:val="000000"/>
        </w:rPr>
        <w:t>in the Notes to Unaudited Interim Consolidated Financial Statements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5843905</wp:posOffset>
            </wp:positionH>
            <wp:positionV relativeFrom="paragraph">
              <wp:posOffset>-182245</wp:posOffset>
            </wp:positionV>
            <wp:extent cx="13220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22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6540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405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the date of this filing, except as noted below, there have been no material changes in our risk factors from those disclosed in Part I, Item 1A, of the Company’s 2022 Form 10-K, which is incorporated by reference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 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7180" w:type="dxa"/>
            <w:vAlign w:val="bottom"/>
            <w:tcBorders>
              <w:bottom w:val="single" w:sz="8" w:color="auto"/>
            </w:tcBorders>
            <w:gridSpan w:val="16"/>
          </w:tcPr>
          <w:p>
            <w:pPr>
              <w:ind w:left="178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tcBorders>
              <w:bottom w:val="single" w:sz="8" w:color="0000FF"/>
            </w:tcBorders>
            <w:gridSpan w:val="9"/>
          </w:tcPr>
          <w:p>
            <w:pPr>
              <w:spacing w:after="0" w:line="189"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Arrangement Agreement, dated March 23, 2022, between Cresco Labs Inc. and Columbia Care Inc. (incorporated by reference to</w:t>
              </w:r>
            </w:hyperlink>
          </w:p>
        </w:tc>
        <w:tc>
          <w:tcPr>
            <w:tcW w:w="540" w:type="dxa"/>
            <w:vAlign w:val="bottom"/>
            <w:gridSpan w:val="9"/>
          </w:tcPr>
          <w:p>
            <w:pPr>
              <w:spacing w:after="0"/>
              <w:rPr>
                <w:sz w:val="16"/>
                <w:szCs w:val="16"/>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Exhibit 2.1 of the Registrant’s Current Report on Form 8-K, filed with the SEC on March 29, 2022)</w:t>
              </w:r>
            </w:hyperlink>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tcBorders>
              <w:bottom w:val="single" w:sz="8" w:color="0000FF"/>
            </w:tcBorders>
            <w:gridSpan w:val="15"/>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Articles of Columbia Care Inc. (incorporated by reference to Exhibit 3.1 of the Registrant’s Registration Statement on Form 10, filed</w:t>
              </w:r>
            </w:hyperlink>
          </w:p>
        </w:tc>
        <w:tc>
          <w:tcPr>
            <w:tcW w:w="240" w:type="dxa"/>
            <w:vAlign w:val="bottom"/>
            <w:gridSpan w:val="3"/>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47">
              <w:r>
                <w:rPr>
                  <w:rFonts w:ascii="Arial" w:cs="Arial" w:eastAsia="Arial" w:hAnsi="Arial"/>
                  <w:sz w:val="18"/>
                  <w:szCs w:val="18"/>
                  <w:color w:val="0000FF"/>
                  <w:w w:val="89"/>
                </w:rPr>
                <w:t>with the SEC on December 14, 2021)</w:t>
              </w:r>
            </w:hyperlink>
          </w:p>
        </w:tc>
        <w:tc>
          <w:tcPr>
            <w:tcW w:w="7180" w:type="dxa"/>
            <w:vAlign w:val="bottom"/>
            <w:gridSpan w:val="16"/>
          </w:tcPr>
          <w:p>
            <w:pPr>
              <w:spacing w:after="0"/>
              <w:rPr>
                <w:sz w:val="17"/>
                <w:szCs w:val="17"/>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60" w:type="dxa"/>
            <w:vAlign w:val="bottom"/>
            <w:tcBorders>
              <w:bottom w:val="single" w:sz="8" w:color="0000FF"/>
            </w:tcBorders>
            <w:gridSpan w:val="8"/>
          </w:tcPr>
          <w:p>
            <w:pPr>
              <w:spacing w:after="0"/>
              <w:rPr>
                <w:rFonts w:ascii="Arial" w:cs="Arial" w:eastAsia="Arial" w:hAnsi="Arial"/>
                <w:sz w:val="18"/>
                <w:szCs w:val="18"/>
                <w:color w:val="0000FF"/>
                <w:w w:val="90"/>
              </w:rPr>
            </w:pPr>
            <w:hyperlink r:id="rId148">
              <w:r>
                <w:rPr>
                  <w:rFonts w:ascii="Arial" w:cs="Arial" w:eastAsia="Arial" w:hAnsi="Arial"/>
                  <w:sz w:val="18"/>
                  <w:szCs w:val="18"/>
                  <w:color w:val="0000FF"/>
                  <w:w w:val="90"/>
                </w:rPr>
                <w:t>Warrant Agency Agreement dated September 20, 2018 between Canaccord Genuity Growth Corp. and Odyssey Trust Company</w:t>
              </w:r>
            </w:hyperlink>
          </w:p>
        </w:tc>
        <w:tc>
          <w:tcPr>
            <w:tcW w:w="620" w:type="dxa"/>
            <w:vAlign w:val="bottom"/>
            <w:gridSpan w:val="10"/>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(incorporated by reference to Exhibit 4.1 of the Registrant’s Registration Statement on Form 10, filed with the SEC on December 14,</w:t>
              </w:r>
            </w:hyperlink>
          </w:p>
        </w:tc>
        <w:tc>
          <w:tcPr>
            <w:tcW w:w="26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80" w:type="dxa"/>
            <w:vAlign w:val="bottom"/>
            <w:gridSpan w:val="3"/>
          </w:tcPr>
          <w:p>
            <w:pPr>
              <w:ind w:left="160"/>
              <w:spacing w:after="0" w:line="196" w:lineRule="exact"/>
              <w:rPr>
                <w:rFonts w:ascii="Arial" w:cs="Arial" w:eastAsia="Arial" w:hAnsi="Arial"/>
                <w:sz w:val="18"/>
                <w:szCs w:val="18"/>
                <w:color w:val="0000FF"/>
                <w:w w:val="86"/>
              </w:rPr>
            </w:pPr>
            <w:hyperlink r:id="rId148">
              <w:r>
                <w:rPr>
                  <w:rFonts w:ascii="Arial" w:cs="Arial" w:eastAsia="Arial" w:hAnsi="Arial"/>
                  <w:sz w:val="18"/>
                  <w:szCs w:val="18"/>
                  <w:color w:val="0000FF"/>
                  <w:w w:val="86"/>
                </w:rPr>
                <w:t>2021)</w:t>
              </w:r>
            </w:hyperlink>
          </w:p>
        </w:tc>
        <w:tc>
          <w:tcPr>
            <w:tcW w:w="22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tcBorders>
              <w:bottom w:val="single" w:sz="8" w:color="0000FF"/>
            </w:tcBorders>
            <w:gridSpan w:val="11"/>
          </w:tcPr>
          <w:p>
            <w:pPr>
              <w:spacing w:after="0"/>
              <w:rPr>
                <w:rFonts w:ascii="Arial" w:cs="Arial" w:eastAsia="Arial" w:hAnsi="Arial"/>
                <w:sz w:val="18"/>
                <w:szCs w:val="18"/>
                <w:color w:val="0000FF"/>
                <w:w w:val="91"/>
              </w:rPr>
            </w:pPr>
            <w:hyperlink r:id="rId149">
              <w:r>
                <w:rPr>
                  <w:rFonts w:ascii="Arial" w:cs="Arial" w:eastAsia="Arial" w:hAnsi="Arial"/>
                  <w:sz w:val="18"/>
                  <w:szCs w:val="18"/>
                  <w:color w:val="0000FF"/>
                  <w:w w:val="91"/>
                </w:rPr>
                <w:t>Warrant Agreement dated April 26, 2019 between Columbia Care Inc. and Canaccord Genuity Corp. (incorporated by reference to</w:t>
              </w:r>
            </w:hyperlink>
          </w:p>
        </w:tc>
        <w:tc>
          <w:tcPr>
            <w:tcW w:w="420" w:type="dxa"/>
            <w:vAlign w:val="bottom"/>
            <w:gridSpan w:val="7"/>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Exhibit 4.2 of the Registrant’s Registration Statement on Form 10, filed with the SEC on December 14, 2021)</w:t>
              </w:r>
            </w:hyperlink>
          </w:p>
        </w:tc>
        <w:tc>
          <w:tcPr>
            <w:tcW w:w="1980" w:type="dxa"/>
            <w:vAlign w:val="bottom"/>
            <w:gridSpan w:val="13"/>
          </w:tcPr>
          <w:p>
            <w:pPr>
              <w:spacing w:after="0"/>
              <w:rPr>
                <w:sz w:val="17"/>
                <w:szCs w:val="17"/>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80" w:type="dxa"/>
            <w:vAlign w:val="bottom"/>
            <w:tcBorders>
              <w:bottom w:val="single" w:sz="8" w:color="0000FF"/>
            </w:tcBorders>
            <w:gridSpan w:val="13"/>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Trust Indenture made as of March 31, 2020 between Columbia Care Inc. and Odyssey Trust Company (incorporated by reference to</w:t>
              </w:r>
            </w:hyperlink>
          </w:p>
        </w:tc>
        <w:tc>
          <w:tcPr>
            <w:tcW w:w="300" w:type="dxa"/>
            <w:vAlign w:val="bottom"/>
            <w:gridSpan w:val="5"/>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Exhibit 4.3 of the Registrant’s Registration Statement on Form 10, filed with the SEC on December 14, 2021)</w:t>
              </w:r>
            </w:hyperlink>
          </w:p>
        </w:tc>
        <w:tc>
          <w:tcPr>
            <w:tcW w:w="1980" w:type="dxa"/>
            <w:vAlign w:val="bottom"/>
            <w:gridSpan w:val="13"/>
          </w:tcPr>
          <w:p>
            <w:pPr>
              <w:spacing w:after="0"/>
              <w:rPr>
                <w:sz w:val="17"/>
                <w:szCs w:val="17"/>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bottom w:val="single" w:sz="8" w:color="0000FF"/>
            </w:tcBorders>
            <w:gridSpan w:val="9"/>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Warrant Indenture dated March 31, 2020 between Columbia Care Inc. and Odyssey Trust Company (incorporated by reference to</w:t>
              </w:r>
            </w:hyperlink>
          </w:p>
        </w:tc>
        <w:tc>
          <w:tcPr>
            <w:tcW w:w="540" w:type="dxa"/>
            <w:vAlign w:val="bottom"/>
            <w:gridSpan w:val="9"/>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rPr>
            </w:pPr>
            <w:hyperlink r:id="rId151">
              <w:r>
                <w:rPr>
                  <w:rFonts w:ascii="Arial" w:cs="Arial" w:eastAsia="Arial" w:hAnsi="Arial"/>
                  <w:sz w:val="18"/>
                  <w:szCs w:val="18"/>
                  <w:color w:val="0000FF"/>
                </w:rPr>
                <w:t>Exhibit 4.4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2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40" w:type="dxa"/>
            <w:vAlign w:val="bottom"/>
            <w:tcBorders>
              <w:bottom w:val="single" w:sz="8" w:color="0000FF"/>
            </w:tcBorders>
            <w:gridSpan w:val="10"/>
          </w:tcPr>
          <w:p>
            <w:pPr>
              <w:spacing w:after="0"/>
              <w:rPr>
                <w:rFonts w:ascii="Arial" w:cs="Arial" w:eastAsia="Arial" w:hAnsi="Arial"/>
                <w:sz w:val="18"/>
                <w:szCs w:val="18"/>
                <w:color w:val="0000FF"/>
                <w:w w:val="90"/>
              </w:rPr>
            </w:pPr>
            <w:hyperlink r:id="rId152">
              <w:r>
                <w:rPr>
                  <w:rFonts w:ascii="Arial" w:cs="Arial" w:eastAsia="Arial" w:hAnsi="Arial"/>
                  <w:sz w:val="18"/>
                  <w:szCs w:val="18"/>
                  <w:color w:val="0000FF"/>
                  <w:w w:val="90"/>
                </w:rPr>
                <w:t>Trust Indenture made as of May 14, 2020 between Columbia Care Inc. and Odyssey Trust Company (incorporated by reference to</w:t>
              </w:r>
            </w:hyperlink>
          </w:p>
        </w:tc>
        <w:tc>
          <w:tcPr>
            <w:tcW w:w="440" w:type="dxa"/>
            <w:vAlign w:val="bottom"/>
            <w:gridSpan w:val="8"/>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Exhibit 4.5 of the Registrant’s Registration Statement on Form 10, filed with the SEC on December 14, 2021)</w:t>
              </w:r>
            </w:hyperlink>
          </w:p>
        </w:tc>
        <w:tc>
          <w:tcPr>
            <w:tcW w:w="1980" w:type="dxa"/>
            <w:vAlign w:val="bottom"/>
            <w:gridSpan w:val="13"/>
          </w:tcPr>
          <w:p>
            <w:pPr>
              <w:spacing w:after="0"/>
              <w:rPr>
                <w:sz w:val="17"/>
                <w:szCs w:val="17"/>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tcBorders>
              <w:bottom w:val="single" w:sz="8" w:color="0000FF"/>
            </w:tcBorders>
            <w:gridSpan w:val="17"/>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Warrant Indenture dated May 14, 2020 between Columbia Care Inc. and Odyssey Trust Company (incorporated by reference to Exhibit</w:t>
              </w:r>
            </w:hyperlink>
          </w:p>
        </w:tc>
        <w:tc>
          <w:tcPr>
            <w:tcW w:w="60" w:type="dxa"/>
            <w:vAlign w:val="bottom"/>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4.</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20" w:type="dxa"/>
            <w:vAlign w:val="bottom"/>
            <w:gridSpan w:val="4"/>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tcBorders>
              <w:bottom w:val="single" w:sz="8" w:color="0000FF"/>
            </w:tcBorders>
            <w:gridSpan w:val="12"/>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First Supplemental Indentures dated as of June 19, 2020 between Columbia Care Inc and Odyssey Trust Company (incorporated by</w:t>
              </w:r>
            </w:hyperlink>
          </w:p>
        </w:tc>
        <w:tc>
          <w:tcPr>
            <w:tcW w:w="320" w:type="dxa"/>
            <w:vAlign w:val="bottom"/>
            <w:gridSpan w:val="6"/>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reference to Exhibit 4.7 of the Registrant’s Registration Statement on Form 10, filed with the SEC on December 14, 2021)</w:t>
              </w:r>
            </w:hyperlink>
          </w:p>
        </w:tc>
        <w:tc>
          <w:tcPr>
            <w:tcW w:w="1080" w:type="dxa"/>
            <w:vAlign w:val="bottom"/>
            <w:gridSpan w:val="11"/>
          </w:tcPr>
          <w:p>
            <w:pPr>
              <w:spacing w:after="0"/>
              <w:rPr>
                <w:sz w:val="17"/>
                <w:szCs w:val="17"/>
                <w:color w:val="auto"/>
              </w:rPr>
            </w:pP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tcBorders>
              <w:bottom w:val="single" w:sz="8" w:color="0000FF"/>
            </w:tcBorders>
            <w:gridSpan w:val="16"/>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Warrant Indenture dated July 2, 2020 between Columbia Care Inc. and Odyssey Trust Company (incorporated by reference to Exhibit</w:t>
              </w:r>
            </w:hyperlink>
          </w:p>
        </w:tc>
        <w:tc>
          <w:tcPr>
            <w:tcW w:w="180" w:type="dxa"/>
            <w:vAlign w:val="bottom"/>
            <w:gridSpan w:val="2"/>
          </w:tcPr>
          <w:p>
            <w:pPr>
              <w:spacing w:after="0"/>
              <w:rPr>
                <w:sz w:val="19"/>
                <w:szCs w:val="19"/>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4.</w:t>
              </w:r>
              <w:r>
                <w:rPr>
                  <w:rFonts w:ascii="Arial" w:cs="Arial" w:eastAsia="Arial" w:hAnsi="Arial"/>
                  <w:sz w:val="18"/>
                  <w:szCs w:val="18"/>
                  <w:u w:val="single" w:color="auto"/>
                  <w:color w:val="0000FF"/>
                </w:rPr>
                <w:t>8</w:t>
              </w:r>
              <w:r>
                <w:rPr>
                  <w:rFonts w:ascii="Arial" w:cs="Arial" w:eastAsia="Arial" w:hAnsi="Arial"/>
                  <w:sz w:val="18"/>
                  <w:szCs w:val="18"/>
                  <w:color w:val="0000FF"/>
                </w:rPr>
                <w:t xml:space="preserve"> of the Registrant’s Registration Statement on Form 10, filed with the SEC on December 14, 2021)</w:t>
              </w:r>
            </w:hyperlink>
          </w:p>
        </w:tc>
      </w:tr>
      <w:tr>
        <w:trPr>
          <w:trHeight w:val="466"/>
        </w:trPr>
        <w:tc>
          <w:tcPr>
            <w:tcW w:w="120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7160" w:type="dxa"/>
            <w:vAlign w:val="bottom"/>
            <w:tcBorders>
              <w:top w:val="single" w:sz="8" w:color="0000FF"/>
            </w:tcBorders>
            <w:gridSpan w:val="3"/>
          </w:tcPr>
          <w:p>
            <w:pPr>
              <w:ind w:left="4180"/>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tbl>
      <w:tblPr>
        <w:tblLayout w:type="fixed"/>
        <w:tblInd w:w="220" w:type="dxa"/>
        <w:tblCellMar>
          <w:top w:w="0" w:type="dxa"/>
          <w:left w:w="0" w:type="dxa"/>
          <w:bottom w:w="0" w:type="dxa"/>
          <w:right w:w="0" w:type="dxa"/>
        </w:tblCellMar>
      </w:tblPr>
      <w:tr>
        <w:trPr>
          <w:trHeight w:val="207"/>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87"/>
              </w:rPr>
              <w:t>4.9</w:t>
            </w:r>
          </w:p>
        </w:tc>
        <w:tc>
          <w:tcPr>
            <w:tcW w:w="9520" w:type="dxa"/>
            <w:vAlign w:val="bottom"/>
            <w:tcBorders>
              <w:bottom w:val="single" w:sz="8" w:color="0000FF"/>
            </w:tcBorders>
            <w:gridSpan w:val="12"/>
          </w:tcPr>
          <w:p>
            <w:pPr>
              <w:spacing w:after="0"/>
              <w:rPr>
                <w:rFonts w:ascii="Arial" w:cs="Arial" w:eastAsia="Arial" w:hAnsi="Arial"/>
                <w:sz w:val="18"/>
                <w:szCs w:val="18"/>
                <w:color w:val="0000FF"/>
                <w:w w:val="90"/>
              </w:rPr>
            </w:pPr>
            <w:hyperlink r:id="rId158">
              <w:r>
                <w:rPr>
                  <w:rFonts w:ascii="Arial" w:cs="Arial" w:eastAsia="Arial" w:hAnsi="Arial"/>
                  <w:sz w:val="18"/>
                  <w:szCs w:val="18"/>
                  <w:color w:val="0000FF"/>
                  <w:w w:val="90"/>
                </w:rPr>
                <w:t>Warrant Indenture dated October 29, 2020 between Columbia Care Inc. and Odyssey Trust Company (incorporated by reference to</w:t>
              </w:r>
            </w:hyperlink>
          </w:p>
        </w:tc>
        <w:tc>
          <w:tcPr>
            <w:tcW w:w="3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9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Exhibit 4.9 of the Registrant’s Registration Statement on Form 10, filed with the SEC on December 14, 2021)</w:t>
              </w:r>
            </w:hyperlink>
          </w:p>
        </w:tc>
        <w:tc>
          <w:tcPr>
            <w:tcW w:w="1920" w:type="dxa"/>
            <w:vAlign w:val="bottom"/>
            <w:gridSpan w:val="13"/>
          </w:tcPr>
          <w:p>
            <w:pPr>
              <w:spacing w:after="0"/>
              <w:rPr>
                <w:sz w:val="17"/>
                <w:szCs w:val="17"/>
                <w:color w:val="auto"/>
              </w:rPr>
            </w:pPr>
          </w:p>
        </w:tc>
      </w:tr>
      <w:tr>
        <w:trPr>
          <w:trHeight w:val="22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1"/>
              </w:rPr>
              <w:t>4.10</w:t>
            </w:r>
          </w:p>
        </w:tc>
        <w:tc>
          <w:tcPr>
            <w:tcW w:w="9340" w:type="dxa"/>
            <w:vAlign w:val="bottom"/>
            <w:tcBorders>
              <w:bottom w:val="single" w:sz="8" w:color="0000FF"/>
            </w:tcBorders>
            <w:gridSpan w:val="7"/>
          </w:tcPr>
          <w:p>
            <w:pPr>
              <w:spacing w:after="0"/>
              <w:rPr>
                <w:rFonts w:ascii="Arial" w:cs="Arial" w:eastAsia="Arial" w:hAnsi="Arial"/>
                <w:sz w:val="18"/>
                <w:szCs w:val="18"/>
                <w:color w:val="0000FF"/>
                <w:w w:val="90"/>
              </w:rPr>
            </w:pPr>
            <w:hyperlink r:id="rId159">
              <w:r>
                <w:rPr>
                  <w:rFonts w:ascii="Arial" w:cs="Arial" w:eastAsia="Arial" w:hAnsi="Arial"/>
                  <w:sz w:val="18"/>
                  <w:szCs w:val="18"/>
                  <w:color w:val="0000FF"/>
                  <w:w w:val="90"/>
                </w:rPr>
                <w:t>Second Supplemental Indenture dated June 29, 2021 between Columbia Care Inc. and Odyssey Trust Company (incorporated by</w:t>
              </w:r>
            </w:hyperlink>
          </w:p>
        </w:tc>
        <w:tc>
          <w:tcPr>
            <w:tcW w:w="480" w:type="dxa"/>
            <w:vAlign w:val="bottom"/>
            <w:gridSpan w:val="11"/>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FF"/>
                <w:w w:val="94"/>
              </w:rPr>
            </w:pPr>
            <w:hyperlink r:id="rId159">
              <w:r>
                <w:rPr>
                  <w:rFonts w:ascii="Arial" w:cs="Arial" w:eastAsia="Arial" w:hAnsi="Arial"/>
                  <w:sz w:val="18"/>
                  <w:szCs w:val="18"/>
                  <w:color w:val="0000FF"/>
                  <w:w w:val="94"/>
                </w:rPr>
                <w:t>reference to Exhibit 4.10 of the Registrant’s amended Registration Statement on Form 10, filed with the SEC on January 28, 2022)</w:t>
              </w:r>
            </w:hyperlink>
          </w:p>
        </w:tc>
      </w:tr>
      <w:tr>
        <w:trPr>
          <w:trHeight w:val="223"/>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85"/>
              </w:rPr>
              <w:t>4.11</w:t>
            </w:r>
          </w:p>
        </w:tc>
        <w:tc>
          <w:tcPr>
            <w:tcW w:w="94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r:id="rId160">
              <w:r>
                <w:rPr>
                  <w:rFonts w:ascii="Arial" w:cs="Arial" w:eastAsia="Arial" w:hAnsi="Arial"/>
                  <w:sz w:val="18"/>
                  <w:szCs w:val="18"/>
                  <w:color w:val="0000FF"/>
                  <w:w w:val="90"/>
                </w:rPr>
                <w:t>Third Supplemental Indenture dated February 2, 2022 between Columbia Care Inc. and Odyssey Trust Company (incorporated by</w:t>
              </w:r>
            </w:hyperlink>
          </w:p>
        </w:tc>
        <w:tc>
          <w:tcPr>
            <w:tcW w:w="40" w:type="dxa"/>
            <w:vAlign w:val="bottom"/>
            <w:tcBorders>
              <w:bottom w:val="single" w:sz="8" w:color="0000FF"/>
            </w:tcBorders>
          </w:tcPr>
          <w:p>
            <w:pPr>
              <w:spacing w:after="0"/>
              <w:rPr>
                <w:sz w:val="19"/>
                <w:szCs w:val="19"/>
                <w:color w:val="auto"/>
              </w:rPr>
            </w:pPr>
          </w:p>
        </w:tc>
        <w:tc>
          <w:tcPr>
            <w:tcW w:w="380" w:type="dxa"/>
            <w:vAlign w:val="bottom"/>
            <w:gridSpan w:val="9"/>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9820" w:type="dxa"/>
            <w:vAlign w:val="bottom"/>
            <w:gridSpan w:val="18"/>
          </w:tcPr>
          <w:p>
            <w:pPr>
              <w:spacing w:after="0" w:line="196"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reference to Exhibit 4.11 of the Registrant’s amended Registration Statement on Form 10, filed with the SEC on February 15, 2022)</w:t>
              </w:r>
            </w:hyperlink>
          </w:p>
        </w:tc>
      </w:tr>
      <w:tr>
        <w:trPr>
          <w:trHeight w:val="22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1"/>
              </w:rPr>
              <w:t>4.12</w:t>
            </w:r>
          </w:p>
        </w:tc>
        <w:tc>
          <w:tcPr>
            <w:tcW w:w="94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0"/>
              </w:rPr>
            </w:pPr>
            <w:hyperlink r:id="rId161">
              <w:r>
                <w:rPr>
                  <w:rFonts w:ascii="Arial" w:cs="Arial" w:eastAsia="Arial" w:hAnsi="Arial"/>
                  <w:sz w:val="18"/>
                  <w:szCs w:val="18"/>
                  <w:color w:val="0000FF"/>
                  <w:w w:val="90"/>
                </w:rPr>
                <w:t>Fourth Supplemental Indenture dated February 3, 2022 between Columbia Care Inc. and Odyssey Trust Company (incorporated by</w:t>
              </w:r>
            </w:hyperlink>
          </w:p>
        </w:tc>
        <w:tc>
          <w:tcPr>
            <w:tcW w:w="40" w:type="dxa"/>
            <w:vAlign w:val="bottom"/>
            <w:tcBorders>
              <w:bottom w:val="single" w:sz="8" w:color="0000FF"/>
            </w:tcBorders>
            <w:gridSpan w:val="2"/>
          </w:tcPr>
          <w:p>
            <w:pPr>
              <w:spacing w:after="0"/>
              <w:rPr>
                <w:sz w:val="19"/>
                <w:szCs w:val="19"/>
                <w:color w:val="auto"/>
              </w:rPr>
            </w:pPr>
          </w:p>
        </w:tc>
        <w:tc>
          <w:tcPr>
            <w:tcW w:w="300" w:type="dxa"/>
            <w:vAlign w:val="bottom"/>
            <w:gridSpan w:val="6"/>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95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reference to Exhibit 4.12 of the Registrant’s amended Registration Statement on Form 10, filed with the SEC on February 15, 2022)</w:t>
              </w:r>
            </w:hyperlink>
          </w:p>
        </w:tc>
        <w:tc>
          <w:tcPr>
            <w:tcW w:w="320" w:type="dxa"/>
            <w:vAlign w:val="bottom"/>
            <w:gridSpan w:val="7"/>
          </w:tcPr>
          <w:p>
            <w:pPr>
              <w:spacing w:after="0"/>
              <w:rPr>
                <w:sz w:val="17"/>
                <w:szCs w:val="17"/>
                <w:color w:val="auto"/>
              </w:rPr>
            </w:pPr>
          </w:p>
        </w:tc>
      </w:tr>
      <w:tr>
        <w:trPr>
          <w:trHeight w:val="22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1"/>
              </w:rPr>
              <w:t>4.13</w:t>
            </w:r>
          </w:p>
        </w:tc>
        <w:tc>
          <w:tcPr>
            <w:tcW w:w="9740" w:type="dxa"/>
            <w:vAlign w:val="bottom"/>
            <w:tcBorders>
              <w:bottom w:val="single" w:sz="8" w:color="0000FF"/>
            </w:tcBorders>
            <w:gridSpan w:val="17"/>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Fifth Supplemental Indenture dated May 5, 2022 between Columbia Care Inc. and Odyssey Trust Company (incorporated by reference</w:t>
              </w:r>
            </w:hyperlink>
          </w:p>
        </w:tc>
        <w:tc>
          <w:tcPr>
            <w:tcW w:w="80" w:type="dxa"/>
            <w:vAlign w:val="bottom"/>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58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to Exhibit 4.1 of the Registrant’s Form 8-K, filed with the SEC on May 11, 2022)</w:t>
              </w:r>
            </w:hyperlink>
          </w:p>
        </w:tc>
        <w:tc>
          <w:tcPr>
            <w:tcW w:w="3960" w:type="dxa"/>
            <w:vAlign w:val="bottom"/>
            <w:gridSpan w:val="14"/>
          </w:tcPr>
          <w:p>
            <w:pPr>
              <w:spacing w:after="0"/>
              <w:rPr>
                <w:sz w:val="17"/>
                <w:szCs w:val="17"/>
                <w:color w:val="auto"/>
              </w:rPr>
            </w:pPr>
          </w:p>
        </w:tc>
      </w:tr>
      <w:tr>
        <w:trPr>
          <w:trHeight w:val="22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1"/>
              </w:rPr>
              <w:t>4.14</w:t>
            </w:r>
          </w:p>
        </w:tc>
        <w:tc>
          <w:tcPr>
            <w:tcW w:w="9340" w:type="dxa"/>
            <w:vAlign w:val="bottom"/>
            <w:tcBorders>
              <w:bottom w:val="single" w:sz="8" w:color="0000FF"/>
            </w:tcBorders>
            <w:gridSpan w:val="7"/>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Extension Notice dated March 28, 2023 to Odyssey Trust Company (incorporated by reference to Exhibit 4.14 of the Registrant’s</w:t>
              </w:r>
            </w:hyperlink>
          </w:p>
        </w:tc>
        <w:tc>
          <w:tcPr>
            <w:tcW w:w="480" w:type="dxa"/>
            <w:vAlign w:val="bottom"/>
            <w:gridSpan w:val="11"/>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82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Annual Report on Form 10-K for the fiscal year ended December 31, 2022, filed with the SEC on March 29, 2023)</w:t>
              </w:r>
            </w:hyperlink>
          </w:p>
        </w:tc>
        <w:tc>
          <w:tcPr>
            <w:tcW w:w="1540" w:type="dxa"/>
            <w:vAlign w:val="bottom"/>
            <w:gridSpan w:val="12"/>
          </w:tcPr>
          <w:p>
            <w:pPr>
              <w:spacing w:after="0"/>
              <w:rPr>
                <w:sz w:val="17"/>
                <w:szCs w:val="17"/>
                <w:color w:val="auto"/>
              </w:rPr>
            </w:pPr>
          </w:p>
        </w:tc>
      </w:tr>
      <w:tr>
        <w:trPr>
          <w:trHeight w:val="22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88"/>
              </w:rPr>
              <w:t>10.1#</w:t>
            </w:r>
          </w:p>
        </w:tc>
        <w:tc>
          <w:tcPr>
            <w:tcW w:w="9700" w:type="dxa"/>
            <w:vAlign w:val="bottom"/>
            <w:tcBorders>
              <w:bottom w:val="single" w:sz="8" w:color="0000FF"/>
            </w:tcBorders>
            <w:gridSpan w:val="16"/>
          </w:tcPr>
          <w:p>
            <w:pPr>
              <w:spacing w:after="0"/>
              <w:rPr>
                <w:rFonts w:ascii="Arial" w:cs="Arial" w:eastAsia="Arial" w:hAnsi="Arial"/>
                <w:sz w:val="18"/>
                <w:szCs w:val="18"/>
                <w:color w:val="0000FF"/>
                <w:w w:val="91"/>
              </w:rPr>
            </w:pPr>
            <w:hyperlink r:id="rId164">
              <w:r>
                <w:rPr>
                  <w:rFonts w:ascii="Arial" w:cs="Arial" w:eastAsia="Arial" w:hAnsi="Arial"/>
                  <w:sz w:val="18"/>
                  <w:szCs w:val="18"/>
                  <w:color w:val="0000FF"/>
                  <w:w w:val="91"/>
                </w:rPr>
                <w:t>Transition Agreement between Columbia Care Inc. and Michael Abbott (incorporated by reference to Exhibit 10.17 of the Registrant’s</w:t>
              </w:r>
            </w:hyperlink>
          </w:p>
        </w:tc>
        <w:tc>
          <w:tcPr>
            <w:tcW w:w="120" w:type="dxa"/>
            <w:vAlign w:val="bottom"/>
            <w:gridSpan w:val="2"/>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50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64">
              <w:r>
                <w:rPr>
                  <w:rFonts w:ascii="Arial" w:cs="Arial" w:eastAsia="Arial" w:hAnsi="Arial"/>
                  <w:sz w:val="18"/>
                  <w:szCs w:val="18"/>
                  <w:color w:val="0000FF"/>
                  <w:w w:val="92"/>
                </w:rPr>
                <w:t>Annual Report on Form 10-K, filed with the SEC on March 29, 2023)</w:t>
              </w:r>
            </w:hyperlink>
          </w:p>
        </w:tc>
        <w:tc>
          <w:tcPr>
            <w:tcW w:w="4780" w:type="dxa"/>
            <w:vAlign w:val="bottom"/>
            <w:gridSpan w:val="15"/>
          </w:tcPr>
          <w:p>
            <w:pPr>
              <w:spacing w:after="0"/>
              <w:rPr>
                <w:sz w:val="17"/>
                <w:szCs w:val="17"/>
                <w:color w:val="auto"/>
              </w:rPr>
            </w:pPr>
          </w:p>
        </w:tc>
      </w:tr>
      <w:tr>
        <w:trPr>
          <w:trHeight w:val="22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5"/>
              </w:rPr>
              <w:t>31.1*</w:t>
            </w:r>
          </w:p>
        </w:tc>
        <w:tc>
          <w:tcPr>
            <w:tcW w:w="96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180" w:type="dxa"/>
            <w:vAlign w:val="bottom"/>
            <w:gridSpan w:val="3"/>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9820" w:type="dxa"/>
            <w:vAlign w:val="bottom"/>
            <w:gridSpan w:val="18"/>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2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5"/>
              </w:rPr>
              <w:t>31.2*</w:t>
            </w:r>
          </w:p>
        </w:tc>
        <w:tc>
          <w:tcPr>
            <w:tcW w:w="95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240" w:type="dxa"/>
            <w:vAlign w:val="bottom"/>
            <w:gridSpan w:val="4"/>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9820" w:type="dxa"/>
            <w:vAlign w:val="bottom"/>
            <w:gridSpan w:val="18"/>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2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88"/>
              </w:rPr>
              <w:t>32.1‡</w:t>
            </w:r>
          </w:p>
        </w:tc>
        <w:tc>
          <w:tcPr>
            <w:tcW w:w="9820" w:type="dxa"/>
            <w:vAlign w:val="bottom"/>
            <w:gridSpan w:val="18"/>
          </w:tcPr>
          <w:p>
            <w:pPr>
              <w:spacing w:after="0"/>
              <w:rPr>
                <w:sz w:val="20"/>
                <w:szCs w:val="20"/>
                <w:color w:val="auto"/>
              </w:rPr>
            </w:pPr>
            <w:r>
              <w:rPr>
                <w:rFonts w:ascii="Arial" w:cs="Arial" w:eastAsia="Arial" w:hAnsi="Arial"/>
                <w:sz w:val="18"/>
                <w:szCs w:val="18"/>
                <w:color w:val="0000FF"/>
                <w:w w:val="92"/>
              </w:rPr>
              <w:t>Certification of Principal Executive Officer Pursuant to 18 U.S.C. Section 1350, as Adopted Pursuant to Section 906 of the Sarbanes-</w:t>
            </w:r>
          </w:p>
        </w:tc>
      </w:tr>
      <w:tr>
        <w:trPr>
          <w:trHeight w:val="196"/>
        </w:trPr>
        <w:tc>
          <w:tcPr>
            <w:tcW w:w="1140" w:type="dxa"/>
            <w:vAlign w:val="bottom"/>
          </w:tcPr>
          <w:p>
            <w:pPr>
              <w:spacing w:after="0"/>
              <w:rPr>
                <w:sz w:val="17"/>
                <w:szCs w:val="17"/>
                <w:color w:val="auto"/>
              </w:rPr>
            </w:pPr>
          </w:p>
        </w:tc>
        <w:tc>
          <w:tcPr>
            <w:tcW w:w="138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2"/>
              </w:rPr>
              <w:t>Oxley Act of 2002.</w:t>
            </w:r>
          </w:p>
        </w:tc>
        <w:tc>
          <w:tcPr>
            <w:tcW w:w="8200" w:type="dxa"/>
            <w:vAlign w:val="bottom"/>
            <w:tcBorders>
              <w:top w:val="single" w:sz="8" w:color="0000FF"/>
            </w:tcBorders>
            <w:gridSpan w:val="13"/>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210"/>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88"/>
              </w:rPr>
              <w:t>32.2‡</w:t>
            </w:r>
          </w:p>
        </w:tc>
        <w:tc>
          <w:tcPr>
            <w:tcW w:w="95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Certification of Principal Financial Officer Pursuant to 18 U.S.C. Section 1350, as Adopted Pursuant to Section 906 of the Sarbanes-</w:t>
            </w:r>
          </w:p>
        </w:tc>
        <w:tc>
          <w:tcPr>
            <w:tcW w:w="28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2"/>
              </w:rPr>
              <w:t>Oxley Act of 2002.</w:t>
            </w:r>
          </w:p>
        </w:tc>
        <w:tc>
          <w:tcPr>
            <w:tcW w:w="8440" w:type="dxa"/>
            <w:vAlign w:val="bottom"/>
            <w:gridSpan w:val="17"/>
          </w:tcPr>
          <w:p>
            <w:pPr>
              <w:spacing w:after="0"/>
              <w:rPr>
                <w:sz w:val="17"/>
                <w:szCs w:val="17"/>
                <w:color w:val="auto"/>
              </w:rPr>
            </w:pPr>
          </w:p>
        </w:tc>
      </w:tr>
      <w:tr>
        <w:trPr>
          <w:trHeight w:val="249"/>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7"/>
              </w:rPr>
              <w:t>101.INS*</w:t>
            </w:r>
          </w:p>
        </w:tc>
        <w:tc>
          <w:tcPr>
            <w:tcW w:w="9820" w:type="dxa"/>
            <w:vAlign w:val="bottom"/>
            <w:gridSpan w:val="18"/>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XBRL tags are embedded</w:t>
            </w:r>
          </w:p>
        </w:tc>
      </w:tr>
      <w:tr>
        <w:trPr>
          <w:trHeight w:val="230"/>
        </w:trPr>
        <w:tc>
          <w:tcPr>
            <w:tcW w:w="1140" w:type="dxa"/>
            <w:vAlign w:val="bottom"/>
          </w:tcPr>
          <w:p>
            <w:pPr>
              <w:spacing w:after="0"/>
              <w:rPr>
                <w:sz w:val="20"/>
                <w:szCs w:val="20"/>
                <w:color w:val="auto"/>
              </w:rPr>
            </w:pPr>
          </w:p>
        </w:tc>
        <w:tc>
          <w:tcPr>
            <w:tcW w:w="9820" w:type="dxa"/>
            <w:vAlign w:val="bottom"/>
            <w:gridSpan w:val="18"/>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4"/>
              </w:rPr>
              <w:t>101.SCH*</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8"/>
              </w:rPr>
              <w:t>101.CAL*</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4"/>
              </w:rPr>
              <w:t>101.DEF*</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9"/>
              </w:rPr>
              <w:t>101.LAB*</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3"/>
              </w:rPr>
              <w:t>101.PRE*</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7"/>
              </w:rPr>
              <w:t>104*</w:t>
            </w:r>
          </w:p>
        </w:tc>
        <w:tc>
          <w:tcPr>
            <w:tcW w:w="9820" w:type="dxa"/>
            <w:vAlign w:val="bottom"/>
            <w:gridSpan w:val="1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left="520" w:hanging="512"/>
        <w:spacing w:after="0" w:line="263" w:lineRule="auto"/>
        <w:tabs>
          <w:tab w:leader="none" w:pos="1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76" w:lineRule="exact"/>
        <w:rPr>
          <w:sz w:val="20"/>
          <w:szCs w:val="20"/>
          <w:color w:val="auto"/>
        </w:rPr>
      </w:pPr>
    </w:p>
    <w:p>
      <w:pPr>
        <w:ind w:left="5540" w:right="1520" w:hanging="5532"/>
        <w:spacing w:after="0" w:line="778" w:lineRule="auto"/>
        <w:tabs>
          <w:tab w:leader="none" w:pos="1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required to be filed pursuant to Item 601(b)(10)(iii)(A) of Regulation S-K.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380" w:right="6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2000"/>
              <w:spacing w:after="0"/>
              <w:rPr>
                <w:sz w:val="20"/>
                <w:szCs w:val="20"/>
                <w:color w:val="auto"/>
              </w:rPr>
            </w:pPr>
            <w:r>
              <w:rPr>
                <w:rFonts w:ascii="Arial" w:cs="Arial" w:eastAsia="Arial" w:hAnsi="Arial"/>
                <w:sz w:val="18"/>
                <w:szCs w:val="18"/>
                <w:b w:val="1"/>
                <w:bCs w:val="1"/>
                <w:color w:val="auto"/>
              </w:rPr>
              <w:t>COLUMBIA CARE INC</w:t>
            </w: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Date: May 15, 2023</w:t>
            </w:r>
          </w:p>
        </w:tc>
        <w:tc>
          <w:tcPr>
            <w:tcW w:w="2360" w:type="dxa"/>
            <w:vAlign w:val="bottom"/>
          </w:tcPr>
          <w:p>
            <w:pPr>
              <w:ind w:left="200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/s/ Nicholas Vita</w:t>
            </w:r>
          </w:p>
        </w:tc>
      </w:tr>
      <w:tr>
        <w:trPr>
          <w:trHeight w:val="218"/>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Nicholas Vita</w:t>
            </w:r>
          </w:p>
        </w:tc>
      </w:tr>
      <w:tr>
        <w:trPr>
          <w:trHeight w:val="234"/>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 and Director</w:t>
            </w:r>
          </w:p>
        </w:tc>
      </w:tr>
      <w:tr>
        <w:trPr>
          <w:trHeight w:val="499"/>
        </w:trPr>
        <w:tc>
          <w:tcPr>
            <w:tcW w:w="3460" w:type="dxa"/>
            <w:vAlign w:val="bottom"/>
          </w:tcPr>
          <w:p>
            <w:pPr>
              <w:ind w:left="20"/>
              <w:spacing w:after="0"/>
              <w:rPr>
                <w:sz w:val="20"/>
                <w:szCs w:val="20"/>
                <w:color w:val="auto"/>
              </w:rPr>
            </w:pPr>
            <w:r>
              <w:rPr>
                <w:rFonts w:ascii="Arial" w:cs="Arial" w:eastAsia="Arial" w:hAnsi="Arial"/>
                <w:sz w:val="18"/>
                <w:szCs w:val="18"/>
                <w:color w:val="auto"/>
              </w:rPr>
              <w:t>Date: May 15, 2023</w:t>
            </w:r>
          </w:p>
        </w:tc>
        <w:tc>
          <w:tcPr>
            <w:tcW w:w="2360" w:type="dxa"/>
            <w:vAlign w:val="bottom"/>
          </w:tcPr>
          <w:p>
            <w:pPr>
              <w:ind w:left="200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/s/ Derek Watson</w:t>
            </w:r>
          </w:p>
        </w:tc>
      </w:tr>
      <w:tr>
        <w:trPr>
          <w:trHeight w:val="228"/>
        </w:trPr>
        <w:tc>
          <w:tcPr>
            <w:tcW w:w="3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Derek Watson</w:t>
            </w:r>
          </w:p>
        </w:tc>
      </w:tr>
      <w:tr>
        <w:trPr>
          <w:trHeight w:val="238"/>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661"/>
        </w:trPr>
        <w:tc>
          <w:tcPr>
            <w:tcW w:w="3460" w:type="dxa"/>
            <w:vAlign w:val="bottom"/>
          </w:tcPr>
          <w:p>
            <w:pPr>
              <w:spacing w:after="0"/>
              <w:rPr>
                <w:sz w:val="24"/>
                <w:szCs w:val="24"/>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54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Nicholas Vita</w:t>
      </w:r>
      <w:r>
        <w:rPr>
          <w:rFonts w:ascii="Arial" w:cs="Arial" w:eastAsia="Arial" w:hAnsi="Arial"/>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Columbia Care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400" w:val="left"/>
          <w:tab w:leader="none" w:pos="798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6"/>
          <w:szCs w:val="16"/>
          <w:b w:val="1"/>
          <w:bCs w:val="1"/>
          <w:color w:val="auto"/>
        </w:rPr>
        <w:t>Nicholas Vita</w:t>
      </w:r>
    </w:p>
    <w:p>
      <w:pPr>
        <w:spacing w:after="0" w:line="36"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Derek Watson</w:t>
      </w:r>
      <w:r>
        <w:rPr>
          <w:rFonts w:ascii="Arial" w:cs="Arial" w:eastAsia="Arial" w:hAnsi="Arial"/>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of Columbia Care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400" w:val="left"/>
          <w:tab w:leader="none" w:pos="79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44"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Derek Watson</w:t>
      </w:r>
    </w:p>
    <w:p>
      <w:pPr>
        <w:spacing w:after="0" w:line="41"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connection with the Quarterly Report of Columbia Care Inc. (the “Company”) on Form 10-Q for the period ending March 31,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540" w:val="left"/>
          <w:tab w:leader="none" w:pos="80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23495</wp:posOffset>
            </wp:positionV>
            <wp:extent cx="32918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4"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Nicholas Vita</w:t>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connection with the Quarterly Report of Columbia Care Inc. (the “Company”) on Form 10-Q for the period ending March 31,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440" w:val="left"/>
          <w:tab w:leader="none" w:pos="798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23495</wp:posOffset>
            </wp:positionV>
            <wp:extent cx="32918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4"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Derek Watson</w:t>
      </w:r>
    </w:p>
    <w:p>
      <w:pPr>
        <w:spacing w:after="0" w:line="41"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lowerRoman"/>
      <w:start w:val="2"/>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2"/>
    </w:lvl>
  </w:abstractNum>
  <w:abstractNum w:abstractNumId="10">
    <w:nsid w:val="333AB105"/>
    <w:multiLevelType w:val="hybridMultilevel"/>
    <w:lvl w:ilvl="0">
      <w:lvlJc w:val="left"/>
      <w:lvlText w:val="%1)"/>
      <w:numFmt w:val="lowerLetter"/>
      <w:start w:val="3"/>
    </w:lvl>
  </w:abstractNum>
  <w:abstractNum w:abstractNumId="11">
    <w:nsid w:val="721DA317"/>
    <w:multiLevelType w:val="hybridMultilevel"/>
    <w:lvl w:ilvl="0">
      <w:lvlJc w:val="left"/>
      <w:lvlText w:val="%1)"/>
      <w:numFmt w:val="lowerLetter"/>
      <w:start w:val="4"/>
    </w:lvl>
  </w:abstractNum>
  <w:abstractNum w:abstractNumId="12">
    <w:nsid w:val="2443A858"/>
    <w:multiLevelType w:val="hybridMultilevel"/>
    <w:lvl w:ilvl="0">
      <w:lvlJc w:val="left"/>
      <w:lvlText w:val="%1)"/>
      <w:numFmt w:val="lowerLetter"/>
      <w:start w:val="5"/>
    </w:lvl>
  </w:abstractNum>
  <w:abstractNum w:abstractNumId="13">
    <w:nsid w:val="2D1D5AE9"/>
    <w:multiLevelType w:val="hybridMultilevel"/>
    <w:lvl w:ilvl="0">
      <w:lvlJc w:val="left"/>
      <w:lvlText w:val="%1)"/>
      <w:numFmt w:val="lowerLetter"/>
      <w:start w:val="6"/>
    </w:lvl>
  </w:abstractNum>
  <w:abstractNum w:abstractNumId="14">
    <w:nsid w:val="6763845E"/>
    <w:multiLevelType w:val="hybridMultilevel"/>
    <w:lvl w:ilvl="0">
      <w:lvlJc w:val="left"/>
      <w:lvlText w:val="%1."/>
      <w:numFmt w:val="decimal"/>
      <w:start w:val="6"/>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decimal"/>
      <w:start w:val="8"/>
    </w:lvl>
  </w:abstractNum>
  <w:abstractNum w:abstractNumId="17">
    <w:nsid w:val="79838CB2"/>
    <w:multiLevelType w:val="hybridMultilevel"/>
    <w:lvl w:ilvl="0">
      <w:lvlJc w:val="left"/>
      <w:lvlText w:val="%1."/>
      <w:numFmt w:val="decimal"/>
      <w:start w:val="9"/>
    </w:lvl>
  </w:abstractNum>
  <w:abstractNum w:abstractNumId="18">
    <w:nsid w:val="4353D0CD"/>
    <w:multiLevelType w:val="hybridMultilevel"/>
    <w:lvl w:ilvl="0">
      <w:lvlJc w:val="left"/>
      <w:lvlText w:val="%1."/>
      <w:numFmt w:val="decimal"/>
      <w:start w:val="10"/>
    </w:lvl>
    <w:lvl w:ilvl="1">
      <w:lvlJc w:val="left"/>
      <w:lvlText w:val="•"/>
      <w:numFmt w:val="bullet"/>
      <w:start w:val="1"/>
    </w:lvl>
  </w:abstractNum>
  <w:abstractNum w:abstractNumId="19">
    <w:nsid w:val="B03E0C6"/>
    <w:multiLevelType w:val="hybridMultilevel"/>
    <w:lvl w:ilvl="0">
      <w:lvlJc w:val="left"/>
      <w:lvlText w:val="%1."/>
      <w:numFmt w:val="decimal"/>
      <w:start w:val="12"/>
    </w:lvl>
  </w:abstractNum>
  <w:abstractNum w:abstractNumId="20">
    <w:nsid w:val="189A769B"/>
    <w:multiLevelType w:val="hybridMultilevel"/>
    <w:lvl w:ilvl="0">
      <w:lvlJc w:val="left"/>
      <w:lvlText w:val="%1."/>
      <w:numFmt w:val="decimal"/>
      <w:start w:val="13"/>
    </w:lvl>
  </w:abstractNum>
  <w:abstractNum w:abstractNumId="21">
    <w:nsid w:val="54E49EB4"/>
    <w:multiLevelType w:val="hybridMultilevel"/>
    <w:lvl w:ilvl="0">
      <w:lvlJc w:val="left"/>
      <w:lvlText w:val="%1."/>
      <w:numFmt w:val="decimal"/>
      <w:start w:val="14"/>
    </w:lvl>
  </w:abstractNum>
  <w:abstractNum w:abstractNumId="22">
    <w:nsid w:val="71F32454"/>
    <w:multiLevelType w:val="hybridMultilevel"/>
    <w:lvl w:ilvl="0">
      <w:lvlJc w:val="left"/>
      <w:lvlText w:val="%1."/>
      <w:numFmt w:val="decimal"/>
      <w:start w:val="15"/>
    </w:lvl>
  </w:abstractNum>
  <w:abstractNum w:abstractNumId="23">
    <w:nsid w:val="2CA88611"/>
    <w:multiLevelType w:val="hybridMultilevel"/>
    <w:lvl w:ilvl="0">
      <w:lvlJc w:val="left"/>
      <w:lvlText w:val="%1."/>
      <w:numFmt w:val="decimal"/>
      <w:start w:val="16"/>
    </w:lvl>
  </w:abstractNum>
  <w:abstractNum w:abstractNumId="24">
    <w:nsid w:val="836C40E"/>
    <w:multiLevelType w:val="hybridMultilevel"/>
    <w:lvl w:ilvl="0">
      <w:lvlJc w:val="left"/>
      <w:lvlText w:val="%1."/>
      <w:numFmt w:val="decimal"/>
      <w:start w:val="17"/>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46" Type="http://schemas.openxmlformats.org/officeDocument/2006/relationships/hyperlink" Target="https://www.sec.gov/Archives/edgar/data/1776738/000119312522088069/d292116dex21.htm" TargetMode="External"/><Relationship Id="rId147" Type="http://schemas.openxmlformats.org/officeDocument/2006/relationships/hyperlink" Target="https://www.sec.gov/Archives/edgar/data/1776738/000119312521356939/d252333dex31.htm" TargetMode="External"/><Relationship Id="rId148" Type="http://schemas.openxmlformats.org/officeDocument/2006/relationships/hyperlink" Target="https://www.sec.gov/Archives/edgar/data/1776738/000119312521356939/d252333dex41.htm" TargetMode="External"/><Relationship Id="rId149" Type="http://schemas.openxmlformats.org/officeDocument/2006/relationships/hyperlink" Target="https://www.sec.gov/Archives/edgar/data/1776738/000119312521356939/d252333dex42.htm" TargetMode="External"/><Relationship Id="rId150" Type="http://schemas.openxmlformats.org/officeDocument/2006/relationships/hyperlink" Target="https://www.sec.gov/Archives/edgar/data/1776738/000119312521356939/d252333dex43.htm" TargetMode="External"/><Relationship Id="rId151" Type="http://schemas.openxmlformats.org/officeDocument/2006/relationships/hyperlink" Target="https://www.sec.gov/Archives/edgar/data/1776738/000119312521356939/d252333dex44.htm" TargetMode="External"/><Relationship Id="rId152" Type="http://schemas.openxmlformats.org/officeDocument/2006/relationships/hyperlink" Target="https://www.sec.gov/Archives/edgar/data/1776738/000119312521356939/d252333dex45.htm" TargetMode="External"/><Relationship Id="rId153" Type="http://schemas.openxmlformats.org/officeDocument/2006/relationships/hyperlink" Target="https://www.sec.gov/Archives/edgar/data/1776738/000119312521356939/d252333dex46.htm" TargetMode="External"/><Relationship Id="rId154" Type="http://schemas.openxmlformats.org/officeDocument/2006/relationships/hyperlink" Target="https://www.sec.gov/Archives/edgar/data/1776738/000119312521356939/d252333dex47.htm" TargetMode="External"/><Relationship Id="rId155" Type="http://schemas.openxmlformats.org/officeDocument/2006/relationships/hyperlink" Target="https://www.sec.gov/Archives/edgar/data/1776738/000119312521356939/d252333dex48.htm" TargetMode="External"/><Relationship Id="rId158" Type="http://schemas.openxmlformats.org/officeDocument/2006/relationships/hyperlink" Target="https://www.sec.gov/Archives/edgar/data/1776738/000119312521356939/d252333dex49.htm" TargetMode="External"/><Relationship Id="rId159" Type="http://schemas.openxmlformats.org/officeDocument/2006/relationships/hyperlink" Target="https://www.sec.gov/Archives/edgar/data/1776738/000119312522021793/d252333dex410.htm" TargetMode="External"/><Relationship Id="rId160" Type="http://schemas.openxmlformats.org/officeDocument/2006/relationships/hyperlink" Target="https://www.sec.gov/Archives/edgar/data/1776738/000119312522043452/d252333dex411.htm" TargetMode="External"/><Relationship Id="rId161" Type="http://schemas.openxmlformats.org/officeDocument/2006/relationships/hyperlink" Target="https://www.sec.gov/Archives/edgar/data/1776738/000119312522043452/d252333dex412.htm" TargetMode="External"/><Relationship Id="rId162" Type="http://schemas.openxmlformats.org/officeDocument/2006/relationships/hyperlink" Target="https://www.sec.gov/Archives/edgar/data/1776738/000119312522147204/d315456dex41.htm" TargetMode="External"/><Relationship Id="rId163" Type="http://schemas.openxmlformats.org/officeDocument/2006/relationships/hyperlink" Target="https://www.sec.gov/Archives/edgar/data/1776738/000095017023010606/cchwf-ex4_14.htm" TargetMode="External"/><Relationship Id="rId164" Type="http://schemas.openxmlformats.org/officeDocument/2006/relationships/hyperlink" Target="https://www.sec.gov/Archives/edgar/data/1776738/000095017023010606/cchwf-ex10_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2023-05-15T11:08:12Z</dcterms:created>
  <dcterms:modified xsi:type="dcterms:W3CDTF">2023-05-15T11:08:12Z</dcterms:modified>
</cp:coreProperties>
</file>