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565785</wp:posOffset>
            </wp:positionV>
            <wp:extent cx="703770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3770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591820</wp:posOffset>
            </wp:positionV>
            <wp:extent cx="703770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3770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ind w:left="30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w:t>
      </w:r>
    </w:p>
    <w:p>
      <w:pPr>
        <w:spacing w:after="0" w:line="9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31" w:lineRule="exact"/>
        <w:rPr>
          <w:sz w:val="24"/>
          <w:szCs w:val="24"/>
          <w:color w:val="auto"/>
        </w:rPr>
      </w:pPr>
    </w:p>
    <w:p>
      <w:pPr>
        <w:ind w:left="30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w:t>
      </w:r>
    </w:p>
    <w:p>
      <w:pPr>
        <w:spacing w:after="0" w:line="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63" w:lineRule="exact"/>
        <w:rPr>
          <w:sz w:val="24"/>
          <w:szCs w:val="24"/>
          <w:color w:val="auto"/>
        </w:rPr>
      </w:pPr>
    </w:p>
    <w:p>
      <w:pPr>
        <w:ind w:left="3660" w:right="1640" w:hanging="3634"/>
        <w:spacing w:after="0" w:line="375" w:lineRule="auto"/>
        <w:tabs>
          <w:tab w:leader="none" w:pos="463" w:val="left"/>
        </w:tabs>
        <w:numPr>
          <w:ilvl w:val="0"/>
          <w:numId w:val="1"/>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30, 2024</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63" w:lineRule="exact"/>
        <w:rPr>
          <w:sz w:val="24"/>
          <w:szCs w:val="24"/>
          <w:color w:val="auto"/>
        </w:rPr>
      </w:pPr>
    </w:p>
    <w:p>
      <w:pPr>
        <w:ind w:left="460" w:hanging="434"/>
        <w:spacing w:after="0"/>
        <w:tabs>
          <w:tab w:leader="none" w:pos="460" w:val="left"/>
        </w:tabs>
        <w:numPr>
          <w:ilvl w:val="0"/>
          <w:numId w:val="2"/>
        </w:numPr>
        <w:rPr>
          <w:rFonts w:ascii="Wingdings" w:cs="Wingdings" w:eastAsia="Wingdings" w:hAnsi="Wingdings"/>
          <w:sz w:val="17"/>
          <w:szCs w:val="17"/>
          <w:b w:val="1"/>
          <w:bCs w:val="1"/>
          <w:color w:val="auto"/>
          <w:highlight w:val="black"/>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223"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For the transition period from __to __</w:t>
      </w:r>
    </w:p>
    <w:p>
      <w:pPr>
        <w:spacing w:after="0" w:line="117"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000-56294</w:t>
      </w:r>
    </w:p>
    <w:p>
      <w:pPr>
        <w:spacing w:after="0" w:line="31" w:lineRule="exact"/>
        <w:rPr>
          <w:sz w:val="24"/>
          <w:szCs w:val="24"/>
          <w:color w:val="auto"/>
        </w:rPr>
      </w:pPr>
    </w:p>
    <w:p>
      <w:pPr>
        <w:ind w:left="30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2628265</wp:posOffset>
            </wp:positionH>
            <wp:positionV relativeFrom="paragraph">
              <wp:posOffset>211455</wp:posOffset>
            </wp:positionV>
            <wp:extent cx="1885950" cy="4114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85950" cy="4114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CANNABIST COMPANY HOLDINGS INC.</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9" w:lineRule="exact"/>
        <w:rPr>
          <w:sz w:val="24"/>
          <w:szCs w:val="24"/>
          <w:color w:val="auto"/>
        </w:rPr>
      </w:pPr>
    </w:p>
    <w:p>
      <w:pPr>
        <w:ind w:left="30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w:t>
      </w:r>
    </w:p>
    <w:p>
      <w:pPr>
        <w:spacing w:after="0" w:line="149" w:lineRule="exact"/>
        <w:rPr>
          <w:sz w:val="24"/>
          <w:szCs w:val="24"/>
          <w:color w:val="auto"/>
        </w:rPr>
      </w:pPr>
    </w:p>
    <w:p>
      <w:pPr>
        <w:ind w:left="1500"/>
        <w:spacing w:after="0"/>
        <w:tabs>
          <w:tab w:leader="none" w:pos="8440" w:val="left"/>
        </w:tabs>
        <w:rPr>
          <w:sz w:val="20"/>
          <w:szCs w:val="20"/>
          <w:color w:val="auto"/>
        </w:rPr>
      </w:pPr>
      <w:r>
        <w:rPr>
          <w:rFonts w:ascii="Times New Roman" w:cs="Times New Roman" w:eastAsia="Times New Roman" w:hAnsi="Times New Roman"/>
          <w:sz w:val="18"/>
          <w:szCs w:val="18"/>
          <w:b w:val="1"/>
          <w:bCs w:val="1"/>
          <w:color w:val="auto"/>
        </w:rPr>
        <w:t>British Columbia</w:t>
      </w:r>
      <w:r>
        <w:rPr>
          <w:sz w:val="20"/>
          <w:szCs w:val="20"/>
          <w:color w:val="auto"/>
        </w:rPr>
        <w:tab/>
      </w:r>
      <w:r>
        <w:rPr>
          <w:rFonts w:ascii="Times New Roman" w:cs="Times New Roman" w:eastAsia="Times New Roman" w:hAnsi="Times New Roman"/>
          <w:sz w:val="18"/>
          <w:szCs w:val="18"/>
          <w:b w:val="1"/>
          <w:bCs w:val="1"/>
          <w:color w:val="auto"/>
        </w:rPr>
        <w:t>98-1488978</w:t>
      </w:r>
    </w:p>
    <w:p>
      <w:pPr>
        <w:sectPr>
          <w:pgSz w:w="11900" w:h="16838" w:orient="portrait"/>
          <w:cols w:equalWidth="0" w:num="1">
            <w:col w:w="11240"/>
          </w:cols>
          <w:pgMar w:left="320" w:top="229" w:right="339" w:bottom="906" w:gutter="0" w:footer="0" w:header="0"/>
        </w:sectPr>
      </w:pPr>
    </w:p>
    <w:p>
      <w:pPr>
        <w:spacing w:after="0" w:line="50" w:lineRule="exact"/>
        <w:rPr>
          <w:sz w:val="24"/>
          <w:szCs w:val="24"/>
          <w:color w:val="auto"/>
        </w:rPr>
      </w:pPr>
    </w:p>
    <w:p>
      <w:pPr>
        <w:ind w:left="106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p>
      <w:pPr>
        <w:spacing w:after="0" w:line="20" w:lineRule="exact"/>
        <w:rPr>
          <w:sz w:val="24"/>
          <w:szCs w:val="24"/>
          <w:color w:val="auto"/>
        </w:rPr>
      </w:pPr>
    </w:p>
    <w:p>
      <w:pPr>
        <w:ind w:left="1000"/>
        <w:spacing w:after="0"/>
        <w:rPr>
          <w:sz w:val="20"/>
          <w:szCs w:val="20"/>
          <w:color w:val="auto"/>
        </w:rPr>
      </w:pPr>
      <w:r>
        <w:rPr>
          <w:rFonts w:ascii="Times New Roman" w:cs="Times New Roman" w:eastAsia="Times New Roman" w:hAnsi="Times New Roman"/>
          <w:sz w:val="17"/>
          <w:szCs w:val="17"/>
          <w:b w:val="1"/>
          <w:bCs w:val="1"/>
          <w:color w:val="auto"/>
        </w:rPr>
        <w:t>incorporation or organization)</w:t>
      </w:r>
    </w:p>
    <w:p>
      <w:pPr>
        <w:spacing w:after="0" w:line="334" w:lineRule="exact"/>
        <w:rPr>
          <w:sz w:val="24"/>
          <w:szCs w:val="24"/>
          <w:color w:val="auto"/>
        </w:rPr>
      </w:pPr>
    </w:p>
    <w:p>
      <w:pPr>
        <w:jc w:val="center"/>
        <w:ind w:right="3140"/>
        <w:spacing w:after="0"/>
        <w:rPr>
          <w:sz w:val="20"/>
          <w:szCs w:val="20"/>
          <w:color w:val="auto"/>
        </w:rPr>
      </w:pPr>
      <w:r>
        <w:rPr>
          <w:rFonts w:ascii="Times New Roman" w:cs="Times New Roman" w:eastAsia="Times New Roman" w:hAnsi="Times New Roman"/>
          <w:sz w:val="18"/>
          <w:szCs w:val="18"/>
          <w:b w:val="1"/>
          <w:bCs w:val="1"/>
          <w:color w:val="auto"/>
        </w:rPr>
        <w:t>680 Fifth Ave., 24th Floor</w:t>
      </w:r>
    </w:p>
    <w:p>
      <w:pPr>
        <w:spacing w:after="0" w:line="31" w:lineRule="exact"/>
        <w:rPr>
          <w:sz w:val="24"/>
          <w:szCs w:val="24"/>
          <w:color w:val="auto"/>
        </w:rPr>
      </w:pPr>
    </w:p>
    <w:p>
      <w:pPr>
        <w:jc w:val="center"/>
        <w:ind w:right="3140"/>
        <w:spacing w:after="0"/>
        <w:rPr>
          <w:sz w:val="20"/>
          <w:szCs w:val="20"/>
          <w:color w:val="auto"/>
        </w:rPr>
      </w:pPr>
      <w:r>
        <w:rPr>
          <w:rFonts w:ascii="Times New Roman" w:cs="Times New Roman" w:eastAsia="Times New Roman" w:hAnsi="Times New Roman"/>
          <w:sz w:val="18"/>
          <w:szCs w:val="18"/>
          <w:b w:val="1"/>
          <w:bCs w:val="1"/>
          <w:color w:val="auto"/>
        </w:rPr>
        <w:t>New York, New York</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(I.R.S. Employer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Identification No.)</w:t>
      </w:r>
    </w:p>
    <w:p>
      <w:pPr>
        <w:spacing w:after="0" w:line="321" w:lineRule="exact"/>
        <w:rPr>
          <w:sz w:val="24"/>
          <w:szCs w:val="24"/>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10019</w:t>
      </w:r>
    </w:p>
    <w:p>
      <w:pPr>
        <w:spacing w:after="0" w:line="265" w:lineRule="exact"/>
        <w:rPr>
          <w:sz w:val="24"/>
          <w:szCs w:val="24"/>
          <w:color w:val="auto"/>
        </w:rPr>
      </w:pPr>
    </w:p>
    <w:p>
      <w:pPr>
        <w:sectPr>
          <w:pgSz w:w="11900" w:h="16838" w:orient="portrait"/>
          <w:cols w:equalWidth="0" w:num="2">
            <w:col w:w="7480" w:space="720"/>
            <w:col w:w="3040"/>
          </w:cols>
          <w:pgMar w:left="320" w:top="229" w:right="339" w:bottom="906" w:gutter="0" w:footer="0" w:header="0"/>
          <w:type w:val="continuous"/>
        </w:sectPr>
      </w:pPr>
    </w:p>
    <w:tbl>
      <w:tblPr>
        <w:tblLayout w:type="fixed"/>
        <w:tblInd w:w="0" w:type="dxa"/>
        <w:tblCellMar>
          <w:top w:w="0" w:type="dxa"/>
          <w:left w:w="0" w:type="dxa"/>
          <w:bottom w:w="0" w:type="dxa"/>
          <w:right w:w="0" w:type="dxa"/>
        </w:tblCellMar>
      </w:tblPr>
      <w:tr>
        <w:trPr>
          <w:trHeight w:val="238"/>
        </w:trPr>
        <w:tc>
          <w:tcPr>
            <w:tcW w:w="6740" w:type="dxa"/>
            <w:vAlign w:val="bottom"/>
            <w:gridSpan w:val="5"/>
          </w:tcPr>
          <w:p>
            <w:pPr>
              <w:jc w:val="center"/>
              <w:ind w:right="240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4500" w:type="dxa"/>
            <w:vAlign w:val="bottom"/>
          </w:tcPr>
          <w:p>
            <w:pPr>
              <w:ind w:left="1740"/>
              <w:spacing w:after="0"/>
              <w:rPr>
                <w:sz w:val="20"/>
                <w:szCs w:val="20"/>
                <w:color w:val="auto"/>
              </w:rPr>
            </w:pPr>
            <w:r>
              <w:rPr>
                <w:rFonts w:ascii="Times New Roman" w:cs="Times New Roman" w:eastAsia="Times New Roman" w:hAnsi="Times New Roman"/>
                <w:sz w:val="18"/>
                <w:szCs w:val="18"/>
                <w:b w:val="1"/>
                <w:bCs w:val="1"/>
                <w:color w:val="auto"/>
              </w:rPr>
              <w:t>(Zip Code)</w:t>
            </w:r>
          </w:p>
        </w:tc>
      </w:tr>
      <w:tr>
        <w:trPr>
          <w:trHeight w:val="373"/>
        </w:trPr>
        <w:tc>
          <w:tcPr>
            <w:tcW w:w="2940" w:type="dxa"/>
            <w:vAlign w:val="bottom"/>
          </w:tcPr>
          <w:p>
            <w:pPr>
              <w:spacing w:after="0"/>
              <w:rPr>
                <w:sz w:val="24"/>
                <w:szCs w:val="24"/>
                <w:color w:val="auto"/>
              </w:rPr>
            </w:pPr>
          </w:p>
        </w:tc>
        <w:tc>
          <w:tcPr>
            <w:tcW w:w="830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(212) 634-7100</w:t>
            </w:r>
          </w:p>
        </w:tc>
      </w:tr>
      <w:tr>
        <w:trPr>
          <w:trHeight w:val="234"/>
        </w:trPr>
        <w:tc>
          <w:tcPr>
            <w:tcW w:w="2940" w:type="dxa"/>
            <w:vAlign w:val="bottom"/>
          </w:tcPr>
          <w:p>
            <w:pPr>
              <w:spacing w:after="0"/>
              <w:rPr>
                <w:sz w:val="20"/>
                <w:szCs w:val="20"/>
                <w:color w:val="auto"/>
              </w:rPr>
            </w:pPr>
          </w:p>
        </w:tc>
        <w:tc>
          <w:tcPr>
            <w:tcW w:w="830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w:t>
            </w:r>
          </w:p>
        </w:tc>
      </w:tr>
      <w:tr>
        <w:trPr>
          <w:trHeight w:val="324"/>
        </w:trPr>
        <w:tc>
          <w:tcPr>
            <w:tcW w:w="6740" w:type="dxa"/>
            <w:vAlign w:val="bottom"/>
            <w:gridSpan w:val="5"/>
          </w:tcPr>
          <w:p>
            <w:pPr>
              <w:ind w:left="130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 None</w:t>
            </w:r>
          </w:p>
        </w:tc>
        <w:tc>
          <w:tcPr>
            <w:tcW w:w="4500" w:type="dxa"/>
            <w:vAlign w:val="bottom"/>
          </w:tcPr>
          <w:p>
            <w:pPr>
              <w:spacing w:after="0"/>
              <w:rPr>
                <w:sz w:val="24"/>
                <w:szCs w:val="24"/>
                <w:color w:val="auto"/>
              </w:rPr>
            </w:pPr>
          </w:p>
        </w:tc>
      </w:tr>
      <w:tr>
        <w:trPr>
          <w:trHeight w:val="342"/>
        </w:trPr>
        <w:tc>
          <w:tcPr>
            <w:tcW w:w="29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4500" w:type="dxa"/>
            <w:vAlign w:val="bottom"/>
          </w:tcPr>
          <w:p>
            <w:pPr>
              <w:spacing w:after="0"/>
              <w:rPr>
                <w:sz w:val="24"/>
                <w:szCs w:val="24"/>
                <w:color w:val="auto"/>
              </w:rPr>
            </w:pPr>
          </w:p>
        </w:tc>
      </w:tr>
      <w:tr>
        <w:trPr>
          <w:trHeight w:val="259"/>
        </w:trPr>
        <w:tc>
          <w:tcPr>
            <w:tcW w:w="2940" w:type="dxa"/>
            <w:vAlign w:val="bottom"/>
            <w:tcBorders>
              <w:bottom w:val="single" w:sz="8" w:color="auto"/>
            </w:tcBorders>
          </w:tcPr>
          <w:p>
            <w:pPr>
              <w:jc w:val="center"/>
              <w:ind w:left="129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38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100" w:type="dxa"/>
            <w:vAlign w:val="bottom"/>
          </w:tcPr>
          <w:p>
            <w:pPr>
              <w:spacing w:after="0"/>
              <w:rPr>
                <w:sz w:val="22"/>
                <w:szCs w:val="22"/>
                <w:color w:val="auto"/>
              </w:rPr>
            </w:pPr>
          </w:p>
        </w:tc>
        <w:tc>
          <w:tcPr>
            <w:tcW w:w="450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bl>
    <w:p>
      <w:pPr>
        <w:spacing w:after="0" w:line="171" w:lineRule="exact"/>
        <w:rPr>
          <w:sz w:val="24"/>
          <w:szCs w:val="24"/>
          <w:color w:val="auto"/>
        </w:rPr>
      </w:pPr>
    </w:p>
    <w:p>
      <w:pPr>
        <w:ind w:right="360" w:firstLine="1296"/>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4" w:lineRule="exact"/>
        <w:rPr>
          <w:sz w:val="24"/>
          <w:szCs w:val="24"/>
          <w:color w:val="auto"/>
        </w:rPr>
      </w:pPr>
    </w:p>
    <w:p>
      <w:pPr>
        <w:ind w:right="140" w:firstLine="1296"/>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4" w:lineRule="exact"/>
        <w:rPr>
          <w:sz w:val="24"/>
          <w:szCs w:val="24"/>
          <w:color w:val="auto"/>
        </w:rPr>
      </w:pPr>
    </w:p>
    <w:p>
      <w:pPr>
        <w:ind w:right="60" w:firstLine="1296"/>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4" w:lineRule="exact"/>
        <w:rPr>
          <w:sz w:val="24"/>
          <w:szCs w:val="24"/>
          <w:color w:val="auto"/>
        </w:rPr>
      </w:pPr>
    </w:p>
    <w:tbl>
      <w:tblPr>
        <w:tblLayout w:type="fixed"/>
        <w:tblInd w:w="20" w:type="dxa"/>
        <w:tblCellMar>
          <w:top w:w="0" w:type="dxa"/>
          <w:left w:w="0" w:type="dxa"/>
          <w:bottom w:w="0" w:type="dxa"/>
          <w:right w:w="0" w:type="dxa"/>
        </w:tblCellMar>
      </w:tblPr>
      <w:tr>
        <w:trPr>
          <w:trHeight w:val="234"/>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840" w:type="dxa"/>
            <w:vAlign w:val="bottom"/>
          </w:tcPr>
          <w:p>
            <w:pPr>
              <w:jc w:val="right"/>
              <w:ind w:right="1890"/>
              <w:spacing w:after="0"/>
              <w:rPr>
                <w:sz w:val="20"/>
                <w:szCs w:val="20"/>
                <w:color w:val="auto"/>
              </w:rPr>
            </w:pPr>
            <w:r>
              <w:rPr>
                <w:rFonts w:ascii="Wingdings" w:cs="Wingdings" w:eastAsia="Wingdings" w:hAnsi="Wingdings"/>
                <w:sz w:val="18"/>
                <w:szCs w:val="18"/>
                <w:b w:val="1"/>
                <w:bCs w:val="1"/>
                <w:color w:val="auto"/>
              </w:rPr>
              <w:t>o</w:t>
            </w:r>
          </w:p>
        </w:tc>
        <w:tc>
          <w:tcPr>
            <w:tcW w:w="464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Accelerated filer</w:t>
            </w:r>
          </w:p>
        </w:tc>
        <w:tc>
          <w:tcPr>
            <w:tcW w:w="860" w:type="dxa"/>
            <w:vAlign w:val="bottom"/>
          </w:tcPr>
          <w:p>
            <w:pPr>
              <w:jc w:val="right"/>
              <w:spacing w:after="0"/>
              <w:rPr>
                <w:sz w:val="20"/>
                <w:szCs w:val="20"/>
                <w:color w:val="auto"/>
              </w:rPr>
            </w:pPr>
            <w:r>
              <w:rPr>
                <w:rFonts w:ascii="Wingdings" w:cs="Wingdings" w:eastAsia="Wingdings" w:hAnsi="Wingdings"/>
                <w:sz w:val="18"/>
                <w:szCs w:val="18"/>
                <w:b w:val="1"/>
                <w:bCs w:val="1"/>
                <w:color w:val="auto"/>
              </w:rPr>
              <w:t>x</w:t>
            </w:r>
          </w:p>
        </w:tc>
      </w:tr>
      <w:tr>
        <w:trPr>
          <w:trHeight w:val="364"/>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840" w:type="dxa"/>
            <w:vAlign w:val="bottom"/>
          </w:tcPr>
          <w:p>
            <w:pPr>
              <w:jc w:val="right"/>
              <w:ind w:right="1890"/>
              <w:spacing w:after="0"/>
              <w:rPr>
                <w:sz w:val="20"/>
                <w:szCs w:val="20"/>
                <w:color w:val="auto"/>
              </w:rPr>
            </w:pPr>
            <w:r>
              <w:rPr>
                <w:rFonts w:ascii="Wingdings" w:cs="Wingdings" w:eastAsia="Wingdings" w:hAnsi="Wingdings"/>
                <w:sz w:val="18"/>
                <w:szCs w:val="18"/>
                <w:b w:val="1"/>
                <w:bCs w:val="1"/>
                <w:color w:val="auto"/>
              </w:rPr>
              <w:t>o</w:t>
            </w:r>
          </w:p>
        </w:tc>
        <w:tc>
          <w:tcPr>
            <w:tcW w:w="464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860" w:type="dxa"/>
            <w:vAlign w:val="bottom"/>
          </w:tcPr>
          <w:p>
            <w:pPr>
              <w:jc w:val="right"/>
              <w:spacing w:after="0"/>
              <w:rPr>
                <w:sz w:val="20"/>
                <w:szCs w:val="20"/>
                <w:color w:val="auto"/>
              </w:rPr>
            </w:pPr>
            <w:r>
              <w:rPr>
                <w:rFonts w:ascii="Wingdings" w:cs="Wingdings" w:eastAsia="Wingdings" w:hAnsi="Wingdings"/>
                <w:sz w:val="18"/>
                <w:szCs w:val="18"/>
                <w:b w:val="1"/>
                <w:bCs w:val="1"/>
                <w:color w:val="auto"/>
              </w:rPr>
              <w:t>o</w:t>
            </w:r>
          </w:p>
        </w:tc>
      </w:tr>
      <w:tr>
        <w:trPr>
          <w:trHeight w:val="365"/>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2840" w:type="dxa"/>
            <w:vAlign w:val="bottom"/>
          </w:tcPr>
          <w:p>
            <w:pPr>
              <w:jc w:val="right"/>
              <w:ind w:right="1890"/>
              <w:spacing w:after="0"/>
              <w:rPr>
                <w:sz w:val="20"/>
                <w:szCs w:val="20"/>
                <w:color w:val="auto"/>
              </w:rPr>
            </w:pPr>
            <w:r>
              <w:rPr>
                <w:rFonts w:ascii="Wingdings" w:cs="Wingdings" w:eastAsia="Wingdings" w:hAnsi="Wingdings"/>
                <w:sz w:val="18"/>
                <w:szCs w:val="18"/>
                <w:b w:val="1"/>
                <w:bCs w:val="1"/>
                <w:color w:val="auto"/>
              </w:rPr>
              <w:t>x</w:t>
            </w:r>
          </w:p>
        </w:tc>
        <w:tc>
          <w:tcPr>
            <w:tcW w:w="464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pacing w:after="0" w:line="144" w:lineRule="exact"/>
        <w:rPr>
          <w:sz w:val="24"/>
          <w:szCs w:val="24"/>
          <w:color w:val="auto"/>
        </w:rPr>
      </w:pPr>
    </w:p>
    <w:p>
      <w:pPr>
        <w:ind w:right="700" w:firstLine="1296"/>
        <w:spacing w:after="0" w:line="281"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1"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p>
    <w:p>
      <w:pPr>
        <w:spacing w:after="0" w:line="63" w:lineRule="exact"/>
        <w:rPr>
          <w:sz w:val="24"/>
          <w:szCs w:val="24"/>
          <w:color w:val="auto"/>
        </w:rPr>
      </w:pPr>
    </w:p>
    <w:p>
      <w:pPr>
        <w:ind w:right="200" w:firstLine="1296"/>
        <w:spacing w:after="0" w:line="281"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8"/>
          <w:szCs w:val="18"/>
          <w:color w:val="auto"/>
        </w:rPr>
        <w:t>As of November 4, 2024, there were 464,977,620 shares of common stock, no par value per share (the “Common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827405</wp:posOffset>
            </wp:positionV>
            <wp:extent cx="7157720" cy="184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18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163195</wp:posOffset>
            </wp:positionV>
            <wp:extent cx="70377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3770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188595</wp:posOffset>
            </wp:positionV>
            <wp:extent cx="70377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37705" cy="8255"/>
                    </a:xfrm>
                    <a:prstGeom prst="rect">
                      <a:avLst/>
                    </a:prstGeom>
                    <a:noFill/>
                  </pic:spPr>
                </pic:pic>
              </a:graphicData>
            </a:graphic>
          </wp:anchor>
        </w:drawing>
      </w:r>
    </w:p>
    <w:p>
      <w:pPr>
        <w:sectPr>
          <w:pgSz w:w="11900" w:h="16838" w:orient="portrait"/>
          <w:cols w:equalWidth="0" w:num="1">
            <w:col w:w="11240"/>
          </w:cols>
          <w:pgMar w:left="320" w:top="229" w:right="339" w:bottom="906"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560" w:type="dxa"/>
            <w:vAlign w:val="bottom"/>
            <w:gridSpan w:val="8"/>
          </w:tcPr>
          <w:p>
            <w:pPr>
              <w:ind w:left="2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0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83"/>
        </w:trPr>
        <w:tc>
          <w:tcPr>
            <w:tcW w:w="2940" w:type="dxa"/>
            <w:vAlign w:val="bottom"/>
            <w:tcBorders>
              <w:bottom w:val="single" w:sz="8" w:color="0000FF"/>
            </w:tcBorders>
            <w:gridSpan w:val="8"/>
          </w:tcPr>
          <w:p>
            <w:pPr>
              <w:spacing w:after="0" w:line="182" w:lineRule="exact"/>
              <w:rPr>
                <w:sz w:val="20"/>
                <w:szCs w:val="20"/>
                <w:color w:val="auto"/>
              </w:rPr>
            </w:pPr>
            <w:r>
              <w:rPr>
                <w:rFonts w:ascii="Times New Roman" w:cs="Times New Roman" w:eastAsia="Times New Roman" w:hAnsi="Times New Roman"/>
                <w:sz w:val="18"/>
                <w:szCs w:val="18"/>
                <w:color w:val="0000FF"/>
                <w:w w:val="97"/>
              </w:rPr>
              <w:t>FORWARD-LOOKING STATEMENTS</w:t>
            </w:r>
          </w:p>
        </w:tc>
        <w:tc>
          <w:tcPr>
            <w:tcW w:w="7260" w:type="dxa"/>
            <w:vAlign w:val="bottom"/>
            <w:gridSpan w:val="11"/>
          </w:tcPr>
          <w:p>
            <w:pPr>
              <w:spacing w:after="0"/>
              <w:rPr>
                <w:sz w:val="15"/>
                <w:szCs w:val="15"/>
                <w:color w:val="auto"/>
              </w:rPr>
            </w:pPr>
          </w:p>
        </w:tc>
        <w:tc>
          <w:tcPr>
            <w:tcW w:w="102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4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06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FINANCIAL INFORMATION</w:t>
            </w: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06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Financial Statements (Unaudited)</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060" w:type="dxa"/>
            <w:vAlign w:val="bottom"/>
            <w:gridSpan w:val="17"/>
          </w:tcPr>
          <w:p>
            <w:pPr>
              <w:spacing w:after="0" w:line="194" w:lineRule="exact"/>
              <w:rPr>
                <w:sz w:val="20"/>
                <w:szCs w:val="20"/>
                <w:color w:val="auto"/>
              </w:rPr>
            </w:pPr>
            <w:r>
              <w:rPr>
                <w:rFonts w:ascii="Times New Roman" w:cs="Times New Roman" w:eastAsia="Times New Roman" w:hAnsi="Times New Roman"/>
                <w:sz w:val="18"/>
                <w:szCs w:val="18"/>
                <w:color w:val="0000FF"/>
              </w:rPr>
              <w:t>Condensed Consolidated Interim Balance Sheets</w:t>
            </w:r>
          </w:p>
        </w:tc>
        <w:tc>
          <w:tcPr>
            <w:tcW w:w="10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10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Condensed Consolidated Interim Statements of Operations and Comprehensive Loss</w:t>
            </w:r>
          </w:p>
        </w:tc>
        <w:tc>
          <w:tcPr>
            <w:tcW w:w="2960" w:type="dxa"/>
            <w:vAlign w:val="bottom"/>
            <w:gridSpan w:val="2"/>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78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Condensed Consolidated Interim Statements of Changes in Equity</w:t>
            </w:r>
          </w:p>
        </w:tc>
        <w:tc>
          <w:tcPr>
            <w:tcW w:w="4280" w:type="dxa"/>
            <w:vAlign w:val="bottom"/>
            <w:gridSpan w:val="3"/>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Interim Statements of Cash Flows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96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Notes to Condensed Consolidated Interim Financial Statements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6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700" w:type="dxa"/>
            <w:vAlign w:val="bottom"/>
            <w:gridSpan w:val="5"/>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90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1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720" w:type="dxa"/>
            <w:vAlign w:val="bottom"/>
            <w:gridSpan w:val="6"/>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gridSpan w:val="2"/>
            <w:vMerge w:val="continue"/>
          </w:tcPr>
          <w:p>
            <w:pPr>
              <w:spacing w:after="0"/>
              <w:rPr>
                <w:sz w:val="18"/>
                <w:szCs w:val="18"/>
                <w:color w:val="auto"/>
              </w:rPr>
            </w:pPr>
          </w:p>
        </w:tc>
        <w:tc>
          <w:tcPr>
            <w:tcW w:w="90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540" w:type="dxa"/>
            <w:vAlign w:val="bottom"/>
            <w:tcBorders>
              <w:top w:val="single" w:sz="8" w:color="0000FF"/>
            </w:tcBorders>
            <w:gridSpan w:val="3"/>
          </w:tcPr>
          <w:p>
            <w:pPr>
              <w:spacing w:after="0"/>
              <w:rPr>
                <w:sz w:val="18"/>
                <w:szCs w:val="18"/>
                <w:color w:val="auto"/>
              </w:rPr>
            </w:pPr>
          </w:p>
        </w:tc>
        <w:tc>
          <w:tcPr>
            <w:tcW w:w="7180" w:type="dxa"/>
            <w:vAlign w:val="bottom"/>
            <w:gridSpan w:val="10"/>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0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720" w:type="dxa"/>
            <w:vAlign w:val="bottom"/>
            <w:gridSpan w:val="6"/>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0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top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4720" w:type="dxa"/>
            <w:vAlign w:val="bottom"/>
            <w:gridSpan w:val="6"/>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232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6740" w:type="dxa"/>
            <w:vAlign w:val="bottom"/>
            <w:gridSpan w:val="9"/>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440" w:type="dxa"/>
            <w:vAlign w:val="bottom"/>
            <w:tcBorders>
              <w:top w:val="single" w:sz="8" w:color="0000FF"/>
            </w:tcBorders>
            <w:gridSpan w:val="2"/>
          </w:tcPr>
          <w:p>
            <w:pPr>
              <w:spacing w:after="0"/>
              <w:rPr>
                <w:sz w:val="18"/>
                <w:szCs w:val="18"/>
                <w:color w:val="auto"/>
              </w:rPr>
            </w:pPr>
          </w:p>
        </w:tc>
        <w:tc>
          <w:tcPr>
            <w:tcW w:w="7300" w:type="dxa"/>
            <w:vAlign w:val="bottom"/>
            <w:gridSpan w:val="12"/>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90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Exhibits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This Quarterly Report on Form 10-Q contains “forward-looking statements” regarding The Cannabist Company Holdings Inc. and its subsidiaries (collectively referred to as “The Cannabist Company,” “we,” “us,” “our,” or the “Company”). We make forward-looking statements related to future expectations, estimates, and projections that are uncertain and often contain words such as, but not limited to, “may”, “would”, “could”, “should”, “will”, “intend”, “plan”, “anticipate”, “believe”, “estimate”, “expect” or other similar words or phrases. These statements are not guarantees of future performance and are subject to known and unknown risks, uncertainties, and assumptions that are difficult to predict. Particular risks and uncertainties that could cause our actual results to be materially different from those expressed in our forward-looking statements include those listed below:</w:t>
      </w:r>
    </w:p>
    <w:p>
      <w:pPr>
        <w:spacing w:after="0" w:line="303" w:lineRule="exact"/>
        <w:rPr>
          <w:sz w:val="20"/>
          <w:szCs w:val="20"/>
          <w:color w:val="auto"/>
        </w:rPr>
      </w:pPr>
    </w:p>
    <w:p>
      <w:pPr>
        <w:ind w:left="880" w:hanging="872"/>
        <w:spacing w:after="0"/>
        <w:tabs>
          <w:tab w:leader="none" w:pos="8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of the Company's corporate restructuring initiatives;</w:t>
      </w:r>
    </w:p>
    <w:p>
      <w:pPr>
        <w:spacing w:after="0" w:line="126" w:lineRule="exact"/>
        <w:rPr>
          <w:rFonts w:ascii="Times New Roman" w:cs="Times New Roman" w:eastAsia="Times New Roman" w:hAnsi="Times New Roman"/>
          <w:sz w:val="16"/>
          <w:szCs w:val="16"/>
          <w:color w:val="auto"/>
        </w:rPr>
      </w:pPr>
    </w:p>
    <w:p>
      <w:pPr>
        <w:ind w:left="880" w:hanging="872"/>
        <w:spacing w:after="0"/>
        <w:tabs>
          <w:tab w:leader="none" w:pos="8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fact that marijuana remains illegal under federal law;</w:t>
      </w:r>
    </w:p>
    <w:p>
      <w:pPr>
        <w:spacing w:after="0" w:line="113" w:lineRule="exact"/>
        <w:rPr>
          <w:rFonts w:ascii="Times New Roman" w:cs="Times New Roman" w:eastAsia="Times New Roman" w:hAnsi="Times New Roman"/>
          <w:sz w:val="16"/>
          <w:szCs w:val="16"/>
          <w:color w:val="auto"/>
        </w:rPr>
      </w:pPr>
    </w:p>
    <w:p>
      <w:pPr>
        <w:ind w:left="880" w:hanging="872"/>
        <w:spacing w:after="0"/>
        <w:tabs>
          <w:tab w:leader="none" w:pos="8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application of anti-money laundering laws and regulations to the Company;</w:t>
      </w:r>
    </w:p>
    <w:p>
      <w:pPr>
        <w:spacing w:after="0" w:line="126" w:lineRule="exact"/>
        <w:rPr>
          <w:rFonts w:ascii="Times New Roman" w:cs="Times New Roman" w:eastAsia="Times New Roman" w:hAnsi="Times New Roman"/>
          <w:sz w:val="16"/>
          <w:szCs w:val="16"/>
          <w:color w:val="auto"/>
        </w:rPr>
      </w:pPr>
    </w:p>
    <w:p>
      <w:pPr>
        <w:ind w:left="880" w:hanging="872"/>
        <w:spacing w:after="0"/>
        <w:tabs>
          <w:tab w:leader="none" w:pos="8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legal, regulatory, or political change to the cannabis industry;</w:t>
      </w:r>
    </w:p>
    <w:p>
      <w:pPr>
        <w:spacing w:after="0" w:line="113" w:lineRule="exact"/>
        <w:rPr>
          <w:rFonts w:ascii="Times New Roman" w:cs="Times New Roman" w:eastAsia="Times New Roman" w:hAnsi="Times New Roman"/>
          <w:sz w:val="16"/>
          <w:szCs w:val="16"/>
          <w:color w:val="auto"/>
        </w:rPr>
      </w:pPr>
    </w:p>
    <w:p>
      <w:pPr>
        <w:ind w:left="880" w:hanging="872"/>
        <w:spacing w:after="0"/>
        <w:tabs>
          <w:tab w:leader="none" w:pos="8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access to public and private capital;</w:t>
      </w:r>
    </w:p>
    <w:p>
      <w:pPr>
        <w:spacing w:after="0" w:line="113" w:lineRule="exact"/>
        <w:rPr>
          <w:rFonts w:ascii="Times New Roman" w:cs="Times New Roman" w:eastAsia="Times New Roman" w:hAnsi="Times New Roman"/>
          <w:sz w:val="16"/>
          <w:szCs w:val="16"/>
          <w:color w:val="auto"/>
        </w:rPr>
      </w:pPr>
    </w:p>
    <w:p>
      <w:pPr>
        <w:ind w:left="880" w:hanging="872"/>
        <w:spacing w:after="0"/>
        <w:tabs>
          <w:tab w:leader="none" w:pos="8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unfavorable publicity or consumer perception of the cannabis industry;</w:t>
      </w:r>
    </w:p>
    <w:p>
      <w:pPr>
        <w:spacing w:after="0" w:line="126" w:lineRule="exact"/>
        <w:rPr>
          <w:rFonts w:ascii="Times New Roman" w:cs="Times New Roman" w:eastAsia="Times New Roman" w:hAnsi="Times New Roman"/>
          <w:sz w:val="16"/>
          <w:szCs w:val="16"/>
          <w:color w:val="auto"/>
        </w:rPr>
      </w:pPr>
    </w:p>
    <w:p>
      <w:pPr>
        <w:ind w:left="880" w:hanging="872"/>
        <w:spacing w:after="0"/>
        <w:tabs>
          <w:tab w:leader="none" w:pos="8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expansion to the adult-use markets;</w:t>
      </w:r>
    </w:p>
    <w:p>
      <w:pPr>
        <w:spacing w:after="0" w:line="113" w:lineRule="exact"/>
        <w:rPr>
          <w:rFonts w:ascii="Times New Roman" w:cs="Times New Roman" w:eastAsia="Times New Roman" w:hAnsi="Times New Roman"/>
          <w:sz w:val="16"/>
          <w:szCs w:val="16"/>
          <w:color w:val="auto"/>
        </w:rPr>
      </w:pPr>
    </w:p>
    <w:p>
      <w:pPr>
        <w:ind w:left="880" w:hanging="872"/>
        <w:spacing w:after="0"/>
        <w:tabs>
          <w:tab w:leader="none" w:pos="8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of laws, regulations, and guidelines;</w:t>
      </w:r>
    </w:p>
    <w:p>
      <w:pPr>
        <w:spacing w:after="0" w:line="126" w:lineRule="exact"/>
        <w:rPr>
          <w:rFonts w:ascii="Times New Roman" w:cs="Times New Roman" w:eastAsia="Times New Roman" w:hAnsi="Times New Roman"/>
          <w:sz w:val="16"/>
          <w:szCs w:val="16"/>
          <w:color w:val="auto"/>
        </w:rPr>
      </w:pPr>
    </w:p>
    <w:p>
      <w:pPr>
        <w:ind w:left="880" w:hanging="872"/>
        <w:spacing w:after="0"/>
        <w:tabs>
          <w:tab w:leader="none" w:pos="8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of Section 280E of the Internal Revenue Code;</w:t>
      </w:r>
    </w:p>
    <w:p>
      <w:pPr>
        <w:spacing w:after="0" w:line="113" w:lineRule="exact"/>
        <w:rPr>
          <w:rFonts w:ascii="Times New Roman" w:cs="Times New Roman" w:eastAsia="Times New Roman" w:hAnsi="Times New Roman"/>
          <w:sz w:val="16"/>
          <w:szCs w:val="16"/>
          <w:color w:val="auto"/>
        </w:rPr>
      </w:pPr>
    </w:p>
    <w:p>
      <w:pPr>
        <w:ind w:left="880" w:hanging="872"/>
        <w:spacing w:after="0"/>
        <w:tabs>
          <w:tab w:leader="none" w:pos="8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of state laws pertaining to the cannabis industry;</w:t>
      </w:r>
    </w:p>
    <w:p>
      <w:pPr>
        <w:spacing w:after="0" w:line="113" w:lineRule="exact"/>
        <w:rPr>
          <w:rFonts w:ascii="Times New Roman" w:cs="Times New Roman" w:eastAsia="Times New Roman" w:hAnsi="Times New Roman"/>
          <w:sz w:val="16"/>
          <w:szCs w:val="16"/>
          <w:color w:val="auto"/>
        </w:rPr>
      </w:pPr>
    </w:p>
    <w:p>
      <w:pPr>
        <w:ind w:left="880" w:hanging="872"/>
        <w:spacing w:after="0"/>
        <w:tabs>
          <w:tab w:leader="none" w:pos="8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reliance on key inputs, suppliers and skilled labor;</w:t>
      </w:r>
    </w:p>
    <w:p>
      <w:pPr>
        <w:spacing w:after="0" w:line="126" w:lineRule="exact"/>
        <w:rPr>
          <w:rFonts w:ascii="Times New Roman" w:cs="Times New Roman" w:eastAsia="Times New Roman" w:hAnsi="Times New Roman"/>
          <w:sz w:val="16"/>
          <w:szCs w:val="16"/>
          <w:color w:val="auto"/>
        </w:rPr>
      </w:pPr>
    </w:p>
    <w:p>
      <w:pPr>
        <w:ind w:left="880" w:hanging="872"/>
        <w:spacing w:after="0"/>
        <w:tabs>
          <w:tab w:leader="none" w:pos="8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difficulty of forecasting the Company’s sales;</w:t>
      </w:r>
    </w:p>
    <w:p>
      <w:pPr>
        <w:spacing w:after="0" w:line="113" w:lineRule="exact"/>
        <w:rPr>
          <w:rFonts w:ascii="Times New Roman" w:cs="Times New Roman" w:eastAsia="Times New Roman" w:hAnsi="Times New Roman"/>
          <w:sz w:val="16"/>
          <w:szCs w:val="16"/>
          <w:color w:val="auto"/>
        </w:rPr>
      </w:pPr>
    </w:p>
    <w:p>
      <w:pPr>
        <w:ind w:left="880" w:hanging="872"/>
        <w:spacing w:after="0"/>
        <w:tabs>
          <w:tab w:leader="none" w:pos="8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constraints on marketing products;</w:t>
      </w:r>
    </w:p>
    <w:p>
      <w:pPr>
        <w:spacing w:after="0" w:line="113" w:lineRule="exact"/>
        <w:rPr>
          <w:rFonts w:ascii="Times New Roman" w:cs="Times New Roman" w:eastAsia="Times New Roman" w:hAnsi="Times New Roman"/>
          <w:sz w:val="16"/>
          <w:szCs w:val="16"/>
          <w:color w:val="auto"/>
        </w:rPr>
      </w:pPr>
    </w:p>
    <w:p>
      <w:pPr>
        <w:ind w:left="880" w:hanging="872"/>
        <w:spacing w:after="0"/>
        <w:tabs>
          <w:tab w:leader="none" w:pos="8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potential cyber-attacks and security breaches;</w:t>
      </w:r>
    </w:p>
    <w:p>
      <w:pPr>
        <w:spacing w:after="0" w:line="126" w:lineRule="exact"/>
        <w:rPr>
          <w:rFonts w:ascii="Times New Roman" w:cs="Times New Roman" w:eastAsia="Times New Roman" w:hAnsi="Times New Roman"/>
          <w:sz w:val="16"/>
          <w:szCs w:val="16"/>
          <w:color w:val="auto"/>
        </w:rPr>
      </w:pPr>
    </w:p>
    <w:p>
      <w:pPr>
        <w:ind w:left="880" w:hanging="872"/>
        <w:spacing w:after="0"/>
        <w:tabs>
          <w:tab w:leader="none" w:pos="8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operating loss and other tax attribute limitations;</w:t>
      </w:r>
    </w:p>
    <w:p>
      <w:pPr>
        <w:spacing w:after="0" w:line="113" w:lineRule="exact"/>
        <w:rPr>
          <w:rFonts w:ascii="Times New Roman" w:cs="Times New Roman" w:eastAsia="Times New Roman" w:hAnsi="Times New Roman"/>
          <w:sz w:val="16"/>
          <w:szCs w:val="16"/>
          <w:color w:val="auto"/>
        </w:rPr>
      </w:pPr>
    </w:p>
    <w:p>
      <w:pPr>
        <w:ind w:left="880" w:hanging="872"/>
        <w:spacing w:after="0"/>
        <w:tabs>
          <w:tab w:leader="none" w:pos="8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of changes in tax laws;</w:t>
      </w:r>
    </w:p>
    <w:p>
      <w:pPr>
        <w:spacing w:after="0" w:line="126" w:lineRule="exact"/>
        <w:rPr>
          <w:rFonts w:ascii="Times New Roman" w:cs="Times New Roman" w:eastAsia="Times New Roman" w:hAnsi="Times New Roman"/>
          <w:sz w:val="16"/>
          <w:szCs w:val="16"/>
          <w:color w:val="auto"/>
        </w:rPr>
      </w:pPr>
    </w:p>
    <w:p>
      <w:pPr>
        <w:ind w:left="880" w:hanging="872"/>
        <w:spacing w:after="0"/>
        <w:tabs>
          <w:tab w:leader="none" w:pos="8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volatility of the market price of the Common Shares;</w:t>
      </w:r>
    </w:p>
    <w:p>
      <w:pPr>
        <w:spacing w:after="0" w:line="113" w:lineRule="exact"/>
        <w:rPr>
          <w:rFonts w:ascii="Times New Roman" w:cs="Times New Roman" w:eastAsia="Times New Roman" w:hAnsi="Times New Roman"/>
          <w:sz w:val="16"/>
          <w:szCs w:val="16"/>
          <w:color w:val="auto"/>
        </w:rPr>
      </w:pPr>
    </w:p>
    <w:p>
      <w:pPr>
        <w:ind w:left="880" w:hanging="872"/>
        <w:spacing w:after="0"/>
        <w:tabs>
          <w:tab w:leader="none" w:pos="8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reliance on management;</w:t>
      </w:r>
    </w:p>
    <w:p>
      <w:pPr>
        <w:spacing w:after="0" w:line="113" w:lineRule="exact"/>
        <w:rPr>
          <w:rFonts w:ascii="Times New Roman" w:cs="Times New Roman" w:eastAsia="Times New Roman" w:hAnsi="Times New Roman"/>
          <w:sz w:val="16"/>
          <w:szCs w:val="16"/>
          <w:color w:val="auto"/>
        </w:rPr>
      </w:pPr>
    </w:p>
    <w:p>
      <w:pPr>
        <w:ind w:left="880" w:hanging="872"/>
        <w:spacing w:after="0"/>
        <w:tabs>
          <w:tab w:leader="none" w:pos="8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litigation;</w:t>
      </w:r>
    </w:p>
    <w:p>
      <w:pPr>
        <w:spacing w:after="0" w:line="126" w:lineRule="exact"/>
        <w:rPr>
          <w:rFonts w:ascii="Times New Roman" w:cs="Times New Roman" w:eastAsia="Times New Roman" w:hAnsi="Times New Roman"/>
          <w:sz w:val="16"/>
          <w:szCs w:val="16"/>
          <w:color w:val="auto"/>
        </w:rPr>
      </w:pPr>
    </w:p>
    <w:p>
      <w:pPr>
        <w:ind w:left="880" w:hanging="872"/>
        <w:spacing w:after="0"/>
        <w:tabs>
          <w:tab w:leader="none" w:pos="8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future results and financial projections; and</w:t>
      </w:r>
    </w:p>
    <w:p>
      <w:pPr>
        <w:spacing w:after="0" w:line="113" w:lineRule="exact"/>
        <w:rPr>
          <w:rFonts w:ascii="Times New Roman" w:cs="Times New Roman" w:eastAsia="Times New Roman" w:hAnsi="Times New Roman"/>
          <w:sz w:val="16"/>
          <w:szCs w:val="16"/>
          <w:color w:val="auto"/>
        </w:rPr>
      </w:pPr>
    </w:p>
    <w:p>
      <w:pPr>
        <w:ind w:left="880" w:hanging="872"/>
        <w:spacing w:after="0"/>
        <w:tabs>
          <w:tab w:leader="none" w:pos="8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of global financial conditions.</w:t>
      </w:r>
    </w:p>
    <w:p>
      <w:pPr>
        <w:spacing w:after="0" w:line="15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list of factors above is illustrative and by no means exhaustive. Additional information regarding these risks and other risks and uncertainties we face is contained in this Quarterly Report on Form 10-Q and our Annual Report on Form 10-K for the year ended December 31, 2023. Although the Company has attempted to identify important factors that could cause actual results to differ materially from those contained in forward-looking information, there may be other factors that cause results not to be as anticipated, estimated, or intended.</w:t>
      </w:r>
    </w:p>
    <w:p>
      <w:pPr>
        <w:spacing w:after="0" w:line="85"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We urge readers to consider these risks and uncertainties in evaluating our forward-looking statements. We caution readers not to place undue reliance upon any such forward-looking statements, which speak only as of the date made. We undertake no obligation to publicly update any forward-looking statements, whether as a result of new information, future events, or otherwise, except as required by law.</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THE CANNABIST COMPANY HOLDINGS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CONDENSED CONSOLIDATED INTERIM BALANCE SHEETS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(Expressed in thousands of U.S. dollars, except share data)</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0" w:type="dxa"/>
            <w:vAlign w:val="bottom"/>
          </w:tcPr>
          <w:p>
            <w:pPr>
              <w:spacing w:after="0"/>
              <w:rPr>
                <w:sz w:val="15"/>
                <w:szCs w:val="15"/>
                <w:color w:val="auto"/>
              </w:rPr>
            </w:pPr>
          </w:p>
        </w:tc>
        <w:tc>
          <w:tcPr>
            <w:tcW w:w="81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jc w:val="right"/>
              <w:ind w:right="206"/>
              <w:spacing w:after="0"/>
              <w:rPr>
                <w:sz w:val="20"/>
                <w:szCs w:val="20"/>
                <w:color w:val="auto"/>
              </w:rPr>
            </w:pPr>
            <w:r>
              <w:rPr>
                <w:rFonts w:ascii="Times New Roman" w:cs="Times New Roman" w:eastAsia="Times New Roman" w:hAnsi="Times New Roman"/>
                <w:sz w:val="12"/>
                <w:szCs w:val="12"/>
                <w:b w:val="1"/>
                <w:bCs w:val="1"/>
                <w:color w:val="auto"/>
              </w:rPr>
              <w:t>September 30, 2024</w:t>
            </w:r>
          </w:p>
        </w:tc>
        <w:tc>
          <w:tcPr>
            <w:tcW w:w="1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jc w:val="right"/>
              <w:ind w:right="226"/>
              <w:spacing w:after="0"/>
              <w:rPr>
                <w:sz w:val="20"/>
                <w:szCs w:val="20"/>
                <w:color w:val="auto"/>
              </w:rPr>
            </w:pPr>
            <w:r>
              <w:rPr>
                <w:rFonts w:ascii="Times New Roman" w:cs="Times New Roman" w:eastAsia="Times New Roman" w:hAnsi="Times New Roman"/>
                <w:sz w:val="12"/>
                <w:szCs w:val="12"/>
                <w:b w:val="1"/>
                <w:bCs w:val="1"/>
                <w:color w:val="auto"/>
              </w:rPr>
              <w:t>December 31, 2023</w:t>
            </w:r>
          </w:p>
        </w:tc>
        <w:tc>
          <w:tcPr>
            <w:tcW w:w="0" w:type="dxa"/>
            <w:vAlign w:val="bottom"/>
          </w:tcPr>
          <w:p>
            <w:pPr>
              <w:spacing w:after="0"/>
              <w:rPr>
                <w:sz w:val="1"/>
                <w:szCs w:val="1"/>
                <w:color w:val="auto"/>
              </w:rPr>
            </w:pPr>
          </w:p>
        </w:tc>
      </w:tr>
      <w:tr>
        <w:trPr>
          <w:trHeight w:val="33"/>
        </w:trPr>
        <w:tc>
          <w:tcPr>
            <w:tcW w:w="60" w:type="dxa"/>
            <w:vAlign w:val="bottom"/>
          </w:tcPr>
          <w:p>
            <w:pPr>
              <w:spacing w:after="0"/>
              <w:rPr>
                <w:sz w:val="2"/>
                <w:szCs w:val="2"/>
                <w:color w:val="auto"/>
              </w:rPr>
            </w:pPr>
          </w:p>
        </w:tc>
        <w:tc>
          <w:tcPr>
            <w:tcW w:w="818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160" w:type="dxa"/>
            <w:vAlign w:val="bottom"/>
            <w:tcBorders>
              <w:bottom w:val="single" w:sz="8" w:color="CFF0FC"/>
            </w:tcBorders>
            <w:shd w:val="clear" w:color="auto" w:fill="CFF0FC"/>
          </w:tcPr>
          <w:p>
            <w:pPr>
              <w:spacing w:after="0"/>
              <w:rPr>
                <w:sz w:val="11"/>
                <w:szCs w:val="11"/>
                <w:color w:val="auto"/>
              </w:rPr>
            </w:pPr>
          </w:p>
        </w:tc>
        <w:tc>
          <w:tcPr>
            <w:tcW w:w="13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FF0FC"/>
            </w:tcBorders>
            <w:shd w:val="clear" w:color="auto" w:fill="CFF0FC"/>
          </w:tcPr>
          <w:p>
            <w:pPr>
              <w:spacing w:after="0"/>
              <w:rPr>
                <w:sz w:val="11"/>
                <w:szCs w:val="11"/>
                <w:color w:val="auto"/>
              </w:rPr>
            </w:pPr>
          </w:p>
        </w:tc>
        <w:tc>
          <w:tcPr>
            <w:tcW w:w="132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0" w:type="dxa"/>
            <w:vAlign w:val="bottom"/>
          </w:tcPr>
          <w:p>
            <w:pPr>
              <w:spacing w:after="0"/>
              <w:rPr>
                <w:sz w:val="13"/>
                <w:szCs w:val="13"/>
                <w:color w:val="auto"/>
              </w:rPr>
            </w:pPr>
          </w:p>
        </w:tc>
        <w:tc>
          <w:tcPr>
            <w:tcW w:w="8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Current assets:</w:t>
            </w: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
        </w:trPr>
        <w:tc>
          <w:tcPr>
            <w:tcW w:w="6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60" w:type="dxa"/>
            <w:vAlign w:val="bottom"/>
          </w:tcPr>
          <w:p>
            <w:pPr>
              <w:spacing w:after="0"/>
              <w:rPr>
                <w:sz w:val="13"/>
                <w:szCs w:val="13"/>
                <w:color w:val="auto"/>
              </w:rPr>
            </w:pPr>
          </w:p>
        </w:tc>
        <w:tc>
          <w:tcPr>
            <w:tcW w:w="81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1"/>
                <w:szCs w:val="11"/>
                <w:color w:val="auto"/>
              </w:rPr>
              <w:t>Cash</w:t>
            </w:r>
          </w:p>
        </w:tc>
        <w:tc>
          <w:tcPr>
            <w:tcW w:w="160" w:type="dxa"/>
            <w:vAlign w:val="bottom"/>
            <w:tcBorders>
              <w:bottom w:val="single" w:sz="8" w:color="CFF0FC"/>
            </w:tcBorders>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bottom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31,497</w:t>
            </w:r>
          </w:p>
        </w:tc>
        <w:tc>
          <w:tcPr>
            <w:tcW w:w="1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FF0FC"/>
            </w:tcBorders>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bottom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35,764</w:t>
            </w:r>
          </w:p>
        </w:tc>
        <w:tc>
          <w:tcPr>
            <w:tcW w:w="0" w:type="dxa"/>
            <w:vAlign w:val="bottom"/>
          </w:tcPr>
          <w:p>
            <w:pPr>
              <w:spacing w:after="0"/>
              <w:rPr>
                <w:sz w:val="1"/>
                <w:szCs w:val="1"/>
                <w:color w:val="auto"/>
              </w:rPr>
            </w:pPr>
          </w:p>
        </w:tc>
      </w:tr>
      <w:tr>
        <w:trPr>
          <w:trHeight w:val="153"/>
        </w:trPr>
        <w:tc>
          <w:tcPr>
            <w:tcW w:w="60" w:type="dxa"/>
            <w:vAlign w:val="bottom"/>
          </w:tcPr>
          <w:p>
            <w:pPr>
              <w:spacing w:after="0"/>
              <w:rPr>
                <w:sz w:val="13"/>
                <w:szCs w:val="13"/>
                <w:color w:val="auto"/>
              </w:rPr>
            </w:pPr>
          </w:p>
        </w:tc>
        <w:tc>
          <w:tcPr>
            <w:tcW w:w="81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Accounts receivable, net of allowances of $7,793 and $6,512, respectively</w:t>
            </w:r>
          </w:p>
        </w:tc>
        <w:tc>
          <w:tcPr>
            <w:tcW w:w="160" w:type="dxa"/>
            <w:vAlign w:val="bottom"/>
          </w:tcPr>
          <w:p>
            <w:pPr>
              <w:spacing w:after="0"/>
              <w:rPr>
                <w:sz w:val="13"/>
                <w:szCs w:val="13"/>
                <w:color w:val="auto"/>
              </w:rPr>
            </w:pPr>
          </w:p>
        </w:tc>
        <w:tc>
          <w:tcPr>
            <w:tcW w:w="13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15,371</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15,601</w:t>
            </w:r>
          </w:p>
        </w:tc>
        <w:tc>
          <w:tcPr>
            <w:tcW w:w="0" w:type="dxa"/>
            <w:vAlign w:val="bottom"/>
          </w:tcPr>
          <w:p>
            <w:pPr>
              <w:spacing w:after="0"/>
              <w:rPr>
                <w:sz w:val="1"/>
                <w:szCs w:val="1"/>
                <w:color w:val="auto"/>
              </w:rPr>
            </w:pPr>
          </w:p>
        </w:tc>
      </w:tr>
      <w:tr>
        <w:trPr>
          <w:trHeight w:val="22"/>
        </w:trPr>
        <w:tc>
          <w:tcPr>
            <w:tcW w:w="6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0" w:type="dxa"/>
            <w:vAlign w:val="bottom"/>
          </w:tcPr>
          <w:p>
            <w:pPr>
              <w:spacing w:after="0"/>
              <w:rPr>
                <w:sz w:val="13"/>
                <w:szCs w:val="13"/>
                <w:color w:val="auto"/>
              </w:rPr>
            </w:pPr>
          </w:p>
        </w:tc>
        <w:tc>
          <w:tcPr>
            <w:tcW w:w="81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1"/>
                <w:szCs w:val="11"/>
                <w:color w:val="auto"/>
              </w:rPr>
              <w:t>Inventory</w:t>
            </w:r>
          </w:p>
        </w:tc>
        <w:tc>
          <w:tcPr>
            <w:tcW w:w="160" w:type="dxa"/>
            <w:vAlign w:val="bottom"/>
            <w:tcBorders>
              <w:bottom w:val="single" w:sz="8" w:color="CFF0FC"/>
            </w:tcBorders>
            <w:shd w:val="clear" w:color="auto" w:fill="CFF0FC"/>
          </w:tcPr>
          <w:p>
            <w:pPr>
              <w:spacing w:after="0"/>
              <w:rPr>
                <w:sz w:val="13"/>
                <w:szCs w:val="13"/>
                <w:color w:val="auto"/>
              </w:rPr>
            </w:pPr>
          </w:p>
        </w:tc>
        <w:tc>
          <w:tcPr>
            <w:tcW w:w="1320" w:type="dxa"/>
            <w:vAlign w:val="bottom"/>
            <w:tcBorders>
              <w:bottom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89,717</w:t>
            </w:r>
          </w:p>
        </w:tc>
        <w:tc>
          <w:tcPr>
            <w:tcW w:w="1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FF0FC"/>
            </w:tcBorders>
            <w:shd w:val="clear" w:color="auto" w:fill="CFF0FC"/>
          </w:tcPr>
          <w:p>
            <w:pPr>
              <w:spacing w:after="0"/>
              <w:rPr>
                <w:sz w:val="13"/>
                <w:szCs w:val="13"/>
                <w:color w:val="auto"/>
              </w:rPr>
            </w:pPr>
          </w:p>
        </w:tc>
        <w:tc>
          <w:tcPr>
            <w:tcW w:w="1320" w:type="dxa"/>
            <w:vAlign w:val="bottom"/>
            <w:tcBorders>
              <w:bottom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111,633</w:t>
            </w:r>
          </w:p>
        </w:tc>
        <w:tc>
          <w:tcPr>
            <w:tcW w:w="0" w:type="dxa"/>
            <w:vAlign w:val="bottom"/>
          </w:tcPr>
          <w:p>
            <w:pPr>
              <w:spacing w:after="0"/>
              <w:rPr>
                <w:sz w:val="1"/>
                <w:szCs w:val="1"/>
                <w:color w:val="auto"/>
              </w:rPr>
            </w:pPr>
          </w:p>
        </w:tc>
      </w:tr>
      <w:tr>
        <w:trPr>
          <w:trHeight w:val="153"/>
        </w:trPr>
        <w:tc>
          <w:tcPr>
            <w:tcW w:w="60" w:type="dxa"/>
            <w:vAlign w:val="bottom"/>
          </w:tcPr>
          <w:p>
            <w:pPr>
              <w:spacing w:after="0"/>
              <w:rPr>
                <w:sz w:val="13"/>
                <w:szCs w:val="13"/>
                <w:color w:val="auto"/>
              </w:rPr>
            </w:pPr>
          </w:p>
        </w:tc>
        <w:tc>
          <w:tcPr>
            <w:tcW w:w="81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Prepaid expenses and other current assets</w:t>
            </w:r>
          </w:p>
        </w:tc>
        <w:tc>
          <w:tcPr>
            <w:tcW w:w="160" w:type="dxa"/>
            <w:vAlign w:val="bottom"/>
          </w:tcPr>
          <w:p>
            <w:pPr>
              <w:spacing w:after="0"/>
              <w:rPr>
                <w:sz w:val="13"/>
                <w:szCs w:val="13"/>
                <w:color w:val="auto"/>
              </w:rPr>
            </w:pPr>
          </w:p>
        </w:tc>
        <w:tc>
          <w:tcPr>
            <w:tcW w:w="13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14,827</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22,711</w:t>
            </w:r>
          </w:p>
        </w:tc>
        <w:tc>
          <w:tcPr>
            <w:tcW w:w="0" w:type="dxa"/>
            <w:vAlign w:val="bottom"/>
          </w:tcPr>
          <w:p>
            <w:pPr>
              <w:spacing w:after="0"/>
              <w:rPr>
                <w:sz w:val="1"/>
                <w:szCs w:val="1"/>
                <w:color w:val="auto"/>
              </w:rPr>
            </w:pPr>
          </w:p>
        </w:tc>
      </w:tr>
      <w:tr>
        <w:trPr>
          <w:trHeight w:val="22"/>
        </w:trPr>
        <w:tc>
          <w:tcPr>
            <w:tcW w:w="6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0" w:type="dxa"/>
            <w:vAlign w:val="bottom"/>
          </w:tcPr>
          <w:p>
            <w:pPr>
              <w:spacing w:after="0"/>
              <w:rPr>
                <w:sz w:val="13"/>
                <w:szCs w:val="13"/>
                <w:color w:val="auto"/>
              </w:rPr>
            </w:pPr>
          </w:p>
        </w:tc>
        <w:tc>
          <w:tcPr>
            <w:tcW w:w="81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1"/>
                <w:szCs w:val="11"/>
                <w:color w:val="auto"/>
              </w:rPr>
              <w:t>Notes receivable</w:t>
            </w:r>
          </w:p>
        </w:tc>
        <w:tc>
          <w:tcPr>
            <w:tcW w:w="160" w:type="dxa"/>
            <w:vAlign w:val="bottom"/>
            <w:tcBorders>
              <w:bottom w:val="single" w:sz="8" w:color="CFF0FC"/>
            </w:tcBorders>
            <w:shd w:val="clear" w:color="auto" w:fill="CFF0FC"/>
          </w:tcPr>
          <w:p>
            <w:pPr>
              <w:spacing w:after="0"/>
              <w:rPr>
                <w:sz w:val="13"/>
                <w:szCs w:val="13"/>
                <w:color w:val="auto"/>
              </w:rPr>
            </w:pPr>
          </w:p>
        </w:tc>
        <w:tc>
          <w:tcPr>
            <w:tcW w:w="1320" w:type="dxa"/>
            <w:vAlign w:val="bottom"/>
            <w:tcBorders>
              <w:bottom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18,259</w:t>
            </w:r>
          </w:p>
        </w:tc>
        <w:tc>
          <w:tcPr>
            <w:tcW w:w="1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FF0FC"/>
            </w:tcBorders>
            <w:shd w:val="clear" w:color="auto" w:fill="CFF0FC"/>
          </w:tcPr>
          <w:p>
            <w:pPr>
              <w:spacing w:after="0"/>
              <w:rPr>
                <w:sz w:val="13"/>
                <w:szCs w:val="13"/>
                <w:color w:val="auto"/>
              </w:rPr>
            </w:pPr>
          </w:p>
        </w:tc>
        <w:tc>
          <w:tcPr>
            <w:tcW w:w="1320" w:type="dxa"/>
            <w:vAlign w:val="bottom"/>
            <w:tcBorders>
              <w:bottom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4,026</w:t>
            </w:r>
          </w:p>
        </w:tc>
        <w:tc>
          <w:tcPr>
            <w:tcW w:w="0" w:type="dxa"/>
            <w:vAlign w:val="bottom"/>
          </w:tcPr>
          <w:p>
            <w:pPr>
              <w:spacing w:after="0"/>
              <w:rPr>
                <w:sz w:val="1"/>
                <w:szCs w:val="1"/>
                <w:color w:val="auto"/>
              </w:rPr>
            </w:pPr>
          </w:p>
        </w:tc>
      </w:tr>
      <w:tr>
        <w:trPr>
          <w:trHeight w:val="153"/>
        </w:trPr>
        <w:tc>
          <w:tcPr>
            <w:tcW w:w="60" w:type="dxa"/>
            <w:vAlign w:val="bottom"/>
          </w:tcPr>
          <w:p>
            <w:pPr>
              <w:spacing w:after="0"/>
              <w:rPr>
                <w:sz w:val="13"/>
                <w:szCs w:val="13"/>
                <w:color w:val="auto"/>
              </w:rPr>
            </w:pPr>
          </w:p>
        </w:tc>
        <w:tc>
          <w:tcPr>
            <w:tcW w:w="81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Assets held for sale</w:t>
            </w:r>
          </w:p>
        </w:tc>
        <w:tc>
          <w:tcPr>
            <w:tcW w:w="160" w:type="dxa"/>
            <w:vAlign w:val="bottom"/>
          </w:tcPr>
          <w:p>
            <w:pPr>
              <w:spacing w:after="0"/>
              <w:rPr>
                <w:sz w:val="13"/>
                <w:szCs w:val="13"/>
                <w:color w:val="auto"/>
              </w:rPr>
            </w:pPr>
          </w:p>
        </w:tc>
        <w:tc>
          <w:tcPr>
            <w:tcW w:w="13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65,304</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1,752</w:t>
            </w:r>
          </w:p>
        </w:tc>
        <w:tc>
          <w:tcPr>
            <w:tcW w:w="0" w:type="dxa"/>
            <w:vAlign w:val="bottom"/>
          </w:tcPr>
          <w:p>
            <w:pPr>
              <w:spacing w:after="0"/>
              <w:rPr>
                <w:sz w:val="1"/>
                <w:szCs w:val="1"/>
                <w:color w:val="auto"/>
              </w:rPr>
            </w:pPr>
          </w:p>
        </w:tc>
      </w:tr>
      <w:tr>
        <w:trPr>
          <w:trHeight w:val="22"/>
        </w:trPr>
        <w:tc>
          <w:tcPr>
            <w:tcW w:w="60" w:type="dxa"/>
            <w:vAlign w:val="bottom"/>
          </w:tcPr>
          <w:p>
            <w:pPr>
              <w:spacing w:after="0" w:line="20" w:lineRule="exact"/>
              <w:rPr>
                <w:sz w:val="1"/>
                <w:szCs w:val="1"/>
                <w:color w:val="auto"/>
              </w:rPr>
            </w:pPr>
          </w:p>
        </w:tc>
        <w:tc>
          <w:tcPr>
            <w:tcW w:w="8180" w:type="dxa"/>
            <w:vAlign w:val="bottom"/>
            <w:tcBorders>
              <w:bottom w:val="single" w:sz="8" w:color="CFF0FC"/>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60" w:type="dxa"/>
            <w:vAlign w:val="bottom"/>
          </w:tcPr>
          <w:p>
            <w:pPr>
              <w:spacing w:after="0"/>
              <w:rPr>
                <w:sz w:val="12"/>
                <w:szCs w:val="12"/>
                <w:color w:val="auto"/>
              </w:rPr>
            </w:pPr>
          </w:p>
        </w:tc>
        <w:tc>
          <w:tcPr>
            <w:tcW w:w="81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1"/>
                <w:szCs w:val="11"/>
                <w:color w:val="auto"/>
              </w:rPr>
              <w:t>Total current assets</w:t>
            </w:r>
          </w:p>
        </w:tc>
        <w:tc>
          <w:tcPr>
            <w:tcW w:w="160" w:type="dxa"/>
            <w:vAlign w:val="bottom"/>
            <w:tcBorders>
              <w:bottom w:val="single" w:sz="8" w:color="CFF0FC"/>
            </w:tcBorders>
            <w:shd w:val="clear" w:color="auto" w:fill="CFF0FC"/>
          </w:tcPr>
          <w:p>
            <w:pPr>
              <w:spacing w:after="0"/>
              <w:rPr>
                <w:sz w:val="12"/>
                <w:szCs w:val="12"/>
                <w:color w:val="auto"/>
              </w:rPr>
            </w:pPr>
          </w:p>
        </w:tc>
        <w:tc>
          <w:tcPr>
            <w:tcW w:w="1320" w:type="dxa"/>
            <w:vAlign w:val="bottom"/>
            <w:tcBorders>
              <w:bottom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234,975</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FF0FC"/>
            </w:tcBorders>
            <w:shd w:val="clear" w:color="auto" w:fill="CFF0FC"/>
          </w:tcPr>
          <w:p>
            <w:pPr>
              <w:spacing w:after="0"/>
              <w:rPr>
                <w:sz w:val="12"/>
                <w:szCs w:val="12"/>
                <w:color w:val="auto"/>
              </w:rPr>
            </w:pPr>
          </w:p>
        </w:tc>
        <w:tc>
          <w:tcPr>
            <w:tcW w:w="1320" w:type="dxa"/>
            <w:vAlign w:val="bottom"/>
            <w:tcBorders>
              <w:bottom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191,487</w:t>
            </w: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8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60" w:type="dxa"/>
            <w:vAlign w:val="bottom"/>
          </w:tcPr>
          <w:p>
            <w:pPr>
              <w:spacing w:after="0"/>
              <w:rPr>
                <w:sz w:val="13"/>
                <w:szCs w:val="13"/>
                <w:color w:val="auto"/>
              </w:rPr>
            </w:pPr>
          </w:p>
        </w:tc>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Property and equipment, net</w:t>
            </w:r>
          </w:p>
        </w:tc>
        <w:tc>
          <w:tcPr>
            <w:tcW w:w="160" w:type="dxa"/>
            <w:vAlign w:val="bottom"/>
            <w:tcBorders>
              <w:bottom w:val="single" w:sz="8" w:color="CFF0FC"/>
            </w:tcBorders>
            <w:shd w:val="clear" w:color="auto" w:fill="CFF0FC"/>
          </w:tcPr>
          <w:p>
            <w:pPr>
              <w:spacing w:after="0"/>
              <w:rPr>
                <w:sz w:val="13"/>
                <w:szCs w:val="13"/>
                <w:color w:val="auto"/>
              </w:rPr>
            </w:pPr>
          </w:p>
        </w:tc>
        <w:tc>
          <w:tcPr>
            <w:tcW w:w="1320" w:type="dxa"/>
            <w:vAlign w:val="bottom"/>
            <w:tcBorders>
              <w:bottom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232,305</w:t>
            </w:r>
          </w:p>
        </w:tc>
        <w:tc>
          <w:tcPr>
            <w:tcW w:w="1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FF0FC"/>
            </w:tcBorders>
            <w:shd w:val="clear" w:color="auto" w:fill="CFF0FC"/>
          </w:tcPr>
          <w:p>
            <w:pPr>
              <w:spacing w:after="0"/>
              <w:rPr>
                <w:sz w:val="13"/>
                <w:szCs w:val="13"/>
                <w:color w:val="auto"/>
              </w:rPr>
            </w:pPr>
          </w:p>
        </w:tc>
        <w:tc>
          <w:tcPr>
            <w:tcW w:w="1320" w:type="dxa"/>
            <w:vAlign w:val="bottom"/>
            <w:tcBorders>
              <w:bottom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298,498</w:t>
            </w:r>
          </w:p>
        </w:tc>
        <w:tc>
          <w:tcPr>
            <w:tcW w:w="0" w:type="dxa"/>
            <w:vAlign w:val="bottom"/>
          </w:tcPr>
          <w:p>
            <w:pPr>
              <w:spacing w:after="0"/>
              <w:rPr>
                <w:sz w:val="1"/>
                <w:szCs w:val="1"/>
                <w:color w:val="auto"/>
              </w:rPr>
            </w:pPr>
          </w:p>
        </w:tc>
      </w:tr>
      <w:tr>
        <w:trPr>
          <w:trHeight w:val="153"/>
        </w:trPr>
        <w:tc>
          <w:tcPr>
            <w:tcW w:w="60" w:type="dxa"/>
            <w:vAlign w:val="bottom"/>
          </w:tcPr>
          <w:p>
            <w:pPr>
              <w:spacing w:after="0"/>
              <w:rPr>
                <w:sz w:val="13"/>
                <w:szCs w:val="13"/>
                <w:color w:val="auto"/>
              </w:rPr>
            </w:pPr>
          </w:p>
        </w:tc>
        <w:tc>
          <w:tcPr>
            <w:tcW w:w="8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Right of use assets - operating leases, net</w:t>
            </w:r>
          </w:p>
        </w:tc>
        <w:tc>
          <w:tcPr>
            <w:tcW w:w="160" w:type="dxa"/>
            <w:vAlign w:val="bottom"/>
          </w:tcPr>
          <w:p>
            <w:pPr>
              <w:spacing w:after="0"/>
              <w:rPr>
                <w:sz w:val="13"/>
                <w:szCs w:val="13"/>
                <w:color w:val="auto"/>
              </w:rPr>
            </w:pPr>
          </w:p>
        </w:tc>
        <w:tc>
          <w:tcPr>
            <w:tcW w:w="13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125,255</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181,823</w:t>
            </w:r>
          </w:p>
        </w:tc>
        <w:tc>
          <w:tcPr>
            <w:tcW w:w="0" w:type="dxa"/>
            <w:vAlign w:val="bottom"/>
          </w:tcPr>
          <w:p>
            <w:pPr>
              <w:spacing w:after="0"/>
              <w:rPr>
                <w:sz w:val="1"/>
                <w:szCs w:val="1"/>
                <w:color w:val="auto"/>
              </w:rPr>
            </w:pPr>
          </w:p>
        </w:tc>
      </w:tr>
      <w:tr>
        <w:trPr>
          <w:trHeight w:val="22"/>
        </w:trPr>
        <w:tc>
          <w:tcPr>
            <w:tcW w:w="6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0" w:type="dxa"/>
            <w:vAlign w:val="bottom"/>
          </w:tcPr>
          <w:p>
            <w:pPr>
              <w:spacing w:after="0"/>
              <w:rPr>
                <w:sz w:val="13"/>
                <w:szCs w:val="13"/>
                <w:color w:val="auto"/>
              </w:rPr>
            </w:pPr>
          </w:p>
        </w:tc>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Right of use assets - finance leases, net</w:t>
            </w:r>
          </w:p>
        </w:tc>
        <w:tc>
          <w:tcPr>
            <w:tcW w:w="160" w:type="dxa"/>
            <w:vAlign w:val="bottom"/>
            <w:tcBorders>
              <w:bottom w:val="single" w:sz="8" w:color="CFF0FC"/>
            </w:tcBorders>
            <w:shd w:val="clear" w:color="auto" w:fill="CFF0FC"/>
          </w:tcPr>
          <w:p>
            <w:pPr>
              <w:spacing w:after="0"/>
              <w:rPr>
                <w:sz w:val="13"/>
                <w:szCs w:val="13"/>
                <w:color w:val="auto"/>
              </w:rPr>
            </w:pPr>
          </w:p>
        </w:tc>
        <w:tc>
          <w:tcPr>
            <w:tcW w:w="1320" w:type="dxa"/>
            <w:vAlign w:val="bottom"/>
            <w:tcBorders>
              <w:bottom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27,285</w:t>
            </w:r>
          </w:p>
        </w:tc>
        <w:tc>
          <w:tcPr>
            <w:tcW w:w="1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FF0FC"/>
            </w:tcBorders>
            <w:shd w:val="clear" w:color="auto" w:fill="CFF0FC"/>
          </w:tcPr>
          <w:p>
            <w:pPr>
              <w:spacing w:after="0"/>
              <w:rPr>
                <w:sz w:val="13"/>
                <w:szCs w:val="13"/>
                <w:color w:val="auto"/>
              </w:rPr>
            </w:pPr>
          </w:p>
        </w:tc>
        <w:tc>
          <w:tcPr>
            <w:tcW w:w="1320" w:type="dxa"/>
            <w:vAlign w:val="bottom"/>
            <w:tcBorders>
              <w:bottom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36,450</w:t>
            </w:r>
          </w:p>
        </w:tc>
        <w:tc>
          <w:tcPr>
            <w:tcW w:w="0" w:type="dxa"/>
            <w:vAlign w:val="bottom"/>
          </w:tcPr>
          <w:p>
            <w:pPr>
              <w:spacing w:after="0"/>
              <w:rPr>
                <w:sz w:val="1"/>
                <w:szCs w:val="1"/>
                <w:color w:val="auto"/>
              </w:rPr>
            </w:pPr>
          </w:p>
        </w:tc>
      </w:tr>
      <w:tr>
        <w:trPr>
          <w:trHeight w:val="153"/>
        </w:trPr>
        <w:tc>
          <w:tcPr>
            <w:tcW w:w="60" w:type="dxa"/>
            <w:vAlign w:val="bottom"/>
          </w:tcPr>
          <w:p>
            <w:pPr>
              <w:spacing w:after="0"/>
              <w:rPr>
                <w:sz w:val="13"/>
                <w:szCs w:val="13"/>
                <w:color w:val="auto"/>
              </w:rPr>
            </w:pPr>
          </w:p>
        </w:tc>
        <w:tc>
          <w:tcPr>
            <w:tcW w:w="8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Intangible assets, net</w:t>
            </w:r>
          </w:p>
        </w:tc>
        <w:tc>
          <w:tcPr>
            <w:tcW w:w="160" w:type="dxa"/>
            <w:vAlign w:val="bottom"/>
          </w:tcPr>
          <w:p>
            <w:pPr>
              <w:spacing w:after="0"/>
              <w:rPr>
                <w:sz w:val="13"/>
                <w:szCs w:val="13"/>
                <w:color w:val="auto"/>
              </w:rPr>
            </w:pPr>
          </w:p>
        </w:tc>
        <w:tc>
          <w:tcPr>
            <w:tcW w:w="13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66,274</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76,767</w:t>
            </w:r>
          </w:p>
        </w:tc>
        <w:tc>
          <w:tcPr>
            <w:tcW w:w="0" w:type="dxa"/>
            <w:vAlign w:val="bottom"/>
          </w:tcPr>
          <w:p>
            <w:pPr>
              <w:spacing w:after="0"/>
              <w:rPr>
                <w:sz w:val="1"/>
                <w:szCs w:val="1"/>
                <w:color w:val="auto"/>
              </w:rPr>
            </w:pPr>
          </w:p>
        </w:tc>
      </w:tr>
      <w:tr>
        <w:trPr>
          <w:trHeight w:val="22"/>
        </w:trPr>
        <w:tc>
          <w:tcPr>
            <w:tcW w:w="6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0" w:type="dxa"/>
            <w:vAlign w:val="bottom"/>
          </w:tcPr>
          <w:p>
            <w:pPr>
              <w:spacing w:after="0"/>
              <w:rPr>
                <w:sz w:val="13"/>
                <w:szCs w:val="13"/>
                <w:color w:val="auto"/>
              </w:rPr>
            </w:pPr>
          </w:p>
        </w:tc>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Investments</w:t>
            </w:r>
          </w:p>
        </w:tc>
        <w:tc>
          <w:tcPr>
            <w:tcW w:w="160" w:type="dxa"/>
            <w:vAlign w:val="bottom"/>
            <w:tcBorders>
              <w:bottom w:val="single" w:sz="8" w:color="CFF0FC"/>
            </w:tcBorders>
            <w:shd w:val="clear" w:color="auto" w:fill="CFF0FC"/>
          </w:tcPr>
          <w:p>
            <w:pPr>
              <w:spacing w:after="0"/>
              <w:rPr>
                <w:sz w:val="13"/>
                <w:szCs w:val="13"/>
                <w:color w:val="auto"/>
              </w:rPr>
            </w:pPr>
          </w:p>
        </w:tc>
        <w:tc>
          <w:tcPr>
            <w:tcW w:w="1320" w:type="dxa"/>
            <w:vAlign w:val="bottom"/>
            <w:tcBorders>
              <w:bottom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33,091</w:t>
            </w:r>
          </w:p>
        </w:tc>
        <w:tc>
          <w:tcPr>
            <w:tcW w:w="10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CFF0FC"/>
            </w:tcBorders>
            <w:shd w:val="clear" w:color="auto" w:fill="CFF0FC"/>
          </w:tcPr>
          <w:p>
            <w:pPr>
              <w:spacing w:after="0"/>
              <w:rPr>
                <w:sz w:val="13"/>
                <w:szCs w:val="13"/>
                <w:color w:val="auto"/>
              </w:rPr>
            </w:pPr>
          </w:p>
        </w:tc>
        <w:tc>
          <w:tcPr>
            <w:tcW w:w="1320" w:type="dxa"/>
            <w:vAlign w:val="bottom"/>
            <w:tcBorders>
              <w:bottom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60" w:type="dxa"/>
            <w:vAlign w:val="bottom"/>
          </w:tcPr>
          <w:p>
            <w:pPr>
              <w:spacing w:after="0"/>
              <w:rPr>
                <w:sz w:val="13"/>
                <w:szCs w:val="13"/>
                <w:color w:val="auto"/>
              </w:rPr>
            </w:pPr>
          </w:p>
        </w:tc>
        <w:tc>
          <w:tcPr>
            <w:tcW w:w="8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Deferred taxes</w:t>
            </w:r>
          </w:p>
        </w:tc>
        <w:tc>
          <w:tcPr>
            <w:tcW w:w="160" w:type="dxa"/>
            <w:vAlign w:val="bottom"/>
          </w:tcPr>
          <w:p>
            <w:pPr>
              <w:spacing w:after="0"/>
              <w:rPr>
                <w:sz w:val="13"/>
                <w:szCs w:val="13"/>
                <w:color w:val="auto"/>
              </w:rPr>
            </w:pPr>
          </w:p>
        </w:tc>
        <w:tc>
          <w:tcPr>
            <w:tcW w:w="13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25,643</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22,970</w:t>
            </w:r>
          </w:p>
        </w:tc>
        <w:tc>
          <w:tcPr>
            <w:tcW w:w="0" w:type="dxa"/>
            <w:vAlign w:val="bottom"/>
          </w:tcPr>
          <w:p>
            <w:pPr>
              <w:spacing w:after="0"/>
              <w:rPr>
                <w:sz w:val="1"/>
                <w:szCs w:val="1"/>
                <w:color w:val="auto"/>
              </w:rPr>
            </w:pPr>
          </w:p>
        </w:tc>
      </w:tr>
      <w:tr>
        <w:trPr>
          <w:trHeight w:val="22"/>
        </w:trPr>
        <w:tc>
          <w:tcPr>
            <w:tcW w:w="6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60" w:type="dxa"/>
            <w:vAlign w:val="bottom"/>
          </w:tcPr>
          <w:p>
            <w:pPr>
              <w:spacing w:after="0"/>
              <w:rPr>
                <w:sz w:val="13"/>
                <w:szCs w:val="13"/>
                <w:color w:val="auto"/>
              </w:rPr>
            </w:pPr>
          </w:p>
        </w:tc>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Notes receivable</w:t>
            </w:r>
          </w:p>
        </w:tc>
        <w:tc>
          <w:tcPr>
            <w:tcW w:w="160" w:type="dxa"/>
            <w:vAlign w:val="bottom"/>
            <w:tcBorders>
              <w:bottom w:val="single" w:sz="8" w:color="CFF0FC"/>
            </w:tcBorders>
            <w:shd w:val="clear" w:color="auto" w:fill="CFF0FC"/>
          </w:tcPr>
          <w:p>
            <w:pPr>
              <w:spacing w:after="0"/>
              <w:rPr>
                <w:sz w:val="13"/>
                <w:szCs w:val="13"/>
                <w:color w:val="auto"/>
              </w:rPr>
            </w:pPr>
          </w:p>
        </w:tc>
        <w:tc>
          <w:tcPr>
            <w:tcW w:w="1320" w:type="dxa"/>
            <w:vAlign w:val="bottom"/>
            <w:tcBorders>
              <w:bottom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12,927</w:t>
            </w:r>
          </w:p>
        </w:tc>
        <w:tc>
          <w:tcPr>
            <w:tcW w:w="1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FF0FC"/>
            </w:tcBorders>
            <w:shd w:val="clear" w:color="auto" w:fill="CFF0FC"/>
          </w:tcPr>
          <w:p>
            <w:pPr>
              <w:spacing w:after="0"/>
              <w:rPr>
                <w:sz w:val="13"/>
                <w:szCs w:val="13"/>
                <w:color w:val="auto"/>
              </w:rPr>
            </w:pPr>
          </w:p>
        </w:tc>
        <w:tc>
          <w:tcPr>
            <w:tcW w:w="1320" w:type="dxa"/>
            <w:vAlign w:val="bottom"/>
            <w:tcBorders>
              <w:bottom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2,082</w:t>
            </w:r>
          </w:p>
        </w:tc>
        <w:tc>
          <w:tcPr>
            <w:tcW w:w="0" w:type="dxa"/>
            <w:vAlign w:val="bottom"/>
          </w:tcPr>
          <w:p>
            <w:pPr>
              <w:spacing w:after="0"/>
              <w:rPr>
                <w:sz w:val="1"/>
                <w:szCs w:val="1"/>
                <w:color w:val="auto"/>
              </w:rPr>
            </w:pPr>
          </w:p>
        </w:tc>
      </w:tr>
      <w:tr>
        <w:trPr>
          <w:trHeight w:val="153"/>
        </w:trPr>
        <w:tc>
          <w:tcPr>
            <w:tcW w:w="60" w:type="dxa"/>
            <w:vAlign w:val="bottom"/>
          </w:tcPr>
          <w:p>
            <w:pPr>
              <w:spacing w:after="0"/>
              <w:rPr>
                <w:sz w:val="13"/>
                <w:szCs w:val="13"/>
                <w:color w:val="auto"/>
              </w:rPr>
            </w:pPr>
          </w:p>
        </w:tc>
        <w:tc>
          <w:tcPr>
            <w:tcW w:w="8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Other non-current assets</w:t>
            </w:r>
          </w:p>
        </w:tc>
        <w:tc>
          <w:tcPr>
            <w:tcW w:w="160" w:type="dxa"/>
            <w:vAlign w:val="bottom"/>
          </w:tcPr>
          <w:p>
            <w:pPr>
              <w:spacing w:after="0"/>
              <w:rPr>
                <w:sz w:val="13"/>
                <w:szCs w:val="13"/>
                <w:color w:val="auto"/>
              </w:rPr>
            </w:pPr>
          </w:p>
        </w:tc>
        <w:tc>
          <w:tcPr>
            <w:tcW w:w="13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12,947</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13,034</w:t>
            </w:r>
          </w:p>
        </w:tc>
        <w:tc>
          <w:tcPr>
            <w:tcW w:w="0" w:type="dxa"/>
            <w:vAlign w:val="bottom"/>
          </w:tcPr>
          <w:p>
            <w:pPr>
              <w:spacing w:after="0"/>
              <w:rPr>
                <w:sz w:val="1"/>
                <w:szCs w:val="1"/>
                <w:color w:val="auto"/>
              </w:rPr>
            </w:pPr>
          </w:p>
        </w:tc>
      </w:tr>
      <w:tr>
        <w:trPr>
          <w:trHeight w:val="22"/>
        </w:trPr>
        <w:tc>
          <w:tcPr>
            <w:tcW w:w="6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0" w:type="dxa"/>
            <w:vAlign w:val="bottom"/>
          </w:tcPr>
          <w:p>
            <w:pPr>
              <w:spacing w:after="0"/>
              <w:rPr>
                <w:sz w:val="16"/>
                <w:szCs w:val="16"/>
                <w:color w:val="auto"/>
              </w:rPr>
            </w:pPr>
          </w:p>
        </w:tc>
        <w:tc>
          <w:tcPr>
            <w:tcW w:w="818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Total assets</w:t>
            </w:r>
          </w:p>
        </w:tc>
        <w:tc>
          <w:tcPr>
            <w:tcW w:w="160" w:type="dxa"/>
            <w:vAlign w:val="bottom"/>
            <w:tcBorders>
              <w:top w:val="single" w:sz="8" w:color="auto"/>
              <w:bottom w:val="single" w:sz="8" w:color="CFF0FC"/>
            </w:tcBorders>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top w:val="single" w:sz="8" w:color="auto"/>
              <w:bottom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770,702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FF0FC"/>
            </w:tcBorders>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top w:val="single" w:sz="8" w:color="auto"/>
              <w:bottom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823,111</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81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60" w:type="dxa"/>
            <w:vAlign w:val="bottom"/>
          </w:tcPr>
          <w:p>
            <w:pPr>
              <w:spacing w:after="0"/>
              <w:rPr>
                <w:sz w:val="13"/>
                <w:szCs w:val="13"/>
                <w:color w:val="auto"/>
              </w:rPr>
            </w:pPr>
          </w:p>
        </w:tc>
        <w:tc>
          <w:tcPr>
            <w:tcW w:w="8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0" w:type="dxa"/>
            <w:vAlign w:val="bottom"/>
          </w:tcPr>
          <w:p>
            <w:pPr>
              <w:spacing w:after="0"/>
              <w:rPr>
                <w:sz w:val="13"/>
                <w:szCs w:val="13"/>
                <w:color w:val="auto"/>
              </w:rPr>
            </w:pPr>
          </w:p>
        </w:tc>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Liabilities and Equity</w:t>
            </w:r>
          </w:p>
        </w:tc>
        <w:tc>
          <w:tcPr>
            <w:tcW w:w="160" w:type="dxa"/>
            <w:vAlign w:val="bottom"/>
            <w:tcBorders>
              <w:bottom w:val="single" w:sz="8" w:color="CFF0FC"/>
            </w:tcBorders>
            <w:shd w:val="clear" w:color="auto" w:fill="CFF0FC"/>
          </w:tcPr>
          <w:p>
            <w:pPr>
              <w:spacing w:after="0"/>
              <w:rPr>
                <w:sz w:val="13"/>
                <w:szCs w:val="13"/>
                <w:color w:val="auto"/>
              </w:rPr>
            </w:pPr>
          </w:p>
        </w:tc>
        <w:tc>
          <w:tcPr>
            <w:tcW w:w="132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FF0FC"/>
            </w:tcBorders>
            <w:shd w:val="clear" w:color="auto" w:fill="CFF0FC"/>
          </w:tcPr>
          <w:p>
            <w:pPr>
              <w:spacing w:after="0"/>
              <w:rPr>
                <w:sz w:val="13"/>
                <w:szCs w:val="13"/>
                <w:color w:val="auto"/>
              </w:rPr>
            </w:pPr>
          </w:p>
        </w:tc>
        <w:tc>
          <w:tcPr>
            <w:tcW w:w="132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0" w:type="dxa"/>
            <w:vAlign w:val="bottom"/>
          </w:tcPr>
          <w:p>
            <w:pPr>
              <w:spacing w:after="0"/>
              <w:rPr>
                <w:sz w:val="13"/>
                <w:szCs w:val="13"/>
                <w:color w:val="auto"/>
              </w:rPr>
            </w:pPr>
          </w:p>
        </w:tc>
        <w:tc>
          <w:tcPr>
            <w:tcW w:w="8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Current liabilities:</w:t>
            </w: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
        </w:trPr>
        <w:tc>
          <w:tcPr>
            <w:tcW w:w="6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0" w:type="dxa"/>
            <w:vAlign w:val="bottom"/>
          </w:tcPr>
          <w:p>
            <w:pPr>
              <w:spacing w:after="0"/>
              <w:rPr>
                <w:sz w:val="13"/>
                <w:szCs w:val="13"/>
                <w:color w:val="auto"/>
              </w:rPr>
            </w:pPr>
          </w:p>
        </w:tc>
        <w:tc>
          <w:tcPr>
            <w:tcW w:w="81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1"/>
                <w:szCs w:val="11"/>
                <w:color w:val="auto"/>
              </w:rPr>
              <w:t>Accounts payable</w:t>
            </w:r>
          </w:p>
        </w:tc>
        <w:tc>
          <w:tcPr>
            <w:tcW w:w="160" w:type="dxa"/>
            <w:vAlign w:val="bottom"/>
            <w:tcBorders>
              <w:bottom w:val="single" w:sz="8" w:color="CFF0FC"/>
            </w:tcBorders>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bottom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26,036</w:t>
            </w:r>
          </w:p>
        </w:tc>
        <w:tc>
          <w:tcPr>
            <w:tcW w:w="260" w:type="dxa"/>
            <w:vAlign w:val="bottom"/>
            <w:tcBorders>
              <w:bottom w:val="single" w:sz="8" w:color="CFF0FC"/>
            </w:tcBorders>
            <w:gridSpan w:val="2"/>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320" w:type="dxa"/>
            <w:vAlign w:val="bottom"/>
            <w:tcBorders>
              <w:bottom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29,797</w:t>
            </w:r>
          </w:p>
        </w:tc>
        <w:tc>
          <w:tcPr>
            <w:tcW w:w="0" w:type="dxa"/>
            <w:vAlign w:val="bottom"/>
          </w:tcPr>
          <w:p>
            <w:pPr>
              <w:spacing w:after="0"/>
              <w:rPr>
                <w:sz w:val="1"/>
                <w:szCs w:val="1"/>
                <w:color w:val="auto"/>
              </w:rPr>
            </w:pPr>
          </w:p>
        </w:tc>
      </w:tr>
      <w:tr>
        <w:trPr>
          <w:trHeight w:val="153"/>
        </w:trPr>
        <w:tc>
          <w:tcPr>
            <w:tcW w:w="60" w:type="dxa"/>
            <w:vAlign w:val="bottom"/>
          </w:tcPr>
          <w:p>
            <w:pPr>
              <w:spacing w:after="0"/>
              <w:rPr>
                <w:sz w:val="13"/>
                <w:szCs w:val="13"/>
                <w:color w:val="auto"/>
              </w:rPr>
            </w:pPr>
          </w:p>
        </w:tc>
        <w:tc>
          <w:tcPr>
            <w:tcW w:w="81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Accrued expenses and other current liabilities</w:t>
            </w:r>
          </w:p>
        </w:tc>
        <w:tc>
          <w:tcPr>
            <w:tcW w:w="160" w:type="dxa"/>
            <w:vAlign w:val="bottom"/>
          </w:tcPr>
          <w:p>
            <w:pPr>
              <w:spacing w:after="0"/>
              <w:rPr>
                <w:sz w:val="13"/>
                <w:szCs w:val="13"/>
                <w:color w:val="auto"/>
              </w:rPr>
            </w:pPr>
          </w:p>
        </w:tc>
        <w:tc>
          <w:tcPr>
            <w:tcW w:w="13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30,562</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58,659</w:t>
            </w:r>
          </w:p>
        </w:tc>
        <w:tc>
          <w:tcPr>
            <w:tcW w:w="0" w:type="dxa"/>
            <w:vAlign w:val="bottom"/>
          </w:tcPr>
          <w:p>
            <w:pPr>
              <w:spacing w:after="0"/>
              <w:rPr>
                <w:sz w:val="1"/>
                <w:szCs w:val="1"/>
                <w:color w:val="auto"/>
              </w:rPr>
            </w:pPr>
          </w:p>
        </w:tc>
      </w:tr>
      <w:tr>
        <w:trPr>
          <w:trHeight w:val="22"/>
        </w:trPr>
        <w:tc>
          <w:tcPr>
            <w:tcW w:w="6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0" w:type="dxa"/>
            <w:vAlign w:val="bottom"/>
          </w:tcPr>
          <w:p>
            <w:pPr>
              <w:spacing w:after="0"/>
              <w:rPr>
                <w:sz w:val="13"/>
                <w:szCs w:val="13"/>
                <w:color w:val="auto"/>
              </w:rPr>
            </w:pPr>
          </w:p>
        </w:tc>
        <w:tc>
          <w:tcPr>
            <w:tcW w:w="81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1"/>
                <w:szCs w:val="11"/>
                <w:color w:val="auto"/>
              </w:rPr>
              <w:t>Income tax payable</w:t>
            </w:r>
          </w:p>
        </w:tc>
        <w:tc>
          <w:tcPr>
            <w:tcW w:w="160" w:type="dxa"/>
            <w:vAlign w:val="bottom"/>
            <w:tcBorders>
              <w:bottom w:val="single" w:sz="8" w:color="CFF0FC"/>
            </w:tcBorders>
            <w:shd w:val="clear" w:color="auto" w:fill="CFF0FC"/>
          </w:tcPr>
          <w:p>
            <w:pPr>
              <w:spacing w:after="0"/>
              <w:rPr>
                <w:sz w:val="13"/>
                <w:szCs w:val="13"/>
                <w:color w:val="auto"/>
              </w:rPr>
            </w:pPr>
          </w:p>
        </w:tc>
        <w:tc>
          <w:tcPr>
            <w:tcW w:w="1320" w:type="dxa"/>
            <w:vAlign w:val="bottom"/>
            <w:tcBorders>
              <w:bottom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85,914</w:t>
            </w:r>
          </w:p>
        </w:tc>
        <w:tc>
          <w:tcPr>
            <w:tcW w:w="10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CFF0FC"/>
            </w:tcBorders>
            <w:shd w:val="clear" w:color="auto" w:fill="CFF0FC"/>
          </w:tcPr>
          <w:p>
            <w:pPr>
              <w:spacing w:after="0"/>
              <w:rPr>
                <w:sz w:val="13"/>
                <w:szCs w:val="13"/>
                <w:color w:val="auto"/>
              </w:rPr>
            </w:pPr>
          </w:p>
        </w:tc>
        <w:tc>
          <w:tcPr>
            <w:tcW w:w="1320" w:type="dxa"/>
            <w:vAlign w:val="bottom"/>
            <w:tcBorders>
              <w:bottom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47,358</w:t>
            </w:r>
          </w:p>
        </w:tc>
        <w:tc>
          <w:tcPr>
            <w:tcW w:w="0" w:type="dxa"/>
            <w:vAlign w:val="bottom"/>
          </w:tcPr>
          <w:p>
            <w:pPr>
              <w:spacing w:after="0"/>
              <w:rPr>
                <w:sz w:val="1"/>
                <w:szCs w:val="1"/>
                <w:color w:val="auto"/>
              </w:rPr>
            </w:pPr>
          </w:p>
        </w:tc>
      </w:tr>
      <w:tr>
        <w:trPr>
          <w:trHeight w:val="153"/>
        </w:trPr>
        <w:tc>
          <w:tcPr>
            <w:tcW w:w="60" w:type="dxa"/>
            <w:vAlign w:val="bottom"/>
          </w:tcPr>
          <w:p>
            <w:pPr>
              <w:spacing w:after="0"/>
              <w:rPr>
                <w:sz w:val="13"/>
                <w:szCs w:val="13"/>
                <w:color w:val="auto"/>
              </w:rPr>
            </w:pPr>
          </w:p>
        </w:tc>
        <w:tc>
          <w:tcPr>
            <w:tcW w:w="81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Current portion of lease liability - operating leases</w:t>
            </w:r>
          </w:p>
        </w:tc>
        <w:tc>
          <w:tcPr>
            <w:tcW w:w="160" w:type="dxa"/>
            <w:vAlign w:val="bottom"/>
          </w:tcPr>
          <w:p>
            <w:pPr>
              <w:spacing w:after="0"/>
              <w:rPr>
                <w:sz w:val="13"/>
                <w:szCs w:val="13"/>
                <w:color w:val="auto"/>
              </w:rPr>
            </w:pPr>
          </w:p>
        </w:tc>
        <w:tc>
          <w:tcPr>
            <w:tcW w:w="13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7,228</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9,711</w:t>
            </w:r>
          </w:p>
        </w:tc>
        <w:tc>
          <w:tcPr>
            <w:tcW w:w="0" w:type="dxa"/>
            <w:vAlign w:val="bottom"/>
          </w:tcPr>
          <w:p>
            <w:pPr>
              <w:spacing w:after="0"/>
              <w:rPr>
                <w:sz w:val="1"/>
                <w:szCs w:val="1"/>
                <w:color w:val="auto"/>
              </w:rPr>
            </w:pPr>
          </w:p>
        </w:tc>
      </w:tr>
      <w:tr>
        <w:trPr>
          <w:trHeight w:val="22"/>
        </w:trPr>
        <w:tc>
          <w:tcPr>
            <w:tcW w:w="6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60" w:type="dxa"/>
            <w:vAlign w:val="bottom"/>
          </w:tcPr>
          <w:p>
            <w:pPr>
              <w:spacing w:after="0"/>
              <w:rPr>
                <w:sz w:val="13"/>
                <w:szCs w:val="13"/>
                <w:color w:val="auto"/>
              </w:rPr>
            </w:pPr>
          </w:p>
        </w:tc>
        <w:tc>
          <w:tcPr>
            <w:tcW w:w="81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1"/>
                <w:szCs w:val="11"/>
                <w:color w:val="auto"/>
              </w:rPr>
              <w:t>Current portion of lease liability - finance leases</w:t>
            </w:r>
          </w:p>
        </w:tc>
        <w:tc>
          <w:tcPr>
            <w:tcW w:w="160" w:type="dxa"/>
            <w:vAlign w:val="bottom"/>
            <w:tcBorders>
              <w:bottom w:val="single" w:sz="8" w:color="CFF0FC"/>
            </w:tcBorders>
            <w:shd w:val="clear" w:color="auto" w:fill="CFF0FC"/>
          </w:tcPr>
          <w:p>
            <w:pPr>
              <w:spacing w:after="0"/>
              <w:rPr>
                <w:sz w:val="13"/>
                <w:szCs w:val="13"/>
                <w:color w:val="auto"/>
              </w:rPr>
            </w:pPr>
          </w:p>
        </w:tc>
        <w:tc>
          <w:tcPr>
            <w:tcW w:w="1320" w:type="dxa"/>
            <w:vAlign w:val="bottom"/>
            <w:tcBorders>
              <w:bottom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5,441</w:t>
            </w:r>
          </w:p>
        </w:tc>
        <w:tc>
          <w:tcPr>
            <w:tcW w:w="10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CFF0FC"/>
            </w:tcBorders>
            <w:shd w:val="clear" w:color="auto" w:fill="CFF0FC"/>
          </w:tcPr>
          <w:p>
            <w:pPr>
              <w:spacing w:after="0"/>
              <w:rPr>
                <w:sz w:val="13"/>
                <w:szCs w:val="13"/>
                <w:color w:val="auto"/>
              </w:rPr>
            </w:pPr>
          </w:p>
        </w:tc>
        <w:tc>
          <w:tcPr>
            <w:tcW w:w="1320" w:type="dxa"/>
            <w:vAlign w:val="bottom"/>
            <w:tcBorders>
              <w:bottom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7,339</w:t>
            </w:r>
          </w:p>
        </w:tc>
        <w:tc>
          <w:tcPr>
            <w:tcW w:w="0" w:type="dxa"/>
            <w:vAlign w:val="bottom"/>
          </w:tcPr>
          <w:p>
            <w:pPr>
              <w:spacing w:after="0"/>
              <w:rPr>
                <w:sz w:val="1"/>
                <w:szCs w:val="1"/>
                <w:color w:val="auto"/>
              </w:rPr>
            </w:pPr>
          </w:p>
        </w:tc>
      </w:tr>
      <w:tr>
        <w:trPr>
          <w:trHeight w:val="154"/>
        </w:trPr>
        <w:tc>
          <w:tcPr>
            <w:tcW w:w="60" w:type="dxa"/>
            <w:vAlign w:val="bottom"/>
          </w:tcPr>
          <w:p>
            <w:pPr>
              <w:spacing w:after="0"/>
              <w:rPr>
                <w:sz w:val="13"/>
                <w:szCs w:val="13"/>
                <w:color w:val="auto"/>
              </w:rPr>
            </w:pPr>
          </w:p>
        </w:tc>
        <w:tc>
          <w:tcPr>
            <w:tcW w:w="81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Current portion of long-term debt, net</w:t>
            </w:r>
          </w:p>
        </w:tc>
        <w:tc>
          <w:tcPr>
            <w:tcW w:w="160" w:type="dxa"/>
            <w:vAlign w:val="bottom"/>
          </w:tcPr>
          <w:p>
            <w:pPr>
              <w:spacing w:after="0"/>
              <w:rPr>
                <w:sz w:val="13"/>
                <w:szCs w:val="13"/>
                <w:color w:val="auto"/>
              </w:rPr>
            </w:pPr>
          </w:p>
        </w:tc>
        <w:tc>
          <w:tcPr>
            <w:tcW w:w="13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51,447</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5,905</w:t>
            </w:r>
          </w:p>
        </w:tc>
        <w:tc>
          <w:tcPr>
            <w:tcW w:w="0" w:type="dxa"/>
            <w:vAlign w:val="bottom"/>
          </w:tcPr>
          <w:p>
            <w:pPr>
              <w:spacing w:after="0"/>
              <w:rPr>
                <w:sz w:val="1"/>
                <w:szCs w:val="1"/>
                <w:color w:val="auto"/>
              </w:rPr>
            </w:pPr>
          </w:p>
        </w:tc>
      </w:tr>
      <w:tr>
        <w:trPr>
          <w:trHeight w:val="22"/>
        </w:trPr>
        <w:tc>
          <w:tcPr>
            <w:tcW w:w="6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60" w:type="dxa"/>
            <w:vAlign w:val="bottom"/>
          </w:tcPr>
          <w:p>
            <w:pPr>
              <w:spacing w:after="0"/>
              <w:rPr>
                <w:sz w:val="15"/>
                <w:szCs w:val="15"/>
                <w:color w:val="auto"/>
              </w:rPr>
            </w:pPr>
          </w:p>
        </w:tc>
        <w:tc>
          <w:tcPr>
            <w:tcW w:w="81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1"/>
                <w:szCs w:val="11"/>
                <w:color w:val="auto"/>
              </w:rPr>
              <w:t>Liabilities held for sale</w:t>
            </w:r>
          </w:p>
        </w:tc>
        <w:tc>
          <w:tcPr>
            <w:tcW w:w="160" w:type="dxa"/>
            <w:vAlign w:val="bottom"/>
            <w:tcBorders>
              <w:bottom w:val="single" w:sz="8" w:color="CFF0FC"/>
            </w:tcBorders>
            <w:shd w:val="clear" w:color="auto" w:fill="CFF0FC"/>
          </w:tcPr>
          <w:p>
            <w:pPr>
              <w:spacing w:after="0"/>
              <w:rPr>
                <w:sz w:val="15"/>
                <w:szCs w:val="15"/>
                <w:color w:val="auto"/>
              </w:rPr>
            </w:pPr>
          </w:p>
        </w:tc>
        <w:tc>
          <w:tcPr>
            <w:tcW w:w="1320" w:type="dxa"/>
            <w:vAlign w:val="bottom"/>
            <w:tcBorders>
              <w:bottom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48,904</w:t>
            </w:r>
          </w:p>
        </w:tc>
        <w:tc>
          <w:tcPr>
            <w:tcW w:w="10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1320" w:type="dxa"/>
            <w:vAlign w:val="bottom"/>
            <w:tcBorders>
              <w:bottom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1,275</w:t>
            </w:r>
          </w:p>
        </w:tc>
        <w:tc>
          <w:tcPr>
            <w:tcW w:w="0" w:type="dxa"/>
            <w:vAlign w:val="bottom"/>
          </w:tcPr>
          <w:p>
            <w:pPr>
              <w:spacing w:after="0"/>
              <w:rPr>
                <w:sz w:val="1"/>
                <w:szCs w:val="1"/>
                <w:color w:val="auto"/>
              </w:rPr>
            </w:pPr>
          </w:p>
        </w:tc>
      </w:tr>
      <w:tr>
        <w:trPr>
          <w:trHeight w:val="147"/>
        </w:trPr>
        <w:tc>
          <w:tcPr>
            <w:tcW w:w="60" w:type="dxa"/>
            <w:vAlign w:val="bottom"/>
          </w:tcPr>
          <w:p>
            <w:pPr>
              <w:spacing w:after="0"/>
              <w:rPr>
                <w:sz w:val="12"/>
                <w:szCs w:val="12"/>
                <w:color w:val="auto"/>
              </w:rPr>
            </w:pPr>
          </w:p>
        </w:tc>
        <w:tc>
          <w:tcPr>
            <w:tcW w:w="81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Total current liabilities</w:t>
            </w:r>
          </w:p>
        </w:tc>
        <w:tc>
          <w:tcPr>
            <w:tcW w:w="16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255,532</w:t>
            </w: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160,044</w:t>
            </w:r>
          </w:p>
        </w:tc>
        <w:tc>
          <w:tcPr>
            <w:tcW w:w="0" w:type="dxa"/>
            <w:vAlign w:val="bottom"/>
          </w:tcPr>
          <w:p>
            <w:pPr>
              <w:spacing w:after="0"/>
              <w:rPr>
                <w:sz w:val="1"/>
                <w:szCs w:val="1"/>
                <w:color w:val="auto"/>
              </w:rPr>
            </w:pPr>
          </w:p>
        </w:tc>
      </w:tr>
      <w:tr>
        <w:trPr>
          <w:trHeight w:val="22"/>
        </w:trPr>
        <w:tc>
          <w:tcPr>
            <w:tcW w:w="6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0" w:type="dxa"/>
            <w:vAlign w:val="bottom"/>
          </w:tcPr>
          <w:p>
            <w:pPr>
              <w:spacing w:after="0"/>
              <w:rPr>
                <w:sz w:val="17"/>
                <w:szCs w:val="17"/>
                <w:color w:val="auto"/>
              </w:rPr>
            </w:pPr>
          </w:p>
        </w:tc>
        <w:tc>
          <w:tcPr>
            <w:tcW w:w="8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60" w:type="dxa"/>
            <w:vAlign w:val="bottom"/>
          </w:tcPr>
          <w:p>
            <w:pPr>
              <w:spacing w:after="0"/>
              <w:rPr>
                <w:sz w:val="13"/>
                <w:szCs w:val="13"/>
                <w:color w:val="auto"/>
              </w:rPr>
            </w:pPr>
          </w:p>
        </w:tc>
        <w:tc>
          <w:tcPr>
            <w:tcW w:w="8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Long-term debt, net</w:t>
            </w:r>
          </w:p>
        </w:tc>
        <w:tc>
          <w:tcPr>
            <w:tcW w:w="160" w:type="dxa"/>
            <w:vAlign w:val="bottom"/>
          </w:tcPr>
          <w:p>
            <w:pPr>
              <w:spacing w:after="0"/>
              <w:rPr>
                <w:sz w:val="13"/>
                <w:szCs w:val="13"/>
                <w:color w:val="auto"/>
              </w:rPr>
            </w:pPr>
          </w:p>
        </w:tc>
        <w:tc>
          <w:tcPr>
            <w:tcW w:w="13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248,563</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297,478</w:t>
            </w:r>
          </w:p>
        </w:tc>
        <w:tc>
          <w:tcPr>
            <w:tcW w:w="0" w:type="dxa"/>
            <w:vAlign w:val="bottom"/>
          </w:tcPr>
          <w:p>
            <w:pPr>
              <w:spacing w:after="0"/>
              <w:rPr>
                <w:sz w:val="1"/>
                <w:szCs w:val="1"/>
                <w:color w:val="auto"/>
              </w:rPr>
            </w:pPr>
          </w:p>
        </w:tc>
      </w:tr>
      <w:tr>
        <w:trPr>
          <w:trHeight w:val="22"/>
        </w:trPr>
        <w:tc>
          <w:tcPr>
            <w:tcW w:w="6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60" w:type="dxa"/>
            <w:vAlign w:val="bottom"/>
          </w:tcPr>
          <w:p>
            <w:pPr>
              <w:spacing w:after="0"/>
              <w:rPr>
                <w:sz w:val="13"/>
                <w:szCs w:val="13"/>
                <w:color w:val="auto"/>
              </w:rPr>
            </w:pPr>
          </w:p>
        </w:tc>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Long-term lease liability - operating leases</w:t>
            </w:r>
          </w:p>
        </w:tc>
        <w:tc>
          <w:tcPr>
            <w:tcW w:w="160" w:type="dxa"/>
            <w:vAlign w:val="bottom"/>
            <w:tcBorders>
              <w:bottom w:val="single" w:sz="8" w:color="CFF0FC"/>
            </w:tcBorders>
            <w:shd w:val="clear" w:color="auto" w:fill="CFF0FC"/>
          </w:tcPr>
          <w:p>
            <w:pPr>
              <w:spacing w:after="0"/>
              <w:rPr>
                <w:sz w:val="13"/>
                <w:szCs w:val="13"/>
                <w:color w:val="auto"/>
              </w:rPr>
            </w:pPr>
          </w:p>
        </w:tc>
        <w:tc>
          <w:tcPr>
            <w:tcW w:w="1320" w:type="dxa"/>
            <w:vAlign w:val="bottom"/>
            <w:tcBorders>
              <w:bottom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126,542</w:t>
            </w:r>
          </w:p>
        </w:tc>
        <w:tc>
          <w:tcPr>
            <w:tcW w:w="10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CFF0FC"/>
            </w:tcBorders>
            <w:shd w:val="clear" w:color="auto" w:fill="CFF0FC"/>
          </w:tcPr>
          <w:p>
            <w:pPr>
              <w:spacing w:after="0"/>
              <w:rPr>
                <w:sz w:val="13"/>
                <w:szCs w:val="13"/>
                <w:color w:val="auto"/>
              </w:rPr>
            </w:pPr>
          </w:p>
        </w:tc>
        <w:tc>
          <w:tcPr>
            <w:tcW w:w="1320" w:type="dxa"/>
            <w:vAlign w:val="bottom"/>
            <w:tcBorders>
              <w:bottom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182,001</w:t>
            </w:r>
          </w:p>
        </w:tc>
        <w:tc>
          <w:tcPr>
            <w:tcW w:w="0" w:type="dxa"/>
            <w:vAlign w:val="bottom"/>
          </w:tcPr>
          <w:p>
            <w:pPr>
              <w:spacing w:after="0"/>
              <w:rPr>
                <w:sz w:val="1"/>
                <w:szCs w:val="1"/>
                <w:color w:val="auto"/>
              </w:rPr>
            </w:pPr>
          </w:p>
        </w:tc>
      </w:tr>
      <w:tr>
        <w:trPr>
          <w:trHeight w:val="154"/>
        </w:trPr>
        <w:tc>
          <w:tcPr>
            <w:tcW w:w="60" w:type="dxa"/>
            <w:vAlign w:val="bottom"/>
          </w:tcPr>
          <w:p>
            <w:pPr>
              <w:spacing w:after="0"/>
              <w:rPr>
                <w:sz w:val="13"/>
                <w:szCs w:val="13"/>
                <w:color w:val="auto"/>
              </w:rPr>
            </w:pPr>
          </w:p>
        </w:tc>
        <w:tc>
          <w:tcPr>
            <w:tcW w:w="8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Long-term lease liability - finance leases</w:t>
            </w:r>
          </w:p>
        </w:tc>
        <w:tc>
          <w:tcPr>
            <w:tcW w:w="160" w:type="dxa"/>
            <w:vAlign w:val="bottom"/>
          </w:tcPr>
          <w:p>
            <w:pPr>
              <w:spacing w:after="0"/>
              <w:rPr>
                <w:sz w:val="13"/>
                <w:szCs w:val="13"/>
                <w:color w:val="auto"/>
              </w:rPr>
            </w:pPr>
          </w:p>
        </w:tc>
        <w:tc>
          <w:tcPr>
            <w:tcW w:w="13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38,932</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43,890</w:t>
            </w:r>
          </w:p>
        </w:tc>
        <w:tc>
          <w:tcPr>
            <w:tcW w:w="0" w:type="dxa"/>
            <w:vAlign w:val="bottom"/>
          </w:tcPr>
          <w:p>
            <w:pPr>
              <w:spacing w:after="0"/>
              <w:rPr>
                <w:sz w:val="1"/>
                <w:szCs w:val="1"/>
                <w:color w:val="auto"/>
              </w:rPr>
            </w:pPr>
          </w:p>
        </w:tc>
      </w:tr>
      <w:tr>
        <w:trPr>
          <w:trHeight w:val="22"/>
        </w:trPr>
        <w:tc>
          <w:tcPr>
            <w:tcW w:w="6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60" w:type="dxa"/>
            <w:vAlign w:val="bottom"/>
          </w:tcPr>
          <w:p>
            <w:pPr>
              <w:spacing w:after="0"/>
              <w:rPr>
                <w:sz w:val="13"/>
                <w:szCs w:val="13"/>
                <w:color w:val="auto"/>
              </w:rPr>
            </w:pPr>
          </w:p>
        </w:tc>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Derivative liability</w:t>
            </w:r>
          </w:p>
        </w:tc>
        <w:tc>
          <w:tcPr>
            <w:tcW w:w="160" w:type="dxa"/>
            <w:vAlign w:val="bottom"/>
            <w:tcBorders>
              <w:bottom w:val="single" w:sz="8" w:color="CFF0FC"/>
            </w:tcBorders>
            <w:shd w:val="clear" w:color="auto" w:fill="CFF0FC"/>
          </w:tcPr>
          <w:p>
            <w:pPr>
              <w:spacing w:after="0"/>
              <w:rPr>
                <w:sz w:val="13"/>
                <w:szCs w:val="13"/>
                <w:color w:val="auto"/>
              </w:rPr>
            </w:pPr>
          </w:p>
        </w:tc>
        <w:tc>
          <w:tcPr>
            <w:tcW w:w="1320" w:type="dxa"/>
            <w:vAlign w:val="bottom"/>
            <w:tcBorders>
              <w:bottom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2,448</w:t>
            </w:r>
          </w:p>
        </w:tc>
        <w:tc>
          <w:tcPr>
            <w:tcW w:w="10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CFF0FC"/>
            </w:tcBorders>
            <w:shd w:val="clear" w:color="auto" w:fill="CFF0FC"/>
          </w:tcPr>
          <w:p>
            <w:pPr>
              <w:spacing w:after="0"/>
              <w:rPr>
                <w:sz w:val="13"/>
                <w:szCs w:val="13"/>
                <w:color w:val="auto"/>
              </w:rPr>
            </w:pPr>
          </w:p>
        </w:tc>
        <w:tc>
          <w:tcPr>
            <w:tcW w:w="1320" w:type="dxa"/>
            <w:vAlign w:val="bottom"/>
            <w:tcBorders>
              <w:bottom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119</w:t>
            </w:r>
          </w:p>
        </w:tc>
        <w:tc>
          <w:tcPr>
            <w:tcW w:w="0" w:type="dxa"/>
            <w:vAlign w:val="bottom"/>
          </w:tcPr>
          <w:p>
            <w:pPr>
              <w:spacing w:after="0"/>
              <w:rPr>
                <w:sz w:val="1"/>
                <w:szCs w:val="1"/>
                <w:color w:val="auto"/>
              </w:rPr>
            </w:pPr>
          </w:p>
        </w:tc>
      </w:tr>
      <w:tr>
        <w:trPr>
          <w:trHeight w:val="154"/>
        </w:trPr>
        <w:tc>
          <w:tcPr>
            <w:tcW w:w="60" w:type="dxa"/>
            <w:vAlign w:val="bottom"/>
          </w:tcPr>
          <w:p>
            <w:pPr>
              <w:spacing w:after="0"/>
              <w:rPr>
                <w:sz w:val="13"/>
                <w:szCs w:val="13"/>
                <w:color w:val="auto"/>
              </w:rPr>
            </w:pPr>
          </w:p>
        </w:tc>
        <w:tc>
          <w:tcPr>
            <w:tcW w:w="8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Other long-term liabilities</w:t>
            </w:r>
          </w:p>
        </w:tc>
        <w:tc>
          <w:tcPr>
            <w:tcW w:w="160" w:type="dxa"/>
            <w:vAlign w:val="bottom"/>
          </w:tcPr>
          <w:p>
            <w:pPr>
              <w:spacing w:after="0"/>
              <w:rPr>
                <w:sz w:val="13"/>
                <w:szCs w:val="13"/>
                <w:color w:val="auto"/>
              </w:rPr>
            </w:pPr>
          </w:p>
        </w:tc>
        <w:tc>
          <w:tcPr>
            <w:tcW w:w="13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74,682</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74,227</w:t>
            </w:r>
          </w:p>
        </w:tc>
        <w:tc>
          <w:tcPr>
            <w:tcW w:w="0" w:type="dxa"/>
            <w:vAlign w:val="bottom"/>
          </w:tcPr>
          <w:p>
            <w:pPr>
              <w:spacing w:after="0"/>
              <w:rPr>
                <w:sz w:val="1"/>
                <w:szCs w:val="1"/>
                <w:color w:val="auto"/>
              </w:rPr>
            </w:pPr>
          </w:p>
        </w:tc>
      </w:tr>
      <w:tr>
        <w:trPr>
          <w:trHeight w:val="22"/>
        </w:trPr>
        <w:tc>
          <w:tcPr>
            <w:tcW w:w="60" w:type="dxa"/>
            <w:vAlign w:val="bottom"/>
          </w:tcPr>
          <w:p>
            <w:pPr>
              <w:spacing w:after="0" w:line="20" w:lineRule="exact"/>
              <w:rPr>
                <w:sz w:val="1"/>
                <w:szCs w:val="1"/>
                <w:color w:val="auto"/>
              </w:rPr>
            </w:pPr>
          </w:p>
        </w:tc>
        <w:tc>
          <w:tcPr>
            <w:tcW w:w="8180" w:type="dxa"/>
            <w:vAlign w:val="bottom"/>
            <w:tcBorders>
              <w:bottom w:val="single" w:sz="8" w:color="CFF0FC"/>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60" w:type="dxa"/>
            <w:vAlign w:val="bottom"/>
          </w:tcPr>
          <w:p>
            <w:pPr>
              <w:spacing w:after="0"/>
              <w:rPr>
                <w:sz w:val="12"/>
                <w:szCs w:val="12"/>
                <w:color w:val="auto"/>
              </w:rPr>
            </w:pPr>
          </w:p>
        </w:tc>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Total liabilities</w:t>
            </w:r>
          </w:p>
        </w:tc>
        <w:tc>
          <w:tcPr>
            <w:tcW w:w="160" w:type="dxa"/>
            <w:vAlign w:val="bottom"/>
            <w:tcBorders>
              <w:bottom w:val="single" w:sz="8" w:color="CFF0FC"/>
            </w:tcBorders>
            <w:shd w:val="clear" w:color="auto" w:fill="CFF0FC"/>
          </w:tcPr>
          <w:p>
            <w:pPr>
              <w:spacing w:after="0"/>
              <w:rPr>
                <w:sz w:val="12"/>
                <w:szCs w:val="12"/>
                <w:color w:val="auto"/>
              </w:rPr>
            </w:pPr>
          </w:p>
        </w:tc>
        <w:tc>
          <w:tcPr>
            <w:tcW w:w="1320" w:type="dxa"/>
            <w:vAlign w:val="bottom"/>
            <w:tcBorders>
              <w:bottom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746,699</w:t>
            </w:r>
          </w:p>
        </w:tc>
        <w:tc>
          <w:tcPr>
            <w:tcW w:w="10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CFF0FC"/>
            </w:tcBorders>
            <w:shd w:val="clear" w:color="auto" w:fill="CFF0FC"/>
          </w:tcPr>
          <w:p>
            <w:pPr>
              <w:spacing w:after="0"/>
              <w:rPr>
                <w:sz w:val="12"/>
                <w:szCs w:val="12"/>
                <w:color w:val="auto"/>
              </w:rPr>
            </w:pPr>
          </w:p>
        </w:tc>
        <w:tc>
          <w:tcPr>
            <w:tcW w:w="1320" w:type="dxa"/>
            <w:vAlign w:val="bottom"/>
            <w:tcBorders>
              <w:bottom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757,759</w:t>
            </w:r>
          </w:p>
        </w:tc>
        <w:tc>
          <w:tcPr>
            <w:tcW w:w="0" w:type="dxa"/>
            <w:vAlign w:val="bottom"/>
          </w:tcPr>
          <w:p>
            <w:pPr>
              <w:spacing w:after="0"/>
              <w:rPr>
                <w:sz w:val="1"/>
                <w:szCs w:val="1"/>
                <w:color w:val="auto"/>
              </w:rPr>
            </w:pPr>
          </w:p>
        </w:tc>
      </w:tr>
      <w:tr>
        <w:trPr>
          <w:trHeight w:val="203"/>
        </w:trPr>
        <w:tc>
          <w:tcPr>
            <w:tcW w:w="60" w:type="dxa"/>
            <w:vAlign w:val="bottom"/>
            <w:vMerge w:val="restart"/>
          </w:tcPr>
          <w:p>
            <w:pPr>
              <w:spacing w:after="0"/>
              <w:rPr>
                <w:sz w:val="17"/>
                <w:szCs w:val="17"/>
                <w:color w:val="auto"/>
              </w:rPr>
            </w:pPr>
          </w:p>
        </w:tc>
        <w:tc>
          <w:tcPr>
            <w:tcW w:w="8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60" w:type="dxa"/>
            <w:vAlign w:val="bottom"/>
            <w:vMerge w:val="continue"/>
          </w:tcPr>
          <w:p>
            <w:pPr>
              <w:spacing w:after="0"/>
              <w:rPr>
                <w:sz w:val="12"/>
                <w:szCs w:val="12"/>
                <w:color w:val="auto"/>
              </w:rPr>
            </w:pPr>
          </w:p>
        </w:tc>
        <w:tc>
          <w:tcPr>
            <w:tcW w:w="8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1"/>
                <w:szCs w:val="11"/>
                <w:color w:val="auto"/>
              </w:rPr>
              <w:t>Stockholders' Equity:</w:t>
            </w:r>
          </w:p>
        </w:tc>
        <w:tc>
          <w:tcPr>
            <w:tcW w:w="160" w:type="dxa"/>
            <w:vAlign w:val="bottom"/>
            <w:tcBorders>
              <w:bottom w:val="single" w:sz="8" w:color="CFF0FC"/>
            </w:tcBorders>
            <w:shd w:val="clear" w:color="auto" w:fill="CFF0FC"/>
          </w:tcPr>
          <w:p>
            <w:pPr>
              <w:spacing w:after="0"/>
              <w:rPr>
                <w:sz w:val="12"/>
                <w:szCs w:val="12"/>
                <w:color w:val="auto"/>
              </w:rPr>
            </w:pPr>
          </w:p>
        </w:tc>
        <w:tc>
          <w:tcPr>
            <w:tcW w:w="13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CFF0FC"/>
            </w:tcBorders>
            <w:shd w:val="clear" w:color="auto" w:fill="CFF0FC"/>
          </w:tcPr>
          <w:p>
            <w:pPr>
              <w:spacing w:after="0"/>
              <w:rPr>
                <w:sz w:val="12"/>
                <w:szCs w:val="12"/>
                <w:color w:val="auto"/>
              </w:rPr>
            </w:pPr>
          </w:p>
        </w:tc>
        <w:tc>
          <w:tcPr>
            <w:tcW w:w="132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60" w:type="dxa"/>
            <w:vAlign w:val="bottom"/>
          </w:tcPr>
          <w:p>
            <w:pPr>
              <w:spacing w:after="0"/>
              <w:rPr>
                <w:sz w:val="9"/>
                <w:szCs w:val="9"/>
                <w:color w:val="auto"/>
              </w:rPr>
            </w:pPr>
          </w:p>
        </w:tc>
        <w:tc>
          <w:tcPr>
            <w:tcW w:w="8180" w:type="dxa"/>
            <w:vAlign w:val="bottom"/>
          </w:tcPr>
          <w:p>
            <w:pPr>
              <w:ind w:left="140"/>
              <w:spacing w:after="0" w:line="109" w:lineRule="exact"/>
              <w:rPr>
                <w:sz w:val="20"/>
                <w:szCs w:val="20"/>
                <w:color w:val="auto"/>
              </w:rPr>
            </w:pPr>
            <w:r>
              <w:rPr>
                <w:rFonts w:ascii="Arial" w:cs="Arial" w:eastAsia="Arial" w:hAnsi="Arial"/>
                <w:sz w:val="11"/>
                <w:szCs w:val="11"/>
                <w:color w:val="auto"/>
              </w:rPr>
              <w:t>Common Stock, no par value, unlimited shares authorized as of September 30, 2024 and December 31, 2023, respectively, 463,797,644 and 420,265,306 shares</w:t>
            </w:r>
          </w:p>
        </w:tc>
        <w:tc>
          <w:tcPr>
            <w:tcW w:w="160" w:type="dxa"/>
            <w:vAlign w:val="bottom"/>
          </w:tcPr>
          <w:p>
            <w:pPr>
              <w:spacing w:after="0"/>
              <w:rPr>
                <w:sz w:val="9"/>
                <w:szCs w:val="9"/>
                <w:color w:val="auto"/>
              </w:rPr>
            </w:pPr>
          </w:p>
        </w:tc>
        <w:tc>
          <w:tcPr>
            <w:tcW w:w="132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2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2"/>
        </w:trPr>
        <w:tc>
          <w:tcPr>
            <w:tcW w:w="60" w:type="dxa"/>
            <w:vAlign w:val="bottom"/>
          </w:tcPr>
          <w:p>
            <w:pPr>
              <w:spacing w:after="0"/>
              <w:rPr>
                <w:sz w:val="12"/>
                <w:szCs w:val="12"/>
                <w:color w:val="auto"/>
              </w:rPr>
            </w:pPr>
          </w:p>
        </w:tc>
        <w:tc>
          <w:tcPr>
            <w:tcW w:w="8180" w:type="dxa"/>
            <w:vAlign w:val="bottom"/>
          </w:tcPr>
          <w:p>
            <w:pPr>
              <w:ind w:left="240"/>
              <w:spacing w:after="0"/>
              <w:rPr>
                <w:sz w:val="20"/>
                <w:szCs w:val="20"/>
                <w:color w:val="auto"/>
              </w:rPr>
            </w:pPr>
            <w:r>
              <w:rPr>
                <w:rFonts w:ascii="Arial" w:cs="Arial" w:eastAsia="Arial" w:hAnsi="Arial"/>
                <w:sz w:val="11"/>
                <w:szCs w:val="11"/>
                <w:color w:val="auto"/>
              </w:rPr>
              <w:t>issued and outstanding as of September 30, 2024 and December 31, 2023, respectively</w:t>
            </w:r>
          </w:p>
        </w:tc>
        <w:tc>
          <w:tcPr>
            <w:tcW w:w="16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60" w:type="dxa"/>
            <w:vAlign w:val="bottom"/>
          </w:tcPr>
          <w:p>
            <w:pPr>
              <w:spacing w:after="0"/>
              <w:rPr>
                <w:sz w:val="11"/>
                <w:szCs w:val="11"/>
                <w:color w:val="auto"/>
              </w:rPr>
            </w:pPr>
          </w:p>
        </w:tc>
        <w:tc>
          <w:tcPr>
            <w:tcW w:w="8180" w:type="dxa"/>
            <w:vAlign w:val="bottom"/>
            <w:shd w:val="clear" w:color="auto" w:fill="CFF0FC"/>
          </w:tcPr>
          <w:p>
            <w:pPr>
              <w:ind w:left="240"/>
              <w:spacing w:after="0"/>
              <w:rPr>
                <w:sz w:val="20"/>
                <w:szCs w:val="20"/>
                <w:color w:val="auto"/>
              </w:rPr>
            </w:pPr>
            <w:r>
              <w:rPr>
                <w:rFonts w:ascii="Arial" w:cs="Arial" w:eastAsia="Arial" w:hAnsi="Arial"/>
                <w:sz w:val="11"/>
                <w:szCs w:val="11"/>
                <w:color w:val="auto"/>
              </w:rPr>
              <w:t>Preferred Stock, no par value, unlimited shares authorized as of September 30, 2024 and December 31, 2023, respectively, none issued and outstanding as of</w:t>
            </w:r>
          </w:p>
        </w:tc>
        <w:tc>
          <w:tcPr>
            <w:tcW w:w="160" w:type="dxa"/>
            <w:vAlign w:val="bottom"/>
            <w:shd w:val="clear" w:color="auto" w:fill="CFF0FC"/>
          </w:tcPr>
          <w:p>
            <w:pPr>
              <w:spacing w:after="0"/>
              <w:rPr>
                <w:sz w:val="11"/>
                <w:szCs w:val="11"/>
                <w:color w:val="auto"/>
              </w:rPr>
            </w:pPr>
          </w:p>
        </w:tc>
        <w:tc>
          <w:tcPr>
            <w:tcW w:w="1320" w:type="dxa"/>
            <w:vAlign w:val="bottom"/>
            <w:vMerge w:val="restart"/>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320" w:type="dxa"/>
            <w:vAlign w:val="bottom"/>
            <w:vMerge w:val="restart"/>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2"/>
        </w:trPr>
        <w:tc>
          <w:tcPr>
            <w:tcW w:w="60" w:type="dxa"/>
            <w:vAlign w:val="bottom"/>
          </w:tcPr>
          <w:p>
            <w:pPr>
              <w:spacing w:after="0"/>
              <w:rPr>
                <w:sz w:val="12"/>
                <w:szCs w:val="12"/>
                <w:color w:val="auto"/>
              </w:rPr>
            </w:pPr>
          </w:p>
        </w:tc>
        <w:tc>
          <w:tcPr>
            <w:tcW w:w="81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1"/>
                <w:szCs w:val="11"/>
                <w:color w:val="auto"/>
              </w:rPr>
              <w:t>September 30, 2024 and December 31, 2023</w:t>
            </w:r>
          </w:p>
        </w:tc>
        <w:tc>
          <w:tcPr>
            <w:tcW w:w="160" w:type="dxa"/>
            <w:vAlign w:val="bottom"/>
            <w:tcBorders>
              <w:bottom w:val="single" w:sz="8" w:color="CFF0FC"/>
            </w:tcBorders>
            <w:shd w:val="clear" w:color="auto" w:fill="CFF0FC"/>
          </w:tcPr>
          <w:p>
            <w:pPr>
              <w:spacing w:after="0"/>
              <w:rPr>
                <w:sz w:val="12"/>
                <w:szCs w:val="12"/>
                <w:color w:val="auto"/>
              </w:rPr>
            </w:pPr>
          </w:p>
        </w:tc>
        <w:tc>
          <w:tcPr>
            <w:tcW w:w="1320" w:type="dxa"/>
            <w:vAlign w:val="bottom"/>
            <w:tcBorders>
              <w:bottom w:val="single" w:sz="8" w:color="CFF0FC"/>
            </w:tcBorders>
            <w:vMerge w:val="continue"/>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CFF0FC"/>
            </w:tcBorders>
            <w:shd w:val="clear" w:color="auto" w:fill="CFF0FC"/>
          </w:tcPr>
          <w:p>
            <w:pPr>
              <w:spacing w:after="0"/>
              <w:rPr>
                <w:sz w:val="12"/>
                <w:szCs w:val="12"/>
                <w:color w:val="auto"/>
              </w:rPr>
            </w:pPr>
          </w:p>
        </w:tc>
        <w:tc>
          <w:tcPr>
            <w:tcW w:w="1320" w:type="dxa"/>
            <w:vAlign w:val="bottom"/>
            <w:tcBorders>
              <w:bottom w:val="single" w:sz="8" w:color="CFF0FC"/>
            </w:tcBorders>
            <w:vMerge w:val="continue"/>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8180" w:type="dxa"/>
            <w:vAlign w:val="bottom"/>
          </w:tcPr>
          <w:p>
            <w:pPr>
              <w:ind w:left="240"/>
              <w:spacing w:after="0"/>
              <w:rPr>
                <w:sz w:val="20"/>
                <w:szCs w:val="20"/>
                <w:color w:val="auto"/>
              </w:rPr>
            </w:pPr>
            <w:r>
              <w:rPr>
                <w:rFonts w:ascii="Arial" w:cs="Arial" w:eastAsia="Arial" w:hAnsi="Arial"/>
                <w:sz w:val="11"/>
                <w:szCs w:val="11"/>
                <w:color w:val="auto"/>
              </w:rPr>
              <w:t>Proportionate voting shares, no par value, unlimited shares authorized as of September 30, 2024 and December 31, 2023, respectively; 7,701,826 and 9,807,881</w:t>
            </w:r>
          </w:p>
        </w:tc>
        <w:tc>
          <w:tcPr>
            <w:tcW w:w="160" w:type="dxa"/>
            <w:vAlign w:val="bottom"/>
          </w:tcPr>
          <w:p>
            <w:pPr>
              <w:spacing w:after="0"/>
              <w:rPr>
                <w:sz w:val="11"/>
                <w:szCs w:val="11"/>
                <w:color w:val="auto"/>
              </w:rPr>
            </w:pPr>
          </w:p>
        </w:tc>
        <w:tc>
          <w:tcPr>
            <w:tcW w:w="132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8180" w:type="dxa"/>
            <w:vAlign w:val="bottom"/>
          </w:tcPr>
          <w:p>
            <w:pPr>
              <w:ind w:left="240"/>
              <w:spacing w:after="0"/>
              <w:rPr>
                <w:sz w:val="20"/>
                <w:szCs w:val="20"/>
                <w:color w:val="auto"/>
              </w:rPr>
            </w:pPr>
            <w:r>
              <w:rPr>
                <w:rFonts w:ascii="Arial" w:cs="Arial" w:eastAsia="Arial" w:hAnsi="Arial"/>
                <w:sz w:val="11"/>
                <w:szCs w:val="11"/>
                <w:color w:val="auto"/>
              </w:rPr>
              <w:t>shares issued and outstanding as of September 30, 2024 and December 31, 2023, respectively</w:t>
            </w:r>
          </w:p>
        </w:tc>
        <w:tc>
          <w:tcPr>
            <w:tcW w:w="160" w:type="dxa"/>
            <w:vAlign w:val="bottom"/>
          </w:tcPr>
          <w:p>
            <w:pPr>
              <w:spacing w:after="0"/>
              <w:rPr>
                <w:sz w:val="13"/>
                <w:szCs w:val="13"/>
                <w:color w:val="auto"/>
              </w:rPr>
            </w:pPr>
          </w:p>
        </w:tc>
        <w:tc>
          <w:tcPr>
            <w:tcW w:w="13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60" w:type="dxa"/>
            <w:vAlign w:val="bottom"/>
          </w:tcPr>
          <w:p>
            <w:pPr>
              <w:spacing w:after="0"/>
              <w:rPr>
                <w:sz w:val="14"/>
                <w:szCs w:val="14"/>
                <w:color w:val="auto"/>
              </w:rPr>
            </w:pPr>
          </w:p>
        </w:tc>
        <w:tc>
          <w:tcPr>
            <w:tcW w:w="81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1"/>
                <w:szCs w:val="11"/>
                <w:color w:val="auto"/>
              </w:rPr>
              <w:t>Additional paid-in-capital</w:t>
            </w:r>
          </w:p>
        </w:tc>
        <w:tc>
          <w:tcPr>
            <w:tcW w:w="160" w:type="dxa"/>
            <w:vAlign w:val="bottom"/>
            <w:tcBorders>
              <w:bottom w:val="single" w:sz="8" w:color="CFF0FC"/>
            </w:tcBorders>
            <w:shd w:val="clear" w:color="auto" w:fill="CFF0FC"/>
          </w:tcPr>
          <w:p>
            <w:pPr>
              <w:spacing w:after="0"/>
              <w:rPr>
                <w:sz w:val="14"/>
                <w:szCs w:val="14"/>
                <w:color w:val="auto"/>
              </w:rPr>
            </w:pPr>
          </w:p>
        </w:tc>
        <w:tc>
          <w:tcPr>
            <w:tcW w:w="1320" w:type="dxa"/>
            <w:vAlign w:val="bottom"/>
            <w:tcBorders>
              <w:bottom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1,155,131</w:t>
            </w:r>
          </w:p>
        </w:tc>
        <w:tc>
          <w:tcPr>
            <w:tcW w:w="10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CFF0FC"/>
            </w:tcBorders>
            <w:shd w:val="clear" w:color="auto" w:fill="CFF0FC"/>
          </w:tcPr>
          <w:p>
            <w:pPr>
              <w:spacing w:after="0"/>
              <w:rPr>
                <w:sz w:val="14"/>
                <w:szCs w:val="14"/>
                <w:color w:val="auto"/>
              </w:rPr>
            </w:pPr>
          </w:p>
        </w:tc>
        <w:tc>
          <w:tcPr>
            <w:tcW w:w="1320" w:type="dxa"/>
            <w:vAlign w:val="bottom"/>
            <w:tcBorders>
              <w:bottom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1,146,154</w:t>
            </w:r>
          </w:p>
        </w:tc>
        <w:tc>
          <w:tcPr>
            <w:tcW w:w="0" w:type="dxa"/>
            <w:vAlign w:val="bottom"/>
          </w:tcPr>
          <w:p>
            <w:pPr>
              <w:spacing w:after="0"/>
              <w:rPr>
                <w:sz w:val="1"/>
                <w:szCs w:val="1"/>
                <w:color w:val="auto"/>
              </w:rPr>
            </w:pPr>
          </w:p>
        </w:tc>
      </w:tr>
      <w:tr>
        <w:trPr>
          <w:trHeight w:val="153"/>
        </w:trPr>
        <w:tc>
          <w:tcPr>
            <w:tcW w:w="60" w:type="dxa"/>
            <w:vAlign w:val="bottom"/>
          </w:tcPr>
          <w:p>
            <w:pPr>
              <w:spacing w:after="0"/>
              <w:rPr>
                <w:sz w:val="13"/>
                <w:szCs w:val="13"/>
                <w:color w:val="auto"/>
              </w:rPr>
            </w:pPr>
          </w:p>
        </w:tc>
        <w:tc>
          <w:tcPr>
            <w:tcW w:w="81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Accumulated deficit</w:t>
            </w:r>
          </w:p>
        </w:tc>
        <w:tc>
          <w:tcPr>
            <w:tcW w:w="16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(1,130,303)</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(1,079,282)</w:t>
            </w:r>
          </w:p>
        </w:tc>
        <w:tc>
          <w:tcPr>
            <w:tcW w:w="0" w:type="dxa"/>
            <w:vAlign w:val="bottom"/>
          </w:tcPr>
          <w:p>
            <w:pPr>
              <w:spacing w:after="0"/>
              <w:rPr>
                <w:sz w:val="1"/>
                <w:szCs w:val="1"/>
                <w:color w:val="auto"/>
              </w:rPr>
            </w:pPr>
          </w:p>
        </w:tc>
      </w:tr>
      <w:tr>
        <w:trPr>
          <w:trHeight w:val="22"/>
        </w:trPr>
        <w:tc>
          <w:tcPr>
            <w:tcW w:w="60" w:type="dxa"/>
            <w:vAlign w:val="bottom"/>
          </w:tcPr>
          <w:p>
            <w:pPr>
              <w:spacing w:after="0" w:line="20" w:lineRule="exact"/>
              <w:rPr>
                <w:sz w:val="1"/>
                <w:szCs w:val="1"/>
                <w:color w:val="auto"/>
              </w:rPr>
            </w:pPr>
          </w:p>
        </w:tc>
        <w:tc>
          <w:tcPr>
            <w:tcW w:w="8180" w:type="dxa"/>
            <w:vAlign w:val="bottom"/>
            <w:tcBorders>
              <w:bottom w:val="single" w:sz="8" w:color="CFF0FC"/>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60" w:type="dxa"/>
            <w:vAlign w:val="bottom"/>
          </w:tcPr>
          <w:p>
            <w:pPr>
              <w:spacing w:after="0"/>
              <w:rPr>
                <w:sz w:val="12"/>
                <w:szCs w:val="12"/>
                <w:color w:val="auto"/>
              </w:rPr>
            </w:pPr>
          </w:p>
        </w:tc>
        <w:tc>
          <w:tcPr>
            <w:tcW w:w="818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1"/>
                <w:szCs w:val="11"/>
                <w:color w:val="auto"/>
              </w:rPr>
              <w:t>Equity attributable to The Cannabist Company Holdings Inc.</w:t>
            </w:r>
          </w:p>
        </w:tc>
        <w:tc>
          <w:tcPr>
            <w:tcW w:w="160" w:type="dxa"/>
            <w:vAlign w:val="bottom"/>
            <w:tcBorders>
              <w:bottom w:val="single" w:sz="8" w:color="CFF0FC"/>
            </w:tcBorders>
            <w:shd w:val="clear" w:color="auto" w:fill="CFF0FC"/>
          </w:tcPr>
          <w:p>
            <w:pPr>
              <w:spacing w:after="0"/>
              <w:rPr>
                <w:sz w:val="12"/>
                <w:szCs w:val="12"/>
                <w:color w:val="auto"/>
              </w:rPr>
            </w:pPr>
          </w:p>
        </w:tc>
        <w:tc>
          <w:tcPr>
            <w:tcW w:w="1320" w:type="dxa"/>
            <w:vAlign w:val="bottom"/>
            <w:tcBorders>
              <w:bottom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24,828</w:t>
            </w:r>
          </w:p>
        </w:tc>
        <w:tc>
          <w:tcPr>
            <w:tcW w:w="10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CFF0FC"/>
            </w:tcBorders>
            <w:shd w:val="clear" w:color="auto" w:fill="CFF0FC"/>
          </w:tcPr>
          <w:p>
            <w:pPr>
              <w:spacing w:after="0"/>
              <w:rPr>
                <w:sz w:val="12"/>
                <w:szCs w:val="12"/>
                <w:color w:val="auto"/>
              </w:rPr>
            </w:pPr>
          </w:p>
        </w:tc>
        <w:tc>
          <w:tcPr>
            <w:tcW w:w="1320" w:type="dxa"/>
            <w:vAlign w:val="bottom"/>
            <w:tcBorders>
              <w:bottom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66,872</w:t>
            </w:r>
          </w:p>
        </w:tc>
        <w:tc>
          <w:tcPr>
            <w:tcW w:w="0" w:type="dxa"/>
            <w:vAlign w:val="bottom"/>
          </w:tcPr>
          <w:p>
            <w:pPr>
              <w:spacing w:after="0"/>
              <w:rPr>
                <w:sz w:val="1"/>
                <w:szCs w:val="1"/>
                <w:color w:val="auto"/>
              </w:rPr>
            </w:pPr>
          </w:p>
        </w:tc>
      </w:tr>
      <w:tr>
        <w:trPr>
          <w:trHeight w:val="154"/>
        </w:trPr>
        <w:tc>
          <w:tcPr>
            <w:tcW w:w="60" w:type="dxa"/>
            <w:vAlign w:val="bottom"/>
          </w:tcPr>
          <w:p>
            <w:pPr>
              <w:spacing w:after="0"/>
              <w:rPr>
                <w:sz w:val="13"/>
                <w:szCs w:val="13"/>
                <w:color w:val="auto"/>
              </w:rPr>
            </w:pPr>
          </w:p>
        </w:tc>
        <w:tc>
          <w:tcPr>
            <w:tcW w:w="81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Non-controlling interest</w:t>
            </w:r>
          </w:p>
        </w:tc>
        <w:tc>
          <w:tcPr>
            <w:tcW w:w="16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(825)</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(1,520)</w:t>
            </w:r>
          </w:p>
        </w:tc>
        <w:tc>
          <w:tcPr>
            <w:tcW w:w="0" w:type="dxa"/>
            <w:vAlign w:val="bottom"/>
          </w:tcPr>
          <w:p>
            <w:pPr>
              <w:spacing w:after="0"/>
              <w:rPr>
                <w:sz w:val="1"/>
                <w:szCs w:val="1"/>
                <w:color w:val="auto"/>
              </w:rPr>
            </w:pPr>
          </w:p>
        </w:tc>
      </w:tr>
      <w:tr>
        <w:trPr>
          <w:trHeight w:val="22"/>
        </w:trPr>
        <w:tc>
          <w:tcPr>
            <w:tcW w:w="60" w:type="dxa"/>
            <w:vAlign w:val="bottom"/>
          </w:tcPr>
          <w:p>
            <w:pPr>
              <w:spacing w:after="0" w:line="20" w:lineRule="exact"/>
              <w:rPr>
                <w:sz w:val="1"/>
                <w:szCs w:val="1"/>
                <w:color w:val="auto"/>
              </w:rPr>
            </w:pPr>
          </w:p>
        </w:tc>
        <w:tc>
          <w:tcPr>
            <w:tcW w:w="8180" w:type="dxa"/>
            <w:vAlign w:val="bottom"/>
            <w:tcBorders>
              <w:bottom w:val="single" w:sz="8" w:color="CFF0FC"/>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60" w:type="dxa"/>
            <w:vAlign w:val="bottom"/>
          </w:tcPr>
          <w:p>
            <w:pPr>
              <w:spacing w:after="0"/>
              <w:rPr>
                <w:sz w:val="13"/>
                <w:szCs w:val="13"/>
                <w:color w:val="auto"/>
              </w:rPr>
            </w:pPr>
          </w:p>
        </w:tc>
        <w:tc>
          <w:tcPr>
            <w:tcW w:w="8180" w:type="dxa"/>
            <w:vAlign w:val="bottom"/>
            <w:tcBorders>
              <w:bottom w:val="single" w:sz="8" w:color="CFF0FC"/>
            </w:tcBorders>
            <w:shd w:val="clear" w:color="auto" w:fill="CFF0FC"/>
          </w:tcPr>
          <w:p>
            <w:pPr>
              <w:ind w:left="140"/>
              <w:spacing w:after="0" w:line="121" w:lineRule="exact"/>
              <w:rPr>
                <w:sz w:val="20"/>
                <w:szCs w:val="20"/>
                <w:color w:val="auto"/>
              </w:rPr>
            </w:pPr>
            <w:r>
              <w:rPr>
                <w:rFonts w:ascii="Times New Roman" w:cs="Times New Roman" w:eastAsia="Times New Roman" w:hAnsi="Times New Roman"/>
                <w:sz w:val="11"/>
                <w:szCs w:val="11"/>
                <w:color w:val="auto"/>
              </w:rPr>
              <w:t>Total equity</w:t>
            </w:r>
          </w:p>
        </w:tc>
        <w:tc>
          <w:tcPr>
            <w:tcW w:w="160" w:type="dxa"/>
            <w:vAlign w:val="bottom"/>
            <w:tcBorders>
              <w:bottom w:val="single" w:sz="8" w:color="CFF0FC"/>
            </w:tcBorders>
            <w:shd w:val="clear" w:color="auto" w:fill="CFF0FC"/>
          </w:tcPr>
          <w:p>
            <w:pPr>
              <w:spacing w:after="0"/>
              <w:rPr>
                <w:sz w:val="13"/>
                <w:szCs w:val="13"/>
                <w:color w:val="auto"/>
              </w:rPr>
            </w:pPr>
          </w:p>
        </w:tc>
        <w:tc>
          <w:tcPr>
            <w:tcW w:w="1320" w:type="dxa"/>
            <w:vAlign w:val="bottom"/>
            <w:tcBorders>
              <w:bottom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24,003</w:t>
            </w:r>
          </w:p>
        </w:tc>
        <w:tc>
          <w:tcPr>
            <w:tcW w:w="10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CFF0FC"/>
            </w:tcBorders>
            <w:shd w:val="clear" w:color="auto" w:fill="CFF0FC"/>
          </w:tcPr>
          <w:p>
            <w:pPr>
              <w:spacing w:after="0"/>
              <w:rPr>
                <w:sz w:val="13"/>
                <w:szCs w:val="13"/>
                <w:color w:val="auto"/>
              </w:rPr>
            </w:pPr>
          </w:p>
        </w:tc>
        <w:tc>
          <w:tcPr>
            <w:tcW w:w="1320" w:type="dxa"/>
            <w:vAlign w:val="bottom"/>
            <w:tcBorders>
              <w:bottom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65,352</w:t>
            </w:r>
          </w:p>
        </w:tc>
        <w:tc>
          <w:tcPr>
            <w:tcW w:w="0" w:type="dxa"/>
            <w:vAlign w:val="bottom"/>
          </w:tcPr>
          <w:p>
            <w:pPr>
              <w:spacing w:after="0"/>
              <w:rPr>
                <w:sz w:val="1"/>
                <w:szCs w:val="1"/>
                <w:color w:val="auto"/>
              </w:rPr>
            </w:pPr>
          </w:p>
        </w:tc>
      </w:tr>
      <w:tr>
        <w:trPr>
          <w:trHeight w:val="134"/>
        </w:trPr>
        <w:tc>
          <w:tcPr>
            <w:tcW w:w="60" w:type="dxa"/>
            <w:vAlign w:val="bottom"/>
          </w:tcPr>
          <w:p>
            <w:pPr>
              <w:spacing w:after="0"/>
              <w:rPr>
                <w:sz w:val="11"/>
                <w:szCs w:val="11"/>
                <w:color w:val="auto"/>
              </w:rPr>
            </w:pPr>
          </w:p>
        </w:tc>
        <w:tc>
          <w:tcPr>
            <w:tcW w:w="8180" w:type="dxa"/>
            <w:vAlign w:val="bottom"/>
          </w:tcPr>
          <w:p>
            <w:pPr>
              <w:ind w:left="140"/>
              <w:spacing w:after="0" w:line="121" w:lineRule="exact"/>
              <w:rPr>
                <w:sz w:val="20"/>
                <w:szCs w:val="20"/>
                <w:color w:val="auto"/>
              </w:rPr>
            </w:pPr>
            <w:r>
              <w:rPr>
                <w:rFonts w:ascii="Times New Roman" w:cs="Times New Roman" w:eastAsia="Times New Roman" w:hAnsi="Times New Roman"/>
                <w:sz w:val="11"/>
                <w:szCs w:val="11"/>
                <w:color w:val="auto"/>
              </w:rPr>
              <w:t>Total liabilities and equity</w:t>
            </w:r>
          </w:p>
        </w:tc>
        <w:tc>
          <w:tcPr>
            <w:tcW w:w="16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770,702</w:t>
            </w:r>
          </w:p>
        </w:tc>
        <w:tc>
          <w:tcPr>
            <w:tcW w:w="100" w:type="dxa"/>
            <w:vAlign w:val="bottom"/>
          </w:tcPr>
          <w:p>
            <w:pPr>
              <w:spacing w:after="0"/>
              <w:rPr>
                <w:sz w:val="11"/>
                <w:szCs w:val="11"/>
                <w:color w:val="auto"/>
              </w:rPr>
            </w:pPr>
          </w:p>
        </w:tc>
        <w:tc>
          <w:tcPr>
            <w:tcW w:w="16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823,111</w:t>
            </w:r>
          </w:p>
        </w:tc>
        <w:tc>
          <w:tcPr>
            <w:tcW w:w="0" w:type="dxa"/>
            <w:vAlign w:val="bottom"/>
          </w:tcPr>
          <w:p>
            <w:pPr>
              <w:spacing w:after="0"/>
              <w:rPr>
                <w:sz w:val="1"/>
                <w:szCs w:val="1"/>
                <w:color w:val="auto"/>
              </w:rPr>
            </w:pPr>
          </w:p>
        </w:tc>
      </w:tr>
      <w:tr>
        <w:trPr>
          <w:trHeight w:val="22"/>
        </w:trPr>
        <w:tc>
          <w:tcPr>
            <w:tcW w:w="6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The accompanying notes are an integral part of these unaudited Condensed Consolidated Interim Financial Statements.</w:t>
      </w:r>
    </w:p>
    <w:p>
      <w:pPr>
        <w:spacing w:after="0" w:line="2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278765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26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CANNABIST COMPANY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INTERIM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(Expressed in thousands of U.S. dollars, except for number of shares and per share amounts)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780" w:type="dxa"/>
            <w:vAlign w:val="bottom"/>
            <w:gridSpan w:val="5"/>
          </w:tcPr>
          <w:p>
            <w:pPr>
              <w:ind w:left="4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80" w:type="dxa"/>
            <w:vAlign w:val="bottom"/>
          </w:tcPr>
          <w:p>
            <w:pPr>
              <w:spacing w:after="0"/>
              <w:rPr>
                <w:sz w:val="18"/>
                <w:szCs w:val="18"/>
                <w:color w:val="auto"/>
              </w:rPr>
            </w:pP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20" w:type="dxa"/>
            <w:vAlign w:val="bottom"/>
          </w:tcPr>
          <w:p>
            <w:pPr>
              <w:spacing w:after="0"/>
              <w:rPr>
                <w:sz w:val="18"/>
                <w:szCs w:val="18"/>
                <w:color w:val="auto"/>
              </w:rPr>
            </w:pPr>
          </w:p>
        </w:tc>
        <w:tc>
          <w:tcPr>
            <w:tcW w:w="1580" w:type="dxa"/>
            <w:vAlign w:val="bottom"/>
            <w:tcBorders>
              <w:top w:val="single" w:sz="8" w:color="auto"/>
            </w:tcBorders>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14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 2023</w:t>
            </w:r>
          </w:p>
        </w:tc>
        <w:tc>
          <w:tcPr>
            <w:tcW w:w="100" w:type="dxa"/>
            <w:vAlign w:val="bottom"/>
          </w:tcPr>
          <w:p>
            <w:pPr>
              <w:spacing w:after="0"/>
              <w:rPr>
                <w:sz w:val="18"/>
                <w:szCs w:val="18"/>
                <w:color w:val="auto"/>
              </w:rPr>
            </w:pPr>
          </w:p>
        </w:tc>
        <w:tc>
          <w:tcPr>
            <w:tcW w:w="1580" w:type="dxa"/>
            <w:vAlign w:val="bottom"/>
            <w:tcBorders>
              <w:top w:val="single" w:sz="8" w:color="auto"/>
            </w:tcBorders>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14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 2023</w:t>
            </w:r>
          </w:p>
        </w:tc>
        <w:tc>
          <w:tcPr>
            <w:tcW w:w="0" w:type="dxa"/>
            <w:vAlign w:val="bottom"/>
          </w:tcPr>
          <w:p>
            <w:pPr>
              <w:spacing w:after="0"/>
              <w:rPr>
                <w:sz w:val="1"/>
                <w:szCs w:val="1"/>
                <w:color w:val="auto"/>
              </w:rPr>
            </w:pPr>
          </w:p>
        </w:tc>
      </w:tr>
      <w:tr>
        <w:trPr>
          <w:trHeight w:val="31"/>
        </w:trPr>
        <w:tc>
          <w:tcPr>
            <w:tcW w:w="5020" w:type="dxa"/>
            <w:vAlign w:val="bottom"/>
            <w:tcBorders>
              <w:bottom w:val="single" w:sz="8" w:color="CFF0FC"/>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0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Revenues, net of discounts</w:t>
            </w:r>
          </w:p>
        </w:tc>
        <w:tc>
          <w:tcPr>
            <w:tcW w:w="380" w:type="dxa"/>
            <w:vAlign w:val="bottom"/>
            <w:tcBorders>
              <w:bottom w:val="single" w:sz="8" w:color="CFF0FC"/>
            </w:tcBorders>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114,783</w:t>
            </w:r>
          </w:p>
        </w:tc>
        <w:tc>
          <w:tcPr>
            <w:tcW w:w="10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CFF0FC"/>
            </w:tcBorders>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129,183</w:t>
            </w:r>
          </w:p>
        </w:tc>
        <w:tc>
          <w:tcPr>
            <w:tcW w:w="10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CFF0FC"/>
            </w:tcBorders>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362,584</w:t>
            </w:r>
          </w:p>
        </w:tc>
        <w:tc>
          <w:tcPr>
            <w:tcW w:w="100" w:type="dxa"/>
            <w:vAlign w:val="bottom"/>
            <w:tcBorders>
              <w:bottom w:val="single" w:sz="8" w:color="CFF0FC"/>
            </w:tcBorders>
            <w:shd w:val="clear" w:color="auto" w:fill="CFF0FC"/>
          </w:tcPr>
          <w:p>
            <w:pPr>
              <w:spacing w:after="0"/>
              <w:rPr>
                <w:sz w:val="18"/>
                <w:szCs w:val="18"/>
                <w:color w:val="auto"/>
              </w:rPr>
            </w:pPr>
          </w:p>
        </w:tc>
        <w:tc>
          <w:tcPr>
            <w:tcW w:w="640" w:type="dxa"/>
            <w:vAlign w:val="bottom"/>
            <w:tcBorders>
              <w:bottom w:val="single" w:sz="8" w:color="CFF0FC"/>
            </w:tcBorders>
            <w:shd w:val="clear" w:color="auto" w:fill="CFF0FC"/>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382,962</w:t>
            </w:r>
          </w:p>
        </w:tc>
        <w:tc>
          <w:tcPr>
            <w:tcW w:w="0" w:type="dxa"/>
            <w:vAlign w:val="bottom"/>
          </w:tcPr>
          <w:p>
            <w:pPr>
              <w:spacing w:after="0"/>
              <w:rPr>
                <w:sz w:val="1"/>
                <w:szCs w:val="1"/>
                <w:color w:val="auto"/>
              </w:rPr>
            </w:pPr>
          </w:p>
        </w:tc>
      </w:tr>
      <w:tr>
        <w:trPr>
          <w:trHeight w:val="210"/>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sales related to inventory production</w:t>
            </w:r>
          </w:p>
        </w:tc>
        <w:tc>
          <w:tcPr>
            <w:tcW w:w="3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(70,973)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(92,041)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(228,185)</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(246,617)</w:t>
            </w:r>
          </w:p>
        </w:tc>
        <w:tc>
          <w:tcPr>
            <w:tcW w:w="0" w:type="dxa"/>
            <w:vAlign w:val="bottom"/>
          </w:tcPr>
          <w:p>
            <w:pPr>
              <w:spacing w:after="0"/>
              <w:rPr>
                <w:sz w:val="1"/>
                <w:szCs w:val="1"/>
                <w:color w:val="auto"/>
              </w:rPr>
            </w:pPr>
          </w:p>
        </w:tc>
      </w:tr>
      <w:tr>
        <w:trPr>
          <w:trHeight w:val="33"/>
        </w:trPr>
        <w:tc>
          <w:tcPr>
            <w:tcW w:w="5020" w:type="dxa"/>
            <w:vAlign w:val="bottom"/>
            <w:tcBorders>
              <w:bottom w:val="single" w:sz="8" w:color="CFF0FC"/>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0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Gross Margin</w:t>
            </w:r>
          </w:p>
        </w:tc>
        <w:tc>
          <w:tcPr>
            <w:tcW w:w="380" w:type="dxa"/>
            <w:vAlign w:val="bottom"/>
            <w:tcBorders>
              <w:bottom w:val="single" w:sz="8" w:color="CFF0FC"/>
            </w:tcBorders>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43,810</w:t>
            </w:r>
          </w:p>
        </w:tc>
        <w:tc>
          <w:tcPr>
            <w:tcW w:w="10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CFF0FC"/>
            </w:tcBorders>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37,142</w:t>
            </w:r>
          </w:p>
        </w:tc>
        <w:tc>
          <w:tcPr>
            <w:tcW w:w="10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134,399</w:t>
            </w:r>
          </w:p>
        </w:tc>
        <w:tc>
          <w:tcPr>
            <w:tcW w:w="100" w:type="dxa"/>
            <w:vAlign w:val="bottom"/>
            <w:tcBorders>
              <w:bottom w:val="single" w:sz="8" w:color="CFF0FC"/>
            </w:tcBorders>
            <w:shd w:val="clear" w:color="auto" w:fill="CFF0FC"/>
          </w:tcPr>
          <w:p>
            <w:pPr>
              <w:spacing w:after="0"/>
              <w:rPr>
                <w:sz w:val="18"/>
                <w:szCs w:val="18"/>
                <w:color w:val="auto"/>
              </w:rPr>
            </w:pPr>
          </w:p>
        </w:tc>
        <w:tc>
          <w:tcPr>
            <w:tcW w:w="640" w:type="dxa"/>
            <w:vAlign w:val="bottom"/>
            <w:tcBorders>
              <w:bottom w:val="single" w:sz="8" w:color="CFF0FC"/>
            </w:tcBorders>
            <w:shd w:val="clear" w:color="auto" w:fill="CFF0FC"/>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136,345</w:t>
            </w:r>
          </w:p>
        </w:tc>
        <w:tc>
          <w:tcPr>
            <w:tcW w:w="0" w:type="dxa"/>
            <w:vAlign w:val="bottom"/>
          </w:tcPr>
          <w:p>
            <w:pPr>
              <w:spacing w:after="0"/>
              <w:rPr>
                <w:sz w:val="1"/>
                <w:szCs w:val="1"/>
                <w:color w:val="auto"/>
              </w:rPr>
            </w:pPr>
          </w:p>
        </w:tc>
      </w:tr>
      <w:tr>
        <w:trPr>
          <w:trHeight w:val="210"/>
        </w:trPr>
        <w:tc>
          <w:tcPr>
            <w:tcW w:w="50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Fixed asset impairment</w:t>
            </w:r>
          </w:p>
        </w:tc>
        <w:tc>
          <w:tcPr>
            <w:tcW w:w="3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5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02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38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(49,315)</w:t>
            </w:r>
          </w:p>
        </w:tc>
        <w:tc>
          <w:tcPr>
            <w:tcW w:w="10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(56,472)</w:t>
            </w:r>
          </w:p>
        </w:tc>
        <w:tc>
          <w:tcPr>
            <w:tcW w:w="10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(142,634)</w:t>
            </w:r>
          </w:p>
        </w:tc>
        <w:tc>
          <w:tcPr>
            <w:tcW w:w="100" w:type="dxa"/>
            <w:vAlign w:val="bottom"/>
            <w:tcBorders>
              <w:bottom w:val="single" w:sz="8" w:color="CFF0FC"/>
            </w:tcBorders>
            <w:shd w:val="clear" w:color="auto" w:fill="CFF0FC"/>
          </w:tcPr>
          <w:p>
            <w:pPr>
              <w:spacing w:after="0"/>
              <w:rPr>
                <w:sz w:val="21"/>
                <w:szCs w:val="21"/>
                <w:color w:val="auto"/>
              </w:rPr>
            </w:pPr>
          </w:p>
        </w:tc>
        <w:tc>
          <w:tcPr>
            <w:tcW w:w="64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(163,895)</w:t>
            </w:r>
          </w:p>
        </w:tc>
        <w:tc>
          <w:tcPr>
            <w:tcW w:w="0" w:type="dxa"/>
            <w:vAlign w:val="bottom"/>
          </w:tcPr>
          <w:p>
            <w:pPr>
              <w:spacing w:after="0"/>
              <w:rPr>
                <w:sz w:val="1"/>
                <w:szCs w:val="1"/>
                <w:color w:val="auto"/>
              </w:rPr>
            </w:pPr>
          </w:p>
        </w:tc>
      </w:tr>
      <w:tr>
        <w:trPr>
          <w:trHeight w:val="204"/>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from operations</w:t>
            </w:r>
          </w:p>
        </w:tc>
        <w:tc>
          <w:tcPr>
            <w:tcW w:w="3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(5,626)</w:t>
            </w:r>
          </w:p>
        </w:tc>
        <w:tc>
          <w:tcPr>
            <w:tcW w:w="1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(19,330)</w:t>
            </w:r>
          </w:p>
        </w:tc>
        <w:tc>
          <w:tcPr>
            <w:tcW w:w="1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(8,356)</w:t>
            </w:r>
          </w:p>
        </w:tc>
        <w:tc>
          <w:tcPr>
            <w:tcW w:w="10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(27,550)</w:t>
            </w:r>
          </w:p>
        </w:tc>
        <w:tc>
          <w:tcPr>
            <w:tcW w:w="0" w:type="dxa"/>
            <w:vAlign w:val="bottom"/>
          </w:tcPr>
          <w:p>
            <w:pPr>
              <w:spacing w:after="0"/>
              <w:rPr>
                <w:sz w:val="1"/>
                <w:szCs w:val="1"/>
                <w:color w:val="auto"/>
              </w:rPr>
            </w:pPr>
          </w:p>
        </w:tc>
      </w:tr>
      <w:tr>
        <w:trPr>
          <w:trHeight w:val="33"/>
        </w:trPr>
        <w:tc>
          <w:tcPr>
            <w:tcW w:w="5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50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Other expense:</w:t>
            </w:r>
          </w:p>
        </w:tc>
        <w:tc>
          <w:tcPr>
            <w:tcW w:w="38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0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Interest expense on leases</w:t>
            </w:r>
          </w:p>
        </w:tc>
        <w:tc>
          <w:tcPr>
            <w:tcW w:w="3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(2,685)</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(3,186)</w:t>
            </w:r>
          </w:p>
        </w:tc>
        <w:tc>
          <w:tcPr>
            <w:tcW w:w="0" w:type="dxa"/>
            <w:vAlign w:val="bottom"/>
          </w:tcPr>
          <w:p>
            <w:pPr>
              <w:spacing w:after="0"/>
              <w:rPr>
                <w:sz w:val="1"/>
                <w:szCs w:val="1"/>
                <w:color w:val="auto"/>
              </w:rPr>
            </w:pPr>
          </w:p>
        </w:tc>
      </w:tr>
      <w:tr>
        <w:trPr>
          <w:trHeight w:val="33"/>
        </w:trPr>
        <w:tc>
          <w:tcPr>
            <w:tcW w:w="5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50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Interest expense</w:t>
            </w:r>
          </w:p>
        </w:tc>
        <w:tc>
          <w:tcPr>
            <w:tcW w:w="38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(9,744)</w:t>
            </w:r>
          </w:p>
        </w:tc>
        <w:tc>
          <w:tcPr>
            <w:tcW w:w="10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(13,471)</w:t>
            </w:r>
          </w:p>
        </w:tc>
        <w:tc>
          <w:tcPr>
            <w:tcW w:w="10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(28,494)</w:t>
            </w:r>
          </w:p>
        </w:tc>
        <w:tc>
          <w:tcPr>
            <w:tcW w:w="10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(38,770)</w:t>
            </w:r>
          </w:p>
        </w:tc>
        <w:tc>
          <w:tcPr>
            <w:tcW w:w="0" w:type="dxa"/>
            <w:vAlign w:val="bottom"/>
          </w:tcPr>
          <w:p>
            <w:pPr>
              <w:spacing w:after="0"/>
              <w:rPr>
                <w:sz w:val="1"/>
                <w:szCs w:val="1"/>
                <w:color w:val="auto"/>
              </w:rPr>
            </w:pPr>
          </w:p>
        </w:tc>
      </w:tr>
      <w:tr>
        <w:trPr>
          <w:trHeight w:val="210"/>
        </w:trPr>
        <w:tc>
          <w:tcPr>
            <w:tcW w:w="50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income / (expense), net</w:t>
            </w:r>
          </w:p>
        </w:tc>
        <w:tc>
          <w:tcPr>
            <w:tcW w:w="3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36,295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29,909</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(12,992)</w:t>
            </w:r>
          </w:p>
        </w:tc>
        <w:tc>
          <w:tcPr>
            <w:tcW w:w="0" w:type="dxa"/>
            <w:vAlign w:val="bottom"/>
          </w:tcPr>
          <w:p>
            <w:pPr>
              <w:spacing w:after="0"/>
              <w:rPr>
                <w:sz w:val="1"/>
                <w:szCs w:val="1"/>
                <w:color w:val="auto"/>
              </w:rPr>
            </w:pPr>
          </w:p>
        </w:tc>
      </w:tr>
      <w:tr>
        <w:trPr>
          <w:trHeight w:val="33"/>
        </w:trPr>
        <w:tc>
          <w:tcPr>
            <w:tcW w:w="5020" w:type="dxa"/>
            <w:vAlign w:val="bottom"/>
            <w:tcBorders>
              <w:bottom w:val="single" w:sz="8" w:color="CFF0FC"/>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020" w:type="dxa"/>
            <w:vAlign w:val="bottom"/>
            <w:tcBorders>
              <w:bottom w:val="single" w:sz="8" w:color="CFF0FC"/>
            </w:tcBorders>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Total other expense</w:t>
            </w:r>
          </w:p>
        </w:tc>
        <w:tc>
          <w:tcPr>
            <w:tcW w:w="38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25,701</w:t>
            </w:r>
          </w:p>
        </w:tc>
        <w:tc>
          <w:tcPr>
            <w:tcW w:w="10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(14,553)</w:t>
            </w:r>
          </w:p>
        </w:tc>
        <w:tc>
          <w:tcPr>
            <w:tcW w:w="10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(1,270)</w:t>
            </w:r>
          </w:p>
        </w:tc>
        <w:tc>
          <w:tcPr>
            <w:tcW w:w="100" w:type="dxa"/>
            <w:vAlign w:val="bottom"/>
            <w:tcBorders>
              <w:bottom w:val="single" w:sz="8" w:color="CFF0FC"/>
            </w:tcBorders>
            <w:shd w:val="clear" w:color="auto" w:fill="CFF0FC"/>
          </w:tcPr>
          <w:p>
            <w:pPr>
              <w:spacing w:after="0"/>
              <w:rPr>
                <w:sz w:val="18"/>
                <w:szCs w:val="18"/>
                <w:color w:val="auto"/>
              </w:rPr>
            </w:pPr>
          </w:p>
        </w:tc>
        <w:tc>
          <w:tcPr>
            <w:tcW w:w="64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(54,948)</w:t>
            </w:r>
          </w:p>
        </w:tc>
        <w:tc>
          <w:tcPr>
            <w:tcW w:w="0" w:type="dxa"/>
            <w:vAlign w:val="bottom"/>
          </w:tcPr>
          <w:p>
            <w:pPr>
              <w:spacing w:after="0"/>
              <w:rPr>
                <w:sz w:val="1"/>
                <w:szCs w:val="1"/>
                <w:color w:val="auto"/>
              </w:rPr>
            </w:pPr>
          </w:p>
        </w:tc>
      </w:tr>
      <w:tr>
        <w:trPr>
          <w:trHeight w:val="210"/>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Profit / (loss) before provision for income taxes</w:t>
            </w:r>
          </w:p>
        </w:tc>
        <w:tc>
          <w:tcPr>
            <w:tcW w:w="3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20,075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(33,883)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(9,626)</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(82,498)</w:t>
            </w:r>
          </w:p>
        </w:tc>
        <w:tc>
          <w:tcPr>
            <w:tcW w:w="0" w:type="dxa"/>
            <w:vAlign w:val="bottom"/>
          </w:tcPr>
          <w:p>
            <w:pPr>
              <w:spacing w:after="0"/>
              <w:rPr>
                <w:sz w:val="1"/>
                <w:szCs w:val="1"/>
                <w:color w:val="auto"/>
              </w:rPr>
            </w:pPr>
          </w:p>
        </w:tc>
      </w:tr>
      <w:tr>
        <w:trPr>
          <w:trHeight w:val="33"/>
        </w:trPr>
        <w:tc>
          <w:tcPr>
            <w:tcW w:w="5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0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38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(21,838)</w:t>
            </w:r>
          </w:p>
        </w:tc>
        <w:tc>
          <w:tcPr>
            <w:tcW w:w="10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(2,297)</w:t>
            </w:r>
          </w:p>
        </w:tc>
        <w:tc>
          <w:tcPr>
            <w:tcW w:w="10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(40,348)</w:t>
            </w:r>
          </w:p>
        </w:tc>
        <w:tc>
          <w:tcPr>
            <w:tcW w:w="100" w:type="dxa"/>
            <w:vAlign w:val="bottom"/>
            <w:tcBorders>
              <w:bottom w:val="single" w:sz="8" w:color="CFF0FC"/>
            </w:tcBorders>
            <w:shd w:val="clear" w:color="auto" w:fill="CFF0FC"/>
          </w:tcPr>
          <w:p>
            <w:pPr>
              <w:spacing w:after="0"/>
              <w:rPr>
                <w:sz w:val="21"/>
                <w:szCs w:val="21"/>
                <w:color w:val="auto"/>
              </w:rPr>
            </w:pPr>
          </w:p>
        </w:tc>
        <w:tc>
          <w:tcPr>
            <w:tcW w:w="64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(19,291)</w:t>
            </w:r>
          </w:p>
        </w:tc>
        <w:tc>
          <w:tcPr>
            <w:tcW w:w="0" w:type="dxa"/>
            <w:vAlign w:val="bottom"/>
          </w:tcPr>
          <w:p>
            <w:pPr>
              <w:spacing w:after="0"/>
              <w:rPr>
                <w:sz w:val="1"/>
                <w:szCs w:val="1"/>
                <w:color w:val="auto"/>
              </w:rPr>
            </w:pPr>
          </w:p>
        </w:tc>
      </w:tr>
      <w:tr>
        <w:trPr>
          <w:trHeight w:val="204"/>
        </w:trPr>
        <w:tc>
          <w:tcPr>
            <w:tcW w:w="50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loss and comprehensive loss</w:t>
            </w:r>
          </w:p>
        </w:tc>
        <w:tc>
          <w:tcPr>
            <w:tcW w:w="3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(1,763)</w:t>
            </w:r>
          </w:p>
        </w:tc>
        <w:tc>
          <w:tcPr>
            <w:tcW w:w="1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(36,180)</w:t>
            </w:r>
          </w:p>
        </w:tc>
        <w:tc>
          <w:tcPr>
            <w:tcW w:w="1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(49,974)</w:t>
            </w:r>
          </w:p>
        </w:tc>
        <w:tc>
          <w:tcPr>
            <w:tcW w:w="10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(101,789)</w:t>
            </w:r>
          </w:p>
        </w:tc>
        <w:tc>
          <w:tcPr>
            <w:tcW w:w="0" w:type="dxa"/>
            <w:vAlign w:val="bottom"/>
          </w:tcPr>
          <w:p>
            <w:pPr>
              <w:spacing w:after="0"/>
              <w:rPr>
                <w:sz w:val="1"/>
                <w:szCs w:val="1"/>
                <w:color w:val="auto"/>
              </w:rPr>
            </w:pPr>
          </w:p>
        </w:tc>
      </w:tr>
      <w:tr>
        <w:trPr>
          <w:trHeight w:val="33"/>
        </w:trPr>
        <w:tc>
          <w:tcPr>
            <w:tcW w:w="5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0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Net profit attributable to non-controlling interests</w:t>
            </w:r>
          </w:p>
        </w:tc>
        <w:tc>
          <w:tcPr>
            <w:tcW w:w="38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0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545</w:t>
            </w:r>
          </w:p>
        </w:tc>
        <w:tc>
          <w:tcPr>
            <w:tcW w:w="10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1,300</w:t>
            </w:r>
          </w:p>
        </w:tc>
        <w:tc>
          <w:tcPr>
            <w:tcW w:w="100" w:type="dxa"/>
            <w:vAlign w:val="bottom"/>
            <w:tcBorders>
              <w:bottom w:val="single" w:sz="8" w:color="CFF0FC"/>
            </w:tcBorders>
            <w:shd w:val="clear" w:color="auto" w:fill="CFF0FC"/>
          </w:tcPr>
          <w:p>
            <w:pPr>
              <w:spacing w:after="0"/>
              <w:rPr>
                <w:sz w:val="21"/>
                <w:szCs w:val="21"/>
                <w:color w:val="auto"/>
              </w:rPr>
            </w:pPr>
          </w:p>
        </w:tc>
        <w:tc>
          <w:tcPr>
            <w:tcW w:w="64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1,139</w:t>
            </w:r>
          </w:p>
        </w:tc>
        <w:tc>
          <w:tcPr>
            <w:tcW w:w="0" w:type="dxa"/>
            <w:vAlign w:val="bottom"/>
          </w:tcPr>
          <w:p>
            <w:pPr>
              <w:spacing w:after="0"/>
              <w:rPr>
                <w:sz w:val="1"/>
                <w:szCs w:val="1"/>
                <w:color w:val="auto"/>
              </w:rPr>
            </w:pPr>
          </w:p>
        </w:tc>
      </w:tr>
      <w:tr>
        <w:trPr>
          <w:trHeight w:val="204"/>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attributable to shareholders</w:t>
            </w:r>
          </w:p>
        </w:tc>
        <w:tc>
          <w:tcPr>
            <w:tcW w:w="38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(1,860)</w:t>
            </w:r>
          </w:p>
        </w:tc>
        <w:tc>
          <w:tcPr>
            <w:tcW w:w="100" w:type="dxa"/>
            <w:vAlign w:val="bottom"/>
          </w:tcPr>
          <w:p>
            <w:pPr>
              <w:spacing w:after="0"/>
              <w:rPr>
                <w:sz w:val="17"/>
                <w:szCs w:val="17"/>
                <w:color w:val="auto"/>
              </w:rPr>
            </w:pPr>
          </w:p>
        </w:tc>
        <w:tc>
          <w:tcPr>
            <w:tcW w:w="38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(36,725)</w:t>
            </w:r>
          </w:p>
        </w:tc>
        <w:tc>
          <w:tcPr>
            <w:tcW w:w="100" w:type="dxa"/>
            <w:vAlign w:val="bottom"/>
          </w:tcPr>
          <w:p>
            <w:pPr>
              <w:spacing w:after="0"/>
              <w:rPr>
                <w:sz w:val="17"/>
                <w:szCs w:val="17"/>
                <w:color w:val="auto"/>
              </w:rPr>
            </w:pPr>
          </w:p>
        </w:tc>
        <w:tc>
          <w:tcPr>
            <w:tcW w:w="38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(51,274)</w:t>
            </w:r>
          </w:p>
        </w:tc>
        <w:tc>
          <w:tcPr>
            <w:tcW w:w="100" w:type="dxa"/>
            <w:vAlign w:val="bottom"/>
          </w:tcPr>
          <w:p>
            <w:pPr>
              <w:spacing w:after="0"/>
              <w:rPr>
                <w:sz w:val="17"/>
                <w:szCs w:val="17"/>
                <w:color w:val="auto"/>
              </w:rPr>
            </w:pPr>
          </w:p>
        </w:tc>
        <w:tc>
          <w:tcPr>
            <w:tcW w:w="640" w:type="dxa"/>
            <w:vAlign w:val="bottom"/>
            <w:tcBorders>
              <w:top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(102,928)</w:t>
            </w:r>
          </w:p>
        </w:tc>
        <w:tc>
          <w:tcPr>
            <w:tcW w:w="0" w:type="dxa"/>
            <w:vAlign w:val="bottom"/>
          </w:tcPr>
          <w:p>
            <w:pPr>
              <w:spacing w:after="0"/>
              <w:rPr>
                <w:sz w:val="1"/>
                <w:szCs w:val="1"/>
                <w:color w:val="auto"/>
              </w:rPr>
            </w:pPr>
          </w:p>
        </w:tc>
      </w:tr>
      <w:tr>
        <w:trPr>
          <w:trHeight w:val="33"/>
        </w:trPr>
        <w:tc>
          <w:tcPr>
            <w:tcW w:w="50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020" w:type="dxa"/>
            <w:vAlign w:val="bottom"/>
            <w:tcBorders>
              <w:bottom w:val="single" w:sz="8" w:color="CFF0FC"/>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Weighted-average number of shares used in earnings per share - basic and</w:t>
            </w:r>
          </w:p>
        </w:tc>
        <w:tc>
          <w:tcPr>
            <w:tcW w:w="38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470,552,039</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409,113,721</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458,988,976</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405,472,948</w:t>
            </w:r>
          </w:p>
        </w:tc>
        <w:tc>
          <w:tcPr>
            <w:tcW w:w="0" w:type="dxa"/>
            <w:vAlign w:val="bottom"/>
          </w:tcPr>
          <w:p>
            <w:pPr>
              <w:spacing w:after="0"/>
              <w:rPr>
                <w:sz w:val="1"/>
                <w:szCs w:val="1"/>
                <w:color w:val="auto"/>
              </w:rPr>
            </w:pPr>
          </w:p>
        </w:tc>
      </w:tr>
      <w:tr>
        <w:trPr>
          <w:trHeight w:val="203"/>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w:t>
            </w:r>
          </w:p>
        </w:tc>
        <w:tc>
          <w:tcPr>
            <w:tcW w:w="3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20" w:type="dxa"/>
            <w:vAlign w:val="bottom"/>
            <w:tcBorders>
              <w:bottom w:val="single" w:sz="8" w:color="CFF0FC"/>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Loss attributable to shares (basic and diluted)</w:t>
            </w:r>
          </w:p>
        </w:tc>
        <w:tc>
          <w:tcPr>
            <w:tcW w:w="38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(0.004)</w:t>
            </w:r>
          </w:p>
        </w:tc>
        <w:tc>
          <w:tcPr>
            <w:tcW w:w="100" w:type="dxa"/>
            <w:vAlign w:val="bottom"/>
            <w:shd w:val="clear" w:color="auto" w:fill="CFF0FC"/>
          </w:tcPr>
          <w:p>
            <w:pPr>
              <w:spacing w:after="0"/>
              <w:rPr>
                <w:sz w:val="17"/>
                <w:szCs w:val="17"/>
                <w:color w:val="auto"/>
              </w:rPr>
            </w:pPr>
          </w:p>
        </w:tc>
        <w:tc>
          <w:tcPr>
            <w:tcW w:w="38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(0.090)</w:t>
            </w:r>
          </w:p>
        </w:tc>
        <w:tc>
          <w:tcPr>
            <w:tcW w:w="100" w:type="dxa"/>
            <w:vAlign w:val="bottom"/>
            <w:shd w:val="clear" w:color="auto" w:fill="CFF0FC"/>
          </w:tcPr>
          <w:p>
            <w:pPr>
              <w:spacing w:after="0"/>
              <w:rPr>
                <w:sz w:val="17"/>
                <w:szCs w:val="17"/>
                <w:color w:val="auto"/>
              </w:rPr>
            </w:pPr>
          </w:p>
        </w:tc>
        <w:tc>
          <w:tcPr>
            <w:tcW w:w="38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(0.112)</w:t>
            </w: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(0.254)</w:t>
            </w:r>
          </w:p>
        </w:tc>
        <w:tc>
          <w:tcPr>
            <w:tcW w:w="0" w:type="dxa"/>
            <w:vAlign w:val="bottom"/>
          </w:tcPr>
          <w:p>
            <w:pPr>
              <w:spacing w:after="0"/>
              <w:rPr>
                <w:sz w:val="1"/>
                <w:szCs w:val="1"/>
                <w:color w:val="auto"/>
              </w:rPr>
            </w:pPr>
          </w:p>
        </w:tc>
      </w:tr>
      <w:tr>
        <w:trPr>
          <w:trHeight w:val="33"/>
        </w:trPr>
        <w:tc>
          <w:tcPr>
            <w:tcW w:w="5020" w:type="dxa"/>
            <w:vAlign w:val="bottom"/>
            <w:shd w:val="clear" w:color="auto" w:fill="CFF0FC"/>
          </w:tcPr>
          <w:p>
            <w:pPr>
              <w:spacing w:after="0"/>
              <w:rPr>
                <w:sz w:val="2"/>
                <w:szCs w:val="2"/>
                <w:color w:val="auto"/>
              </w:rPr>
            </w:pPr>
          </w:p>
        </w:tc>
        <w:tc>
          <w:tcPr>
            <w:tcW w:w="380" w:type="dxa"/>
            <w:vAlign w:val="bottom"/>
            <w:shd w:val="clear" w:color="auto" w:fill="CFF0FC"/>
          </w:tcPr>
          <w:p>
            <w:pPr>
              <w:spacing w:after="0"/>
              <w:rPr>
                <w:sz w:val="2"/>
                <w:szCs w:val="2"/>
                <w:color w:val="auto"/>
              </w:rPr>
            </w:pPr>
          </w:p>
        </w:tc>
        <w:tc>
          <w:tcPr>
            <w:tcW w:w="110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380" w:type="dxa"/>
            <w:vAlign w:val="bottom"/>
            <w:shd w:val="clear" w:color="auto" w:fill="CFF0FC"/>
          </w:tcPr>
          <w:p>
            <w:pPr>
              <w:spacing w:after="0"/>
              <w:rPr>
                <w:sz w:val="2"/>
                <w:szCs w:val="2"/>
                <w:color w:val="auto"/>
              </w:rPr>
            </w:pPr>
          </w:p>
        </w:tc>
        <w:tc>
          <w:tcPr>
            <w:tcW w:w="110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380" w:type="dxa"/>
            <w:vAlign w:val="bottom"/>
            <w:shd w:val="clear" w:color="auto" w:fill="CFF0FC"/>
          </w:tcPr>
          <w:p>
            <w:pPr>
              <w:spacing w:after="0"/>
              <w:rPr>
                <w:sz w:val="2"/>
                <w:szCs w:val="2"/>
                <w:color w:val="auto"/>
              </w:rPr>
            </w:pPr>
          </w:p>
        </w:tc>
        <w:tc>
          <w:tcPr>
            <w:tcW w:w="110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640" w:type="dxa"/>
            <w:vAlign w:val="bottom"/>
            <w:shd w:val="clear" w:color="auto" w:fill="CFF0FC"/>
          </w:tcPr>
          <w:p>
            <w:pPr>
              <w:spacing w:after="0"/>
              <w:rPr>
                <w:sz w:val="2"/>
                <w:szCs w:val="2"/>
                <w:color w:val="auto"/>
              </w:rPr>
            </w:pPr>
          </w:p>
        </w:tc>
        <w:tc>
          <w:tcPr>
            <w:tcW w:w="84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-2819400</wp:posOffset>
            </wp:positionV>
            <wp:extent cx="603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-2819400</wp:posOffset>
            </wp:positionV>
            <wp:extent cx="603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-2819400</wp:posOffset>
            </wp:positionV>
            <wp:extent cx="603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-3136900</wp:posOffset>
            </wp:positionV>
            <wp:extent cx="603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-3136900</wp:posOffset>
            </wp:positionV>
            <wp:extent cx="603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-3136900</wp:posOffset>
            </wp:positionV>
            <wp:extent cx="603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Interim Financial Statements.</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THE CANNABIST COMPANY HOLDINGS INC.</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CONDENSED CONSOLIDATED INTERIM STATEMENTS OF CHANGES IN EQUITY</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(Unaudited)</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(Expressed in thousands of U.S. dollars, except for number of shares)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31, 2022</w:t>
      </w:r>
    </w:p>
    <w:p>
      <w:pPr>
        <w:spacing w:after="0" w:line="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 xml:space="preserve">Equity-based compensation </w:t>
      </w:r>
      <w:r>
        <w:rPr>
          <w:rFonts w:ascii="Times New Roman" w:cs="Times New Roman" w:eastAsia="Times New Roman" w:hAnsi="Times New Roman"/>
          <w:sz w:val="16"/>
          <w:szCs w:val="16"/>
          <w:i w:val="1"/>
          <w:iCs w:val="1"/>
          <w:color w:val="auto"/>
        </w:rPr>
        <w:t>(1)</w:t>
      </w:r>
    </w:p>
    <w:p>
      <w:pPr>
        <w:spacing w:after="0" w:line="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Conversion between classes of shares</w:t>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Deconsolidation of subsidiary</w:t>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Net loss</w:t>
      </w:r>
    </w:p>
    <w:p>
      <w:pPr>
        <w:spacing w:after="0" w:line="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Balance as of March 31, 2023</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line="1" w:lineRule="exact"/>
        <w:rPr>
          <w:sz w:val="1"/>
          <w:szCs w:val="1"/>
          <w:color w:val="auto"/>
        </w:rPr>
      </w:pPr>
    </w:p>
    <w:tbl>
      <w:tblPr>
        <w:tblLayout w:type="fixed"/>
        <w:tblInd w:w="240" w:type="dxa"/>
        <w:tblCellMar>
          <w:top w:w="0" w:type="dxa"/>
          <w:left w:w="0" w:type="dxa"/>
          <w:bottom w:w="0" w:type="dxa"/>
          <w:right w:w="0" w:type="dxa"/>
        </w:tblCellMar>
      </w:tblPr>
      <w:tr>
        <w:trPr>
          <w:trHeight w:val="189"/>
        </w:trPr>
        <w:tc>
          <w:tcPr>
            <w:tcW w:w="8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Total The</w:t>
            </w:r>
          </w:p>
        </w:tc>
        <w:tc>
          <w:tcPr>
            <w:tcW w:w="120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75"/>
        </w:trPr>
        <w:tc>
          <w:tcPr>
            <w:tcW w:w="8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56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w w:val="99"/>
              </w:rPr>
              <w:t>Cannabist</w:t>
            </w:r>
          </w:p>
        </w:tc>
        <w:tc>
          <w:tcPr>
            <w:tcW w:w="120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9"/>
        </w:trPr>
        <w:tc>
          <w:tcPr>
            <w:tcW w:w="8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Company Holdings</w:t>
            </w:r>
          </w:p>
        </w:tc>
        <w:tc>
          <w:tcPr>
            <w:tcW w:w="120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89"/>
        </w:trPr>
        <w:tc>
          <w:tcPr>
            <w:tcW w:w="8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20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Inc.</w:t>
            </w:r>
          </w:p>
        </w:tc>
        <w:tc>
          <w:tcPr>
            <w:tcW w:w="120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Non-</w:t>
            </w:r>
          </w:p>
        </w:tc>
        <w:tc>
          <w:tcPr>
            <w:tcW w:w="740" w:type="dxa"/>
            <w:vAlign w:val="bottom"/>
          </w:tcPr>
          <w:p>
            <w:pPr>
              <w:spacing w:after="0"/>
              <w:rPr>
                <w:sz w:val="16"/>
                <w:szCs w:val="16"/>
                <w:color w:val="auto"/>
              </w:rPr>
            </w:pPr>
          </w:p>
        </w:tc>
      </w:tr>
      <w:tr>
        <w:trPr>
          <w:trHeight w:val="189"/>
        </w:trPr>
        <w:tc>
          <w:tcPr>
            <w:tcW w:w="82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w w:val="98"/>
              </w:rPr>
              <w:t>Common</w:t>
            </w:r>
          </w:p>
        </w:tc>
        <w:tc>
          <w:tcPr>
            <w:tcW w:w="130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Proportionate</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Shareholders'</w:t>
            </w:r>
          </w:p>
        </w:tc>
        <w:tc>
          <w:tcPr>
            <w:tcW w:w="120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Controlling</w:t>
            </w:r>
          </w:p>
        </w:tc>
        <w:tc>
          <w:tcPr>
            <w:tcW w:w="740" w:type="dxa"/>
            <w:vAlign w:val="bottom"/>
          </w:tcPr>
          <w:p>
            <w:pPr>
              <w:jc w:val="center"/>
              <w:ind w:left="179"/>
              <w:spacing w:after="0"/>
              <w:rPr>
                <w:sz w:val="20"/>
                <w:szCs w:val="20"/>
                <w:color w:val="auto"/>
              </w:rPr>
            </w:pPr>
            <w:r>
              <w:rPr>
                <w:rFonts w:ascii="Times New Roman" w:cs="Times New Roman" w:eastAsia="Times New Roman" w:hAnsi="Times New Roman"/>
                <w:sz w:val="16"/>
                <w:szCs w:val="16"/>
                <w:b w:val="1"/>
                <w:bCs w:val="1"/>
                <w:color w:val="auto"/>
                <w:w w:val="98"/>
              </w:rPr>
              <w:t>Total</w:t>
            </w:r>
          </w:p>
        </w:tc>
      </w:tr>
      <w:tr>
        <w:trPr>
          <w:trHeight w:val="212"/>
        </w:trPr>
        <w:tc>
          <w:tcPr>
            <w:tcW w:w="82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30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Voting Shares</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120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7"/>
              </w:rPr>
              <w:t>Interest</w:t>
            </w:r>
          </w:p>
        </w:tc>
        <w:tc>
          <w:tcPr>
            <w:tcW w:w="740" w:type="dxa"/>
            <w:vAlign w:val="bottom"/>
          </w:tcPr>
          <w:p>
            <w:pPr>
              <w:jc w:val="center"/>
              <w:ind w:left="179"/>
              <w:spacing w:after="0"/>
              <w:rPr>
                <w:sz w:val="20"/>
                <w:szCs w:val="20"/>
                <w:color w:val="auto"/>
              </w:rPr>
            </w:pPr>
            <w:r>
              <w:rPr>
                <w:rFonts w:ascii="Times New Roman" w:cs="Times New Roman" w:eastAsia="Times New Roman" w:hAnsi="Times New Roman"/>
                <w:sz w:val="16"/>
                <w:szCs w:val="16"/>
                <w:b w:val="1"/>
                <w:bCs w:val="1"/>
                <w:color w:val="auto"/>
              </w:rPr>
              <w:t>Equity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20955</wp:posOffset>
            </wp:positionV>
            <wp:extent cx="534035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340350" cy="8255"/>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0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391,238,484</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10,009,819</w:t>
            </w:r>
          </w:p>
        </w:tc>
        <w:tc>
          <w:tcPr>
            <w:tcW w:w="8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1,117,287</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(904,003)</w:t>
            </w:r>
          </w:p>
        </w:tc>
        <w:tc>
          <w:tcPr>
            <w:tcW w:w="80" w:type="dxa"/>
            <w:vAlign w:val="bottom"/>
          </w:tcPr>
          <w:p>
            <w:pPr>
              <w:spacing w:after="0"/>
              <w:rPr>
                <w:sz w:val="20"/>
                <w:szCs w:val="20"/>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213,284</w:t>
            </w:r>
          </w:p>
        </w:tc>
        <w:tc>
          <w:tcPr>
            <w:tcW w:w="8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(6,381)</w:t>
            </w:r>
          </w:p>
        </w:tc>
        <w:tc>
          <w:tcPr>
            <w:tcW w:w="8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206,903</w:t>
            </w:r>
          </w:p>
        </w:tc>
      </w:tr>
      <w:tr>
        <w:trPr>
          <w:trHeight w:val="223"/>
        </w:trPr>
        <w:tc>
          <w:tcPr>
            <w:tcW w:w="1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2,116,944</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6,611</w:t>
            </w:r>
          </w:p>
        </w:tc>
        <w:tc>
          <w:tcPr>
            <w:tcW w:w="300" w:type="dxa"/>
            <w:vAlign w:val="bottom"/>
          </w:tcPr>
          <w:p>
            <w:pPr>
              <w:spacing w:after="0"/>
              <w:rPr>
                <w:sz w:val="19"/>
                <w:szCs w:val="19"/>
                <w:color w:val="auto"/>
              </w:rPr>
            </w:pPr>
          </w:p>
        </w:tc>
        <w:tc>
          <w:tcPr>
            <w:tcW w:w="94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6,611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6,611</w:t>
            </w:r>
          </w:p>
        </w:tc>
      </w:tr>
      <w:tr>
        <w:trPr>
          <w:trHeight w:val="243"/>
        </w:trPr>
        <w:tc>
          <w:tcPr>
            <w:tcW w:w="1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54,158</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(54,158)</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1"/>
                <w:szCs w:val="21"/>
                <w:color w:val="auto"/>
              </w:rPr>
            </w:pPr>
          </w:p>
        </w:tc>
        <w:tc>
          <w:tcPr>
            <w:tcW w:w="94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1"/>
                <w:szCs w:val="21"/>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3"/>
        </w:trPr>
        <w:tc>
          <w:tcPr>
            <w:tcW w:w="1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1"/>
                <w:szCs w:val="21"/>
                <w:color w:val="auto"/>
              </w:rPr>
            </w:pPr>
          </w:p>
        </w:tc>
        <w:tc>
          <w:tcPr>
            <w:tcW w:w="94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4,383</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4,383</w:t>
            </w:r>
          </w:p>
        </w:tc>
      </w:tr>
      <w:tr>
        <w:trPr>
          <w:trHeight w:val="283"/>
        </w:trPr>
        <w:tc>
          <w:tcPr>
            <w:tcW w:w="1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(37,340)</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(37,340)</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768</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(36,572)</w:t>
            </w:r>
          </w:p>
        </w:tc>
      </w:tr>
      <w:tr>
        <w:trPr>
          <w:trHeight w:val="243"/>
        </w:trPr>
        <w:tc>
          <w:tcPr>
            <w:tcW w:w="130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393,409,586</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9,955,661</w:t>
            </w:r>
          </w:p>
        </w:tc>
        <w:tc>
          <w:tcPr>
            <w:tcW w:w="80" w:type="dxa"/>
            <w:vAlign w:val="bottom"/>
          </w:tcPr>
          <w:p>
            <w:pPr>
              <w:spacing w:after="0"/>
              <w:rPr>
                <w:sz w:val="21"/>
                <w:szCs w:val="21"/>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1,123,898</w:t>
            </w:r>
          </w:p>
        </w:tc>
        <w:tc>
          <w:tcPr>
            <w:tcW w:w="3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(941,343)</w:t>
            </w:r>
          </w:p>
        </w:tc>
        <w:tc>
          <w:tcPr>
            <w:tcW w:w="80" w:type="dxa"/>
            <w:vAlign w:val="bottom"/>
          </w:tcPr>
          <w:p>
            <w:pPr>
              <w:spacing w:after="0"/>
              <w:rPr>
                <w:sz w:val="21"/>
                <w:szCs w:val="21"/>
                <w:color w:val="auto"/>
              </w:rPr>
            </w:pPr>
          </w:p>
        </w:tc>
        <w:tc>
          <w:tcPr>
            <w:tcW w:w="44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182,555</w:t>
            </w:r>
          </w:p>
        </w:tc>
        <w:tc>
          <w:tcPr>
            <w:tcW w:w="80" w:type="dxa"/>
            <w:vAlign w:val="bottom"/>
          </w:tcPr>
          <w:p>
            <w:pPr>
              <w:spacing w:after="0"/>
              <w:rPr>
                <w:sz w:val="21"/>
                <w:szCs w:val="21"/>
                <w:color w:val="auto"/>
              </w:rPr>
            </w:pP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(1,230)</w:t>
            </w:r>
          </w:p>
        </w:tc>
        <w:tc>
          <w:tcPr>
            <w:tcW w:w="80" w:type="dxa"/>
            <w:vAlign w:val="bottom"/>
          </w:tcPr>
          <w:p>
            <w:pPr>
              <w:spacing w:after="0"/>
              <w:rPr>
                <w:sz w:val="21"/>
                <w:szCs w:val="21"/>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181,325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-1784985</wp:posOffset>
            </wp:positionH>
            <wp:positionV relativeFrom="paragraph">
              <wp:posOffset>-788035</wp:posOffset>
            </wp:positionV>
            <wp:extent cx="7132320"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-1784985</wp:posOffset>
            </wp:positionH>
            <wp:positionV relativeFrom="paragraph">
              <wp:posOffset>-479425</wp:posOffset>
            </wp:positionV>
            <wp:extent cx="7132320"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-1784985</wp:posOffset>
            </wp:positionH>
            <wp:positionV relativeFrom="paragraph">
              <wp:posOffset>-162560</wp:posOffset>
            </wp:positionV>
            <wp:extent cx="7132320" cy="1885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34" w:lineRule="exact"/>
        <w:rPr>
          <w:sz w:val="20"/>
          <w:szCs w:val="20"/>
          <w:color w:val="auto"/>
        </w:rPr>
      </w:pPr>
    </w:p>
    <w:p>
      <w:pPr>
        <w:sectPr>
          <w:pgSz w:w="11900" w:h="16838" w:orient="portrait"/>
          <w:cols w:equalWidth="0" w:num="2">
            <w:col w:w="2460" w:space="360"/>
            <w:col w:w="842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32"/>
        </w:trPr>
        <w:tc>
          <w:tcPr>
            <w:tcW w:w="2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Equity-based compensation </w:t>
            </w:r>
            <w:r>
              <w:rPr>
                <w:rFonts w:ascii="Times New Roman" w:cs="Times New Roman" w:eastAsia="Times New Roman" w:hAnsi="Times New Roman"/>
                <w:sz w:val="16"/>
                <w:szCs w:val="16"/>
                <w:i w:val="1"/>
                <w:iCs w:val="1"/>
                <w:color w:val="auto"/>
              </w:rPr>
              <w:t>(1)</w:t>
            </w:r>
          </w:p>
        </w:tc>
        <w:tc>
          <w:tcPr>
            <w:tcW w:w="1340" w:type="dxa"/>
            <w:vAlign w:val="bottom"/>
            <w:tcBorders>
              <w:top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3,413,933</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2,939</w:t>
            </w:r>
          </w:p>
        </w:tc>
        <w:tc>
          <w:tcPr>
            <w:tcW w:w="2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2,939</w:t>
            </w:r>
          </w:p>
        </w:tc>
        <w:tc>
          <w:tcPr>
            <w:tcW w:w="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2,939</w:t>
            </w:r>
          </w:p>
        </w:tc>
        <w:tc>
          <w:tcPr>
            <w:tcW w:w="0" w:type="dxa"/>
            <w:vAlign w:val="bottom"/>
          </w:tcPr>
          <w:p>
            <w:pPr>
              <w:spacing w:after="0"/>
              <w:rPr>
                <w:sz w:val="1"/>
                <w:szCs w:val="1"/>
                <w:color w:val="auto"/>
              </w:rPr>
            </w:pPr>
          </w:p>
        </w:tc>
      </w:tr>
      <w:tr>
        <w:trPr>
          <w:trHeight w:val="24"/>
        </w:trPr>
        <w:tc>
          <w:tcPr>
            <w:tcW w:w="28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820" w:type="dxa"/>
            <w:vAlign w:val="bottom"/>
            <w:shd w:val="clear" w:color="auto" w:fill="CFF0FC"/>
          </w:tcPr>
          <w:p>
            <w:pPr>
              <w:ind w:left="20"/>
              <w:spacing w:after="0" w:line="175" w:lineRule="exact"/>
              <w:rPr>
                <w:sz w:val="20"/>
                <w:szCs w:val="20"/>
                <w:color w:val="auto"/>
              </w:rPr>
            </w:pPr>
            <w:r>
              <w:rPr>
                <w:rFonts w:ascii="Times New Roman" w:cs="Times New Roman" w:eastAsia="Times New Roman" w:hAnsi="Times New Roman"/>
                <w:sz w:val="16"/>
                <w:szCs w:val="16"/>
                <w:color w:val="auto"/>
              </w:rPr>
              <w:t>Distributions to non-controlling interest</w:t>
            </w:r>
          </w:p>
        </w:tc>
        <w:tc>
          <w:tcPr>
            <w:tcW w:w="13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0" w:type="dxa"/>
            <w:vAlign w:val="bottom"/>
          </w:tcPr>
          <w:p>
            <w:pPr>
              <w:spacing w:after="0"/>
              <w:rPr>
                <w:sz w:val="1"/>
                <w:szCs w:val="1"/>
                <w:color w:val="auto"/>
              </w:rPr>
            </w:pPr>
          </w:p>
        </w:tc>
      </w:tr>
      <w:tr>
        <w:trPr>
          <w:trHeight w:val="243"/>
        </w:trPr>
        <w:tc>
          <w:tcPr>
            <w:tcW w:w="2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holders</w:t>
            </w:r>
          </w:p>
        </w:tc>
        <w:tc>
          <w:tcPr>
            <w:tcW w:w="134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21"/>
                <w:szCs w:val="21"/>
                <w:color w:val="auto"/>
              </w:rPr>
            </w:pPr>
          </w:p>
        </w:tc>
        <w:tc>
          <w:tcPr>
            <w:tcW w:w="760" w:type="dxa"/>
            <w:vAlign w:val="bottom"/>
            <w:vMerge w:val="continue"/>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20" w:type="dxa"/>
            <w:vAlign w:val="bottom"/>
            <w:vMerge w:val="continue"/>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3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(28,863)</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(28,863)</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(29,037)</w:t>
            </w:r>
          </w:p>
        </w:tc>
        <w:tc>
          <w:tcPr>
            <w:tcW w:w="0" w:type="dxa"/>
            <w:vAlign w:val="bottom"/>
          </w:tcPr>
          <w:p>
            <w:pPr>
              <w:spacing w:after="0"/>
              <w:rPr>
                <w:sz w:val="1"/>
                <w:szCs w:val="1"/>
                <w:color w:val="auto"/>
              </w:rPr>
            </w:pPr>
          </w:p>
        </w:tc>
      </w:tr>
      <w:tr>
        <w:trPr>
          <w:trHeight w:val="275"/>
        </w:trPr>
        <w:tc>
          <w:tcPr>
            <w:tcW w:w="282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June 30, 2023</w:t>
            </w:r>
          </w:p>
        </w:tc>
        <w:tc>
          <w:tcPr>
            <w:tcW w:w="1340" w:type="dxa"/>
            <w:vAlign w:val="bottom"/>
            <w:tcBorders>
              <w:top w:val="single" w:sz="8" w:color="auto"/>
              <w:bottom w:val="single" w:sz="8" w:color="auto"/>
            </w:tcBorders>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396,823,519</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9,955,661</w:t>
            </w:r>
          </w:p>
        </w:tc>
        <w:tc>
          <w:tcPr>
            <w:tcW w:w="80" w:type="dxa"/>
            <w:vAlign w:val="bottom"/>
            <w:tcBorders>
              <w:top w:val="single" w:sz="8" w:color="CFF0FC"/>
              <w:bottom w:val="single" w:sz="8" w:color="CFF0FC"/>
            </w:tcBorders>
            <w:shd w:val="clear" w:color="auto" w:fill="CFF0FC"/>
          </w:tcPr>
          <w:p>
            <w:pPr>
              <w:spacing w:after="0"/>
              <w:rPr>
                <w:sz w:val="23"/>
                <w:szCs w:val="23"/>
                <w:color w:val="auto"/>
              </w:rPr>
            </w:pP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1,126,837</w:t>
            </w:r>
          </w:p>
        </w:tc>
        <w:tc>
          <w:tcPr>
            <w:tcW w:w="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(970,206)</w:t>
            </w:r>
          </w:p>
        </w:tc>
        <w:tc>
          <w:tcPr>
            <w:tcW w:w="80" w:type="dxa"/>
            <w:vAlign w:val="bottom"/>
            <w:tcBorders>
              <w:top w:val="single" w:sz="8" w:color="CFF0FC"/>
              <w:bottom w:val="single" w:sz="8" w:color="CFF0FC"/>
            </w:tcBorders>
            <w:shd w:val="clear" w:color="auto" w:fill="CFF0FC"/>
          </w:tcPr>
          <w:p>
            <w:pPr>
              <w:spacing w:after="0"/>
              <w:rPr>
                <w:sz w:val="23"/>
                <w:szCs w:val="23"/>
                <w:color w:val="auto"/>
              </w:rPr>
            </w:pPr>
          </w:p>
        </w:tc>
        <w:tc>
          <w:tcPr>
            <w:tcW w:w="440" w:type="dxa"/>
            <w:vAlign w:val="bottom"/>
            <w:tcBorders>
              <w:top w:val="single" w:sz="8" w:color="auto"/>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156,631</w:t>
            </w:r>
          </w:p>
        </w:tc>
        <w:tc>
          <w:tcPr>
            <w:tcW w:w="80" w:type="dxa"/>
            <w:vAlign w:val="bottom"/>
            <w:tcBorders>
              <w:top w:val="single" w:sz="8" w:color="CFF0FC"/>
              <w:bottom w:val="single" w:sz="8" w:color="CFF0FC"/>
            </w:tcBorders>
            <w:shd w:val="clear" w:color="auto" w:fill="CFF0FC"/>
          </w:tcPr>
          <w:p>
            <w:pPr>
              <w:spacing w:after="0"/>
              <w:rPr>
                <w:sz w:val="23"/>
                <w:szCs w:val="23"/>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(1,835)</w:t>
            </w:r>
          </w:p>
        </w:tc>
        <w:tc>
          <w:tcPr>
            <w:tcW w:w="80" w:type="dxa"/>
            <w:vAlign w:val="bottom"/>
            <w:tcBorders>
              <w:top w:val="single" w:sz="8" w:color="CFF0FC"/>
              <w:bottom w:val="single" w:sz="8" w:color="CFF0FC"/>
            </w:tcBorders>
            <w:shd w:val="clear" w:color="auto" w:fill="CFF0FC"/>
          </w:tcPr>
          <w:p>
            <w:pPr>
              <w:spacing w:after="0"/>
              <w:rPr>
                <w:sz w:val="23"/>
                <w:szCs w:val="23"/>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154,796</w:t>
            </w:r>
          </w:p>
        </w:tc>
        <w:tc>
          <w:tcPr>
            <w:tcW w:w="0" w:type="dxa"/>
            <w:vAlign w:val="bottom"/>
          </w:tcPr>
          <w:p>
            <w:pPr>
              <w:spacing w:after="0"/>
              <w:rPr>
                <w:sz w:val="1"/>
                <w:szCs w:val="1"/>
                <w:color w:val="auto"/>
              </w:rPr>
            </w:pPr>
          </w:p>
        </w:tc>
      </w:tr>
      <w:tr>
        <w:trPr>
          <w:trHeight w:val="20"/>
        </w:trPr>
        <w:tc>
          <w:tcPr>
            <w:tcW w:w="2820" w:type="dxa"/>
            <w:vAlign w:val="bottom"/>
            <w:tcBorders>
              <w:top w:val="single" w:sz="8" w:color="CFF0FC"/>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 xml:space="preserve">Equity-based compensation </w:t>
            </w:r>
            <w:r>
              <w:rPr>
                <w:rFonts w:ascii="Times New Roman" w:cs="Times New Roman" w:eastAsia="Times New Roman" w:hAnsi="Times New Roman"/>
                <w:sz w:val="16"/>
                <w:szCs w:val="16"/>
                <w:i w:val="1"/>
                <w:iCs w:val="1"/>
                <w:color w:val="auto"/>
              </w:rPr>
              <w:t>(1)</w:t>
            </w:r>
          </w:p>
        </w:tc>
        <w:tc>
          <w:tcPr>
            <w:tcW w:w="134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CFF0FC"/>
            </w:tcBorders>
            <w:gridSpan w:val="2"/>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CFF0FC"/>
            </w:tcBorders>
            <w:gridSpan w:val="2"/>
          </w:tcPr>
          <w:p>
            <w:pPr>
              <w:spacing w:after="0" w:line="20" w:lineRule="exact"/>
              <w:rPr>
                <w:sz w:val="1"/>
                <w:szCs w:val="1"/>
                <w:color w:val="auto"/>
              </w:rPr>
            </w:pPr>
          </w:p>
        </w:tc>
        <w:tc>
          <w:tcPr>
            <w:tcW w:w="44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CFF0FC"/>
            </w:tcBorders>
            <w:gridSpan w:val="2"/>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820" w:type="dxa"/>
            <w:vAlign w:val="bottom"/>
            <w:tcBorders>
              <w:top w:val="single" w:sz="8" w:color="CFF0FC"/>
            </w:tcBorders>
            <w:vMerge w:val="continue"/>
          </w:tcPr>
          <w:p>
            <w:pPr>
              <w:spacing w:after="0"/>
              <w:rPr>
                <w:sz w:val="16"/>
                <w:szCs w:val="16"/>
                <w:color w:val="auto"/>
              </w:rPr>
            </w:pPr>
          </w:p>
        </w:tc>
        <w:tc>
          <w:tcPr>
            <w:tcW w:w="1340" w:type="dxa"/>
            <w:vAlign w:val="bottom"/>
            <w:tcBorders>
              <w:top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204,513</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8,298</w:t>
            </w:r>
          </w:p>
        </w:tc>
        <w:tc>
          <w:tcPr>
            <w:tcW w:w="2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8,298</w:t>
            </w:r>
          </w:p>
        </w:tc>
        <w:tc>
          <w:tcPr>
            <w:tcW w:w="8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8,298</w:t>
            </w:r>
          </w:p>
        </w:tc>
        <w:tc>
          <w:tcPr>
            <w:tcW w:w="0" w:type="dxa"/>
            <w:vAlign w:val="bottom"/>
          </w:tcPr>
          <w:p>
            <w:pPr>
              <w:spacing w:after="0"/>
              <w:rPr>
                <w:sz w:val="1"/>
                <w:szCs w:val="1"/>
                <w:color w:val="auto"/>
              </w:rPr>
            </w:pPr>
          </w:p>
        </w:tc>
      </w:tr>
      <w:tr>
        <w:trPr>
          <w:trHeight w:val="33"/>
        </w:trPr>
        <w:tc>
          <w:tcPr>
            <w:tcW w:w="28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Issuance of shares</w:t>
            </w:r>
          </w:p>
        </w:tc>
        <w:tc>
          <w:tcPr>
            <w:tcW w:w="134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21,887,240</w:t>
            </w:r>
          </w:p>
        </w:tc>
        <w:tc>
          <w:tcPr>
            <w:tcW w:w="10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2"/>
                <w:szCs w:val="22"/>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23,872</w:t>
            </w:r>
          </w:p>
        </w:tc>
        <w:tc>
          <w:tcPr>
            <w:tcW w:w="240" w:type="dxa"/>
            <w:vAlign w:val="bottom"/>
            <w:shd w:val="clear" w:color="auto" w:fill="CFF0FC"/>
          </w:tcPr>
          <w:p>
            <w:pPr>
              <w:spacing w:after="0"/>
              <w:rPr>
                <w:sz w:val="22"/>
                <w:szCs w:val="22"/>
                <w:color w:val="auto"/>
              </w:rPr>
            </w:pP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FF0FC"/>
          </w:tcPr>
          <w:p>
            <w:pPr>
              <w:spacing w:after="0"/>
              <w:rPr>
                <w:sz w:val="22"/>
                <w:szCs w:val="22"/>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23,872</w:t>
            </w:r>
          </w:p>
        </w:tc>
        <w:tc>
          <w:tcPr>
            <w:tcW w:w="8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2"/>
                <w:szCs w:val="22"/>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23,872</w:t>
            </w:r>
          </w:p>
        </w:tc>
        <w:tc>
          <w:tcPr>
            <w:tcW w:w="0" w:type="dxa"/>
            <w:vAlign w:val="bottom"/>
          </w:tcPr>
          <w:p>
            <w:pPr>
              <w:spacing w:after="0"/>
              <w:rPr>
                <w:sz w:val="1"/>
                <w:szCs w:val="1"/>
                <w:color w:val="auto"/>
              </w:rPr>
            </w:pPr>
          </w:p>
        </w:tc>
      </w:tr>
      <w:tr>
        <w:trPr>
          <w:trHeight w:val="250"/>
        </w:trPr>
        <w:tc>
          <w:tcPr>
            <w:tcW w:w="2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profit (loss)</w:t>
            </w:r>
          </w:p>
        </w:tc>
        <w:tc>
          <w:tcPr>
            <w:tcW w:w="13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(36,725)</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(36,725)</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(36,180)</w:t>
            </w:r>
          </w:p>
        </w:tc>
        <w:tc>
          <w:tcPr>
            <w:tcW w:w="0" w:type="dxa"/>
            <w:vAlign w:val="bottom"/>
          </w:tcPr>
          <w:p>
            <w:pPr>
              <w:spacing w:after="0"/>
              <w:rPr>
                <w:sz w:val="1"/>
                <w:szCs w:val="1"/>
                <w:color w:val="auto"/>
              </w:rPr>
            </w:pPr>
          </w:p>
        </w:tc>
      </w:tr>
      <w:tr>
        <w:trPr>
          <w:trHeight w:val="264"/>
        </w:trPr>
        <w:tc>
          <w:tcPr>
            <w:tcW w:w="282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September 30, 2023</w:t>
            </w:r>
          </w:p>
        </w:tc>
        <w:tc>
          <w:tcPr>
            <w:tcW w:w="1340" w:type="dxa"/>
            <w:vAlign w:val="bottom"/>
            <w:tcBorders>
              <w:top w:val="single" w:sz="8" w:color="auto"/>
              <w:bottom w:val="single" w:sz="8" w:color="auto"/>
            </w:tcBorders>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418,915,272</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9,955,661</w:t>
            </w:r>
          </w:p>
        </w:tc>
        <w:tc>
          <w:tcPr>
            <w:tcW w:w="80" w:type="dxa"/>
            <w:vAlign w:val="bottom"/>
            <w:tcBorders>
              <w:top w:val="single" w:sz="8" w:color="CFF0FC"/>
              <w:bottom w:val="single" w:sz="8" w:color="auto"/>
            </w:tcBorders>
            <w:shd w:val="clear" w:color="auto" w:fill="CFF0FC"/>
          </w:tcPr>
          <w:p>
            <w:pPr>
              <w:spacing w:after="0"/>
              <w:rPr>
                <w:sz w:val="22"/>
                <w:szCs w:val="22"/>
                <w:color w:val="auto"/>
              </w:rPr>
            </w:pP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1,159,007</w:t>
            </w:r>
          </w:p>
        </w:tc>
        <w:tc>
          <w:tcPr>
            <w:tcW w:w="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(1,006,931)</w:t>
            </w:r>
          </w:p>
        </w:tc>
        <w:tc>
          <w:tcPr>
            <w:tcW w:w="80" w:type="dxa"/>
            <w:vAlign w:val="bottom"/>
            <w:tcBorders>
              <w:top w:val="single" w:sz="8" w:color="CFF0FC"/>
              <w:bottom w:val="single" w:sz="8" w:color="CFF0FC"/>
            </w:tcBorders>
            <w:shd w:val="clear" w:color="auto" w:fill="CFF0FC"/>
          </w:tcPr>
          <w:p>
            <w:pPr>
              <w:spacing w:after="0"/>
              <w:rPr>
                <w:sz w:val="22"/>
                <w:szCs w:val="22"/>
                <w:color w:val="auto"/>
              </w:rPr>
            </w:pPr>
          </w:p>
        </w:tc>
        <w:tc>
          <w:tcPr>
            <w:tcW w:w="440" w:type="dxa"/>
            <w:vAlign w:val="bottom"/>
            <w:tcBorders>
              <w:top w:val="single" w:sz="8" w:color="auto"/>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152,076</w:t>
            </w:r>
          </w:p>
        </w:tc>
        <w:tc>
          <w:tcPr>
            <w:tcW w:w="80" w:type="dxa"/>
            <w:vAlign w:val="bottom"/>
            <w:tcBorders>
              <w:top w:val="single" w:sz="8" w:color="CFF0FC"/>
              <w:bottom w:val="single" w:sz="8" w:color="CFF0FC"/>
            </w:tcBorders>
            <w:shd w:val="clear" w:color="auto" w:fill="CFF0FC"/>
          </w:tcPr>
          <w:p>
            <w:pPr>
              <w:spacing w:after="0"/>
              <w:rPr>
                <w:sz w:val="22"/>
                <w:szCs w:val="22"/>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(1,290)</w:t>
            </w:r>
          </w:p>
        </w:tc>
        <w:tc>
          <w:tcPr>
            <w:tcW w:w="80" w:type="dxa"/>
            <w:vAlign w:val="bottom"/>
            <w:tcBorders>
              <w:top w:val="single" w:sz="8" w:color="CFF0FC"/>
              <w:bottom w:val="single" w:sz="8" w:color="CFF0FC"/>
            </w:tcBorders>
            <w:shd w:val="clear" w:color="auto" w:fill="CFF0FC"/>
          </w:tcPr>
          <w:p>
            <w:pPr>
              <w:spacing w:after="0"/>
              <w:rPr>
                <w:sz w:val="22"/>
                <w:szCs w:val="22"/>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150,786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-187960</wp:posOffset>
            </wp:positionV>
            <wp:extent cx="5143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-702310</wp:posOffset>
            </wp:positionV>
            <wp:extent cx="5143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-702310</wp:posOffset>
            </wp:positionV>
            <wp:extent cx="5143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-702310</wp:posOffset>
            </wp:positionV>
            <wp:extent cx="5143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-702310</wp:posOffset>
            </wp:positionV>
            <wp:extent cx="5143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-873760</wp:posOffset>
            </wp:positionV>
            <wp:extent cx="514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-873760</wp:posOffset>
            </wp:positionV>
            <wp:extent cx="5143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-873760</wp:posOffset>
            </wp:positionV>
            <wp:extent cx="5143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-873760</wp:posOffset>
            </wp:positionV>
            <wp:extent cx="5143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6"/>
          <w:szCs w:val="16"/>
          <w:color w:val="auto"/>
        </w:rPr>
        <w:t>(1) The amount shown are net of any shares withheld by the Company to satisfy certain tax withholdings in connection with vesting of equity-based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1796415</wp:posOffset>
            </wp:positionH>
            <wp:positionV relativeFrom="paragraph">
              <wp:posOffset>-107315</wp:posOffset>
            </wp:positionV>
            <wp:extent cx="534035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3403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3"/>
          <w:szCs w:val="13"/>
          <w:b w:val="1"/>
          <w:bCs w:val="1"/>
          <w:color w:val="auto"/>
        </w:rPr>
        <w:t>THE CANNABIST COMPANY HOLDINGS INC.</w:t>
      </w:r>
    </w:p>
    <w:p>
      <w:pPr>
        <w:spacing w:after="0" w:line="17"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3"/>
          <w:szCs w:val="13"/>
          <w:color w:val="auto"/>
        </w:rPr>
        <w:t>CONDENSED CONSOLIDATED INTERIM STATEMENTS OF CHANGES IN EQUITY -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(Unaudited)</w:t>
      </w:r>
    </w:p>
    <w:p>
      <w:pPr>
        <w:sectPr>
          <w:pgSz w:w="11900" w:h="16838" w:orient="portrait"/>
          <w:cols w:equalWidth="0" w:num="1">
            <w:col w:w="11240"/>
          </w:cols>
          <w:pgMar w:left="320" w:top="121" w:right="339"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164"/>
        </w:trPr>
        <w:tc>
          <w:tcPr>
            <w:tcW w:w="2840" w:type="dxa"/>
            <w:vAlign w:val="bottom"/>
          </w:tcPr>
          <w:p>
            <w:pPr>
              <w:spacing w:after="0"/>
              <w:rPr>
                <w:sz w:val="14"/>
                <w:szCs w:val="14"/>
                <w:color w:val="auto"/>
              </w:rPr>
            </w:pPr>
          </w:p>
        </w:tc>
        <w:tc>
          <w:tcPr>
            <w:tcW w:w="4680" w:type="dxa"/>
            <w:vAlign w:val="bottom"/>
            <w:gridSpan w:val="10"/>
          </w:tcPr>
          <w:p>
            <w:pPr>
              <w:ind w:left="1040"/>
              <w:spacing w:after="0"/>
              <w:rPr>
                <w:sz w:val="20"/>
                <w:szCs w:val="20"/>
                <w:color w:val="auto"/>
              </w:rPr>
            </w:pPr>
            <w:r>
              <w:rPr>
                <w:rFonts w:ascii="Times New Roman" w:cs="Times New Roman" w:eastAsia="Times New Roman" w:hAnsi="Times New Roman"/>
                <w:sz w:val="13"/>
                <w:szCs w:val="13"/>
                <w:color w:val="auto"/>
              </w:rPr>
              <w:t>(Expressed in thousands of U.S. dollars, except for number of shares)</w:t>
            </w: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28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color w:val="auto"/>
              </w:rPr>
              <w:t>Total The Cannabist</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840" w:type="dxa"/>
            <w:vAlign w:val="bottom"/>
          </w:tcPr>
          <w:p>
            <w:pPr>
              <w:spacing w:after="0"/>
              <w:rPr>
                <w:sz w:val="16"/>
                <w:szCs w:val="16"/>
                <w:color w:val="auto"/>
              </w:rPr>
            </w:pPr>
          </w:p>
        </w:tc>
        <w:tc>
          <w:tcPr>
            <w:tcW w:w="11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1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auto"/>
              </w:rPr>
              <w:t>Proportionate</w:t>
            </w:r>
          </w:p>
        </w:tc>
        <w:tc>
          <w:tcPr>
            <w:tcW w:w="140" w:type="dxa"/>
            <w:vAlign w:val="bottom"/>
          </w:tcPr>
          <w:p>
            <w:pPr>
              <w:spacing w:after="0"/>
              <w:rPr>
                <w:sz w:val="16"/>
                <w:szCs w:val="16"/>
                <w:color w:val="auto"/>
              </w:rPr>
            </w:pPr>
          </w:p>
        </w:tc>
        <w:tc>
          <w:tcPr>
            <w:tcW w:w="10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color w:val="auto"/>
                <w:w w:val="99"/>
              </w:rPr>
              <w:t>Additional</w:t>
            </w:r>
          </w:p>
        </w:tc>
        <w:tc>
          <w:tcPr>
            <w:tcW w:w="120" w:type="dxa"/>
            <w:vAlign w:val="bottom"/>
          </w:tcPr>
          <w:p>
            <w:pPr>
              <w:spacing w:after="0"/>
              <w:rPr>
                <w:sz w:val="16"/>
                <w:szCs w:val="16"/>
                <w:color w:val="auto"/>
              </w:rPr>
            </w:pPr>
          </w:p>
        </w:tc>
        <w:tc>
          <w:tcPr>
            <w:tcW w:w="10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color w:val="auto"/>
              </w:rPr>
              <w:t>Accumulated</w:t>
            </w:r>
          </w:p>
        </w:tc>
        <w:tc>
          <w:tcPr>
            <w:tcW w:w="150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color w:val="auto"/>
              </w:rPr>
              <w:t>Company Holdings</w:t>
            </w:r>
          </w:p>
        </w:tc>
        <w:tc>
          <w:tcPr>
            <w:tcW w:w="120" w:type="dxa"/>
            <w:vAlign w:val="bottom"/>
          </w:tcPr>
          <w:p>
            <w:pPr>
              <w:spacing w:after="0"/>
              <w:rPr>
                <w:sz w:val="16"/>
                <w:szCs w:val="16"/>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Non-</w:t>
            </w:r>
          </w:p>
        </w:tc>
        <w:tc>
          <w:tcPr>
            <w:tcW w:w="200" w:type="dxa"/>
            <w:vAlign w:val="bottom"/>
          </w:tcPr>
          <w:p>
            <w:pPr>
              <w:spacing w:after="0"/>
              <w:rPr>
                <w:sz w:val="16"/>
                <w:szCs w:val="16"/>
                <w:color w:val="auto"/>
              </w:rPr>
            </w:pPr>
          </w:p>
        </w:tc>
        <w:tc>
          <w:tcPr>
            <w:tcW w:w="860" w:type="dxa"/>
            <w:vAlign w:val="bottom"/>
            <w:vMerge w:val="restart"/>
          </w:tcPr>
          <w:p>
            <w:pPr>
              <w:jc w:val="right"/>
              <w:ind w:right="274"/>
              <w:spacing w:after="0"/>
              <w:rPr>
                <w:sz w:val="20"/>
                <w:szCs w:val="20"/>
                <w:color w:val="auto"/>
              </w:rPr>
            </w:pPr>
            <w:r>
              <w:rPr>
                <w:rFonts w:ascii="Times New Roman" w:cs="Times New Roman" w:eastAsia="Times New Roman" w:hAnsi="Times New Roman"/>
                <w:sz w:val="16"/>
                <w:szCs w:val="16"/>
                <w:color w:val="auto"/>
              </w:rPr>
              <w:t>Total</w:t>
            </w:r>
          </w:p>
        </w:tc>
        <w:tc>
          <w:tcPr>
            <w:tcW w:w="0" w:type="dxa"/>
            <w:vAlign w:val="bottom"/>
          </w:tcPr>
          <w:p>
            <w:pPr>
              <w:spacing w:after="0"/>
              <w:rPr>
                <w:sz w:val="1"/>
                <w:szCs w:val="1"/>
                <w:color w:val="auto"/>
              </w:rPr>
            </w:pPr>
          </w:p>
        </w:tc>
      </w:tr>
      <w:tr>
        <w:trPr>
          <w:trHeight w:val="174"/>
        </w:trPr>
        <w:tc>
          <w:tcPr>
            <w:tcW w:w="284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gridSpan w:val="2"/>
          </w:tcPr>
          <w:p>
            <w:pPr>
              <w:jc w:val="center"/>
              <w:ind w:right="440"/>
              <w:spacing w:after="0" w:line="174" w:lineRule="exact"/>
              <w:rPr>
                <w:sz w:val="20"/>
                <w:szCs w:val="20"/>
                <w:color w:val="auto"/>
              </w:rPr>
            </w:pPr>
            <w:r>
              <w:rPr>
                <w:rFonts w:ascii="Times New Roman" w:cs="Times New Roman" w:eastAsia="Times New Roman" w:hAnsi="Times New Roman"/>
                <w:sz w:val="16"/>
                <w:szCs w:val="16"/>
                <w:color w:val="auto"/>
                <w:w w:val="98"/>
              </w:rPr>
              <w:t>Inc.</w:t>
            </w:r>
          </w:p>
        </w:tc>
        <w:tc>
          <w:tcPr>
            <w:tcW w:w="120" w:type="dxa"/>
            <w:vAlign w:val="bottom"/>
          </w:tcPr>
          <w:p>
            <w:pPr>
              <w:spacing w:after="0"/>
              <w:rPr>
                <w:sz w:val="15"/>
                <w:szCs w:val="15"/>
                <w:color w:val="auto"/>
              </w:rPr>
            </w:pPr>
          </w:p>
        </w:tc>
        <w:tc>
          <w:tcPr>
            <w:tcW w:w="1040" w:type="dxa"/>
            <w:vAlign w:val="bottom"/>
            <w:gridSpan w:val="2"/>
          </w:tcPr>
          <w:p>
            <w:pPr>
              <w:jc w:val="center"/>
              <w:ind w:right="220"/>
              <w:spacing w:after="0" w:line="174" w:lineRule="exact"/>
              <w:rPr>
                <w:sz w:val="20"/>
                <w:szCs w:val="20"/>
                <w:color w:val="auto"/>
              </w:rPr>
            </w:pPr>
            <w:r>
              <w:rPr>
                <w:rFonts w:ascii="Times New Roman" w:cs="Times New Roman" w:eastAsia="Times New Roman" w:hAnsi="Times New Roman"/>
                <w:sz w:val="16"/>
                <w:szCs w:val="16"/>
                <w:color w:val="auto"/>
              </w:rPr>
              <w:t>Controlling</w:t>
            </w:r>
          </w:p>
        </w:tc>
        <w:tc>
          <w:tcPr>
            <w:tcW w:w="20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2840" w:type="dxa"/>
            <w:vAlign w:val="bottom"/>
          </w:tcPr>
          <w:p>
            <w:pPr>
              <w:spacing w:after="0"/>
              <w:rPr>
                <w:sz w:val="20"/>
                <w:szCs w:val="20"/>
                <w:color w:val="auto"/>
              </w:rPr>
            </w:pPr>
          </w:p>
        </w:tc>
        <w:tc>
          <w:tcPr>
            <w:tcW w:w="116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1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Voting Shares</w:t>
            </w:r>
          </w:p>
        </w:tc>
        <w:tc>
          <w:tcPr>
            <w:tcW w:w="116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color w:val="auto"/>
                <w:w w:val="99"/>
              </w:rPr>
              <w:t>Paid-in Capital</w:t>
            </w:r>
          </w:p>
        </w:tc>
        <w:tc>
          <w:tcPr>
            <w:tcW w:w="120" w:type="dxa"/>
            <w:vAlign w:val="bottom"/>
          </w:tcPr>
          <w:p>
            <w:pPr>
              <w:spacing w:after="0"/>
              <w:rPr>
                <w:sz w:val="20"/>
                <w:szCs w:val="20"/>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Deficit</w:t>
            </w:r>
          </w:p>
        </w:tc>
        <w:tc>
          <w:tcPr>
            <w:tcW w:w="15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Shareholders' Equity</w:t>
            </w:r>
          </w:p>
        </w:tc>
        <w:tc>
          <w:tcPr>
            <w:tcW w:w="120" w:type="dxa"/>
            <w:vAlign w:val="bottom"/>
          </w:tcPr>
          <w:p>
            <w:pPr>
              <w:spacing w:after="0"/>
              <w:rPr>
                <w:sz w:val="20"/>
                <w:szCs w:val="20"/>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Interest</w:t>
            </w:r>
          </w:p>
        </w:tc>
        <w:tc>
          <w:tcPr>
            <w:tcW w:w="200" w:type="dxa"/>
            <w:vAlign w:val="bottom"/>
          </w:tcPr>
          <w:p>
            <w:pPr>
              <w:spacing w:after="0"/>
              <w:rPr>
                <w:sz w:val="20"/>
                <w:szCs w:val="20"/>
                <w:color w:val="auto"/>
              </w:rPr>
            </w:pPr>
          </w:p>
        </w:tc>
        <w:tc>
          <w:tcPr>
            <w:tcW w:w="860" w:type="dxa"/>
            <w:vAlign w:val="bottom"/>
          </w:tcPr>
          <w:p>
            <w:pPr>
              <w:jc w:val="right"/>
              <w:ind w:right="234"/>
              <w:spacing w:after="0"/>
              <w:rPr>
                <w:sz w:val="20"/>
                <w:szCs w:val="20"/>
                <w:color w:val="auto"/>
              </w:rPr>
            </w:pPr>
            <w:r>
              <w:rPr>
                <w:rFonts w:ascii="Times New Roman" w:cs="Times New Roman" w:eastAsia="Times New Roman" w:hAnsi="Times New Roman"/>
                <w:sz w:val="16"/>
                <w:szCs w:val="16"/>
                <w:color w:val="auto"/>
              </w:rPr>
              <w:t>Equity</w:t>
            </w:r>
          </w:p>
        </w:tc>
        <w:tc>
          <w:tcPr>
            <w:tcW w:w="0" w:type="dxa"/>
            <w:vAlign w:val="bottom"/>
          </w:tcPr>
          <w:p>
            <w:pPr>
              <w:spacing w:after="0"/>
              <w:rPr>
                <w:sz w:val="1"/>
                <w:szCs w:val="1"/>
                <w:color w:val="auto"/>
              </w:rPr>
            </w:pPr>
          </w:p>
        </w:tc>
      </w:tr>
      <w:tr>
        <w:trPr>
          <w:trHeight w:val="257"/>
        </w:trPr>
        <w:tc>
          <w:tcPr>
            <w:tcW w:w="284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31, 2023</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420,265,306</w:t>
            </w:r>
          </w:p>
        </w:tc>
        <w:tc>
          <w:tcPr>
            <w:tcW w:w="80" w:type="dxa"/>
            <w:vAlign w:val="bottom"/>
            <w:tcBorders>
              <w:top w:val="single" w:sz="8" w:color="CFF0FC"/>
            </w:tcBorders>
            <w:shd w:val="clear" w:color="auto" w:fill="CFF0FC"/>
          </w:tcPr>
          <w:p>
            <w:pPr>
              <w:spacing w:after="0"/>
              <w:rPr>
                <w:sz w:val="22"/>
                <w:szCs w:val="22"/>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9,807,881</w:t>
            </w:r>
          </w:p>
        </w:tc>
        <w:tc>
          <w:tcPr>
            <w:tcW w:w="80" w:type="dxa"/>
            <w:vAlign w:val="bottom"/>
            <w:tcBorders>
              <w:top w:val="single" w:sz="8" w:color="CFF0FC"/>
            </w:tcBorders>
            <w:shd w:val="clear" w:color="auto" w:fill="CFF0FC"/>
          </w:tcPr>
          <w:p>
            <w:pPr>
              <w:spacing w:after="0"/>
              <w:rPr>
                <w:sz w:val="22"/>
                <w:szCs w:val="22"/>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1,146,154</w:t>
            </w:r>
          </w:p>
        </w:tc>
        <w:tc>
          <w:tcPr>
            <w:tcW w:w="80" w:type="dxa"/>
            <w:vAlign w:val="bottom"/>
            <w:tcBorders>
              <w:top w:val="single" w:sz="8" w:color="CFF0FC"/>
            </w:tcBorders>
            <w:shd w:val="clear" w:color="auto" w:fill="CFF0FC"/>
          </w:tcPr>
          <w:p>
            <w:pPr>
              <w:spacing w:after="0"/>
              <w:rPr>
                <w:sz w:val="22"/>
                <w:szCs w:val="22"/>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(1,079,282)</w:t>
            </w:r>
          </w:p>
        </w:tc>
        <w:tc>
          <w:tcPr>
            <w:tcW w:w="80" w:type="dxa"/>
            <w:vAlign w:val="bottom"/>
            <w:tcBorders>
              <w:top w:val="single" w:sz="8" w:color="CFF0FC"/>
            </w:tcBorders>
            <w:shd w:val="clear" w:color="auto" w:fill="CFF0FC"/>
          </w:tcPr>
          <w:p>
            <w:pPr>
              <w:spacing w:after="0"/>
              <w:rPr>
                <w:sz w:val="22"/>
                <w:szCs w:val="22"/>
                <w:color w:val="auto"/>
              </w:rPr>
            </w:pPr>
          </w:p>
        </w:tc>
        <w:tc>
          <w:tcPr>
            <w:tcW w:w="34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66,872</w:t>
            </w:r>
          </w:p>
        </w:tc>
        <w:tc>
          <w:tcPr>
            <w:tcW w:w="80" w:type="dxa"/>
            <w:vAlign w:val="bottom"/>
            <w:tcBorders>
              <w:top w:val="single" w:sz="8" w:color="CFF0FC"/>
            </w:tcBorders>
            <w:shd w:val="clear" w:color="auto" w:fill="CFF0FC"/>
          </w:tcPr>
          <w:p>
            <w:pPr>
              <w:spacing w:after="0"/>
              <w:rPr>
                <w:sz w:val="22"/>
                <w:szCs w:val="22"/>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(1,520)</w:t>
            </w:r>
          </w:p>
        </w:tc>
        <w:tc>
          <w:tcPr>
            <w:tcW w:w="80" w:type="dxa"/>
            <w:vAlign w:val="bottom"/>
            <w:tcBorders>
              <w:top w:val="single" w:sz="8" w:color="CFF0FC"/>
            </w:tcBorders>
            <w:shd w:val="clear" w:color="auto" w:fill="CFF0FC"/>
          </w:tcPr>
          <w:p>
            <w:pPr>
              <w:spacing w:after="0"/>
              <w:rPr>
                <w:sz w:val="22"/>
                <w:szCs w:val="22"/>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65,352</w:t>
            </w:r>
          </w:p>
        </w:tc>
        <w:tc>
          <w:tcPr>
            <w:tcW w:w="0" w:type="dxa"/>
            <w:vAlign w:val="bottom"/>
          </w:tcPr>
          <w:p>
            <w:pPr>
              <w:spacing w:after="0"/>
              <w:rPr>
                <w:sz w:val="1"/>
                <w:szCs w:val="1"/>
                <w:color w:val="auto"/>
              </w:rPr>
            </w:pPr>
          </w:p>
        </w:tc>
      </w:tr>
      <w:tr>
        <w:trPr>
          <w:trHeight w:val="212"/>
        </w:trPr>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Equity-based compensation </w:t>
            </w:r>
            <w:r>
              <w:rPr>
                <w:rFonts w:ascii="Times New Roman" w:cs="Times New Roman" w:eastAsia="Times New Roman" w:hAnsi="Times New Roman"/>
                <w:sz w:val="16"/>
                <w:szCs w:val="16"/>
                <w:i w:val="1"/>
                <w:iCs w:val="1"/>
                <w:color w:val="auto"/>
              </w:rPr>
              <w:t>(1)</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3,182</w:t>
            </w:r>
          </w:p>
        </w:tc>
        <w:tc>
          <w:tcPr>
            <w:tcW w:w="0" w:type="dxa"/>
            <w:vAlign w:val="bottom"/>
          </w:tcPr>
          <w:p>
            <w:pPr>
              <w:spacing w:after="0"/>
              <w:rPr>
                <w:sz w:val="1"/>
                <w:szCs w:val="1"/>
                <w:color w:val="auto"/>
              </w:rPr>
            </w:pPr>
          </w:p>
        </w:tc>
      </w:tr>
      <w:tr>
        <w:trPr>
          <w:trHeight w:val="31"/>
        </w:trPr>
        <w:tc>
          <w:tcPr>
            <w:tcW w:w="28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8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Conversion of convertible notes</w:t>
            </w: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25,845,259</w:t>
            </w:r>
          </w:p>
        </w:tc>
        <w:tc>
          <w:tcPr>
            <w:tcW w:w="80" w:type="dxa"/>
            <w:vAlign w:val="bottom"/>
            <w:tcBorders>
              <w:bottom w:val="single" w:sz="8" w:color="CFF0FC"/>
            </w:tcBorders>
            <w:shd w:val="clear" w:color="auto" w:fill="CFF0FC"/>
          </w:tcPr>
          <w:p>
            <w:pPr>
              <w:spacing w:after="0"/>
              <w:rPr>
                <w:sz w:val="19"/>
                <w:szCs w:val="19"/>
                <w:color w:val="auto"/>
              </w:rPr>
            </w:pPr>
          </w:p>
        </w:tc>
        <w:tc>
          <w:tcPr>
            <w:tcW w:w="118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0" w:type="dxa"/>
            <w:vAlign w:val="bottom"/>
          </w:tcPr>
          <w:p>
            <w:pPr>
              <w:spacing w:after="0"/>
              <w:rPr>
                <w:sz w:val="1"/>
                <w:szCs w:val="1"/>
                <w:color w:val="auto"/>
              </w:rPr>
            </w:pPr>
          </w:p>
        </w:tc>
      </w:tr>
      <w:tr>
        <w:trPr>
          <w:trHeight w:val="210"/>
        </w:trPr>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Conversion between classes of shares</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2,106,055</w:t>
            </w: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(2,106,055)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28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2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Deconsolidation of subsidiary</w:t>
            </w: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22"/>
                <w:szCs w:val="22"/>
                <w:color w:val="auto"/>
              </w:rPr>
            </w:pP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2"/>
                <w:szCs w:val="22"/>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8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8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2"/>
                <w:szCs w:val="22"/>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0" w:type="dxa"/>
            <w:vAlign w:val="bottom"/>
          </w:tcPr>
          <w:p>
            <w:pPr>
              <w:spacing w:after="0"/>
              <w:rPr>
                <w:sz w:val="1"/>
                <w:szCs w:val="1"/>
                <w:color w:val="auto"/>
              </w:rPr>
            </w:pPr>
          </w:p>
        </w:tc>
      </w:tr>
      <w:tr>
        <w:trPr>
          <w:trHeight w:val="250"/>
        </w:trPr>
        <w:tc>
          <w:tcPr>
            <w:tcW w:w="284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16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(35,073)</w:t>
            </w:r>
          </w:p>
        </w:tc>
        <w:tc>
          <w:tcPr>
            <w:tcW w:w="8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(35,073)</w:t>
            </w:r>
          </w:p>
        </w:tc>
        <w:tc>
          <w:tcPr>
            <w:tcW w:w="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505</w:t>
            </w:r>
          </w:p>
        </w:tc>
        <w:tc>
          <w:tcPr>
            <w:tcW w:w="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(34,568)</w:t>
            </w:r>
          </w:p>
        </w:tc>
        <w:tc>
          <w:tcPr>
            <w:tcW w:w="0" w:type="dxa"/>
            <w:vAlign w:val="bottom"/>
          </w:tcPr>
          <w:p>
            <w:pPr>
              <w:spacing w:after="0"/>
              <w:rPr>
                <w:sz w:val="1"/>
                <w:szCs w:val="1"/>
                <w:color w:val="auto"/>
              </w:rPr>
            </w:pPr>
          </w:p>
        </w:tc>
      </w:tr>
      <w:tr>
        <w:trPr>
          <w:trHeight w:val="257"/>
        </w:trPr>
        <w:tc>
          <w:tcPr>
            <w:tcW w:w="2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March 31, 2024</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448,216,620</w:t>
            </w:r>
          </w:p>
        </w:tc>
        <w:tc>
          <w:tcPr>
            <w:tcW w:w="80" w:type="dxa"/>
            <w:vAlign w:val="bottom"/>
            <w:shd w:val="clear" w:color="auto" w:fill="CFF0FC"/>
          </w:tcPr>
          <w:p>
            <w:pPr>
              <w:spacing w:after="0"/>
              <w:rPr>
                <w:sz w:val="22"/>
                <w:szCs w:val="22"/>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7,701,826</w:t>
            </w:r>
          </w:p>
        </w:tc>
        <w:tc>
          <w:tcPr>
            <w:tcW w:w="80" w:type="dxa"/>
            <w:vAlign w:val="bottom"/>
            <w:shd w:val="clear" w:color="auto" w:fill="CFF0FC"/>
          </w:tcPr>
          <w:p>
            <w:pPr>
              <w:spacing w:after="0"/>
              <w:rPr>
                <w:sz w:val="22"/>
                <w:szCs w:val="22"/>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1,159,336</w:t>
            </w:r>
          </w:p>
        </w:tc>
        <w:tc>
          <w:tcPr>
            <w:tcW w:w="80" w:type="dxa"/>
            <w:vAlign w:val="bottom"/>
            <w:shd w:val="clear" w:color="auto" w:fill="CFF0FC"/>
          </w:tcPr>
          <w:p>
            <w:pPr>
              <w:spacing w:after="0"/>
              <w:rPr>
                <w:sz w:val="22"/>
                <w:szCs w:val="22"/>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(1,115,413)</w:t>
            </w:r>
          </w:p>
        </w:tc>
        <w:tc>
          <w:tcPr>
            <w:tcW w:w="80" w:type="dxa"/>
            <w:vAlign w:val="bottom"/>
            <w:shd w:val="clear" w:color="auto" w:fill="CFF0FC"/>
          </w:tcPr>
          <w:p>
            <w:pPr>
              <w:spacing w:after="0"/>
              <w:rPr>
                <w:sz w:val="22"/>
                <w:szCs w:val="22"/>
                <w:color w:val="auto"/>
              </w:rPr>
            </w:pPr>
          </w:p>
        </w:tc>
        <w:tc>
          <w:tcPr>
            <w:tcW w:w="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43,923</w:t>
            </w:r>
          </w:p>
        </w:tc>
        <w:tc>
          <w:tcPr>
            <w:tcW w:w="80" w:type="dxa"/>
            <w:vAlign w:val="bottom"/>
            <w:shd w:val="clear" w:color="auto" w:fill="CFF0FC"/>
          </w:tcPr>
          <w:p>
            <w:pPr>
              <w:spacing w:after="0"/>
              <w:rPr>
                <w:sz w:val="22"/>
                <w:szCs w:val="22"/>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(1,015)</w:t>
            </w:r>
          </w:p>
        </w:tc>
        <w:tc>
          <w:tcPr>
            <w:tcW w:w="80" w:type="dxa"/>
            <w:vAlign w:val="bottom"/>
            <w:shd w:val="clear" w:color="auto" w:fill="CFF0FC"/>
          </w:tcPr>
          <w:p>
            <w:pPr>
              <w:spacing w:after="0"/>
              <w:rPr>
                <w:sz w:val="22"/>
                <w:szCs w:val="22"/>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42,908</w:t>
            </w:r>
          </w:p>
        </w:tc>
        <w:tc>
          <w:tcPr>
            <w:tcW w:w="0" w:type="dxa"/>
            <w:vAlign w:val="bottom"/>
          </w:tcPr>
          <w:p>
            <w:pPr>
              <w:spacing w:after="0"/>
              <w:rPr>
                <w:sz w:val="1"/>
                <w:szCs w:val="1"/>
                <w:color w:val="auto"/>
              </w:rPr>
            </w:pPr>
          </w:p>
        </w:tc>
      </w:tr>
      <w:tr>
        <w:trPr>
          <w:trHeight w:val="250"/>
        </w:trPr>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Equity-based compensation </w:t>
            </w:r>
            <w:r>
              <w:rPr>
                <w:rFonts w:ascii="Times New Roman" w:cs="Times New Roman" w:eastAsia="Times New Roman" w:hAnsi="Times New Roman"/>
                <w:sz w:val="16"/>
                <w:szCs w:val="16"/>
                <w:i w:val="1"/>
                <w:iCs w:val="1"/>
                <w:color w:val="auto"/>
              </w:rPr>
              <w:t>(1)</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8,225,383</w:t>
            </w:r>
          </w:p>
        </w:tc>
        <w:tc>
          <w:tcPr>
            <w:tcW w:w="8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(9,399)</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(9,399)</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(9,399)</w:t>
            </w:r>
          </w:p>
        </w:tc>
        <w:tc>
          <w:tcPr>
            <w:tcW w:w="0" w:type="dxa"/>
            <w:vAlign w:val="bottom"/>
          </w:tcPr>
          <w:p>
            <w:pPr>
              <w:spacing w:after="0"/>
              <w:rPr>
                <w:sz w:val="1"/>
                <w:szCs w:val="1"/>
                <w:color w:val="auto"/>
              </w:rPr>
            </w:pPr>
          </w:p>
        </w:tc>
      </w:tr>
      <w:tr>
        <w:trPr>
          <w:trHeight w:val="230"/>
        </w:trPr>
        <w:tc>
          <w:tcPr>
            <w:tcW w:w="28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Conversion of convertible notes</w:t>
            </w: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655,736</w:t>
            </w:r>
          </w:p>
        </w:tc>
        <w:tc>
          <w:tcPr>
            <w:tcW w:w="80" w:type="dxa"/>
            <w:vAlign w:val="bottom"/>
            <w:tcBorders>
              <w:bottom w:val="single" w:sz="8" w:color="CFF0FC"/>
            </w:tcBorders>
            <w:shd w:val="clear" w:color="auto" w:fill="CFF0FC"/>
          </w:tcPr>
          <w:p>
            <w:pPr>
              <w:spacing w:after="0"/>
              <w:rPr>
                <w:sz w:val="19"/>
                <w:szCs w:val="19"/>
                <w:color w:val="auto"/>
              </w:rPr>
            </w:pPr>
          </w:p>
        </w:tc>
        <w:tc>
          <w:tcPr>
            <w:tcW w:w="118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0" w:type="dxa"/>
            <w:vAlign w:val="bottom"/>
          </w:tcPr>
          <w:p>
            <w:pPr>
              <w:spacing w:after="0"/>
              <w:rPr>
                <w:sz w:val="1"/>
                <w:szCs w:val="1"/>
                <w:color w:val="auto"/>
              </w:rPr>
            </w:pPr>
          </w:p>
        </w:tc>
      </w:tr>
      <w:tr>
        <w:trPr>
          <w:trHeight w:val="210"/>
        </w:trPr>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Legal Settlement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4,845,359</w:t>
            </w:r>
          </w:p>
        </w:tc>
        <w:tc>
          <w:tcPr>
            <w:tcW w:w="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2,620</w:t>
            </w:r>
          </w:p>
        </w:tc>
        <w:tc>
          <w:tcPr>
            <w:tcW w:w="0" w:type="dxa"/>
            <w:vAlign w:val="bottom"/>
          </w:tcPr>
          <w:p>
            <w:pPr>
              <w:spacing w:after="0"/>
              <w:rPr>
                <w:sz w:val="1"/>
                <w:szCs w:val="1"/>
                <w:color w:val="auto"/>
              </w:rPr>
            </w:pPr>
          </w:p>
        </w:tc>
      </w:tr>
      <w:tr>
        <w:trPr>
          <w:trHeight w:val="33"/>
        </w:trPr>
        <w:tc>
          <w:tcPr>
            <w:tcW w:w="28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8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Deconsolidation of subsidiary</w:t>
            </w:r>
          </w:p>
        </w:tc>
        <w:tc>
          <w:tcPr>
            <w:tcW w:w="116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1,031</w:t>
            </w:r>
          </w:p>
        </w:tc>
        <w:tc>
          <w:tcPr>
            <w:tcW w:w="8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1,031</w:t>
            </w:r>
          </w:p>
        </w:tc>
        <w:tc>
          <w:tcPr>
            <w:tcW w:w="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1,031</w:t>
            </w:r>
          </w:p>
        </w:tc>
        <w:tc>
          <w:tcPr>
            <w:tcW w:w="0" w:type="dxa"/>
            <w:vAlign w:val="bottom"/>
          </w:tcPr>
          <w:p>
            <w:pPr>
              <w:spacing w:after="0"/>
              <w:rPr>
                <w:sz w:val="1"/>
                <w:szCs w:val="1"/>
                <w:color w:val="auto"/>
              </w:rPr>
            </w:pPr>
          </w:p>
        </w:tc>
      </w:tr>
      <w:tr>
        <w:trPr>
          <w:trHeight w:val="250"/>
        </w:trPr>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Distributions</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1"/>
                <w:szCs w:val="21"/>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0" w:type="dxa"/>
            <w:vAlign w:val="bottom"/>
          </w:tcPr>
          <w:p>
            <w:pPr>
              <w:spacing w:after="0"/>
              <w:rPr>
                <w:sz w:val="1"/>
                <w:szCs w:val="1"/>
                <w:color w:val="auto"/>
              </w:rPr>
            </w:pPr>
          </w:p>
        </w:tc>
      </w:tr>
      <w:tr>
        <w:trPr>
          <w:trHeight w:val="263"/>
        </w:trPr>
        <w:tc>
          <w:tcPr>
            <w:tcW w:w="2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160" w:type="dxa"/>
            <w:vAlign w:val="bottom"/>
            <w:tcBorders>
              <w:bottom w:val="single" w:sz="8" w:color="auto"/>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shd w:val="clear" w:color="auto" w:fill="CFF0FC"/>
          </w:tcPr>
          <w:p>
            <w:pPr>
              <w:spacing w:after="0"/>
              <w:rPr>
                <w:sz w:val="22"/>
                <w:szCs w:val="22"/>
                <w:color w:val="auto"/>
              </w:rPr>
            </w:pPr>
          </w:p>
        </w:tc>
        <w:tc>
          <w:tcPr>
            <w:tcW w:w="1020" w:type="dxa"/>
            <w:vAlign w:val="bottom"/>
            <w:tcBorders>
              <w:bottom w:val="single" w:sz="8" w:color="auto"/>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auto"/>
            </w:tcBorders>
            <w:shd w:val="clear" w:color="auto" w:fill="CFF0FC"/>
          </w:tcPr>
          <w:p>
            <w:pPr>
              <w:spacing w:after="0"/>
              <w:rPr>
                <w:sz w:val="22"/>
                <w:szCs w:val="22"/>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(14,341)</w:t>
            </w:r>
          </w:p>
        </w:tc>
        <w:tc>
          <w:tcPr>
            <w:tcW w:w="80" w:type="dxa"/>
            <w:vAlign w:val="bottom"/>
            <w:tcBorders>
              <w:bottom w:val="single" w:sz="8" w:color="auto"/>
            </w:tcBorders>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spacing w:after="0"/>
              <w:rPr>
                <w:sz w:val="22"/>
                <w:szCs w:val="22"/>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(14,341)</w:t>
            </w:r>
          </w:p>
        </w:tc>
        <w:tc>
          <w:tcPr>
            <w:tcW w:w="80" w:type="dxa"/>
            <w:vAlign w:val="bottom"/>
            <w:tcBorders>
              <w:bottom w:val="single" w:sz="8" w:color="auto"/>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spacing w:after="0"/>
              <w:rPr>
                <w:sz w:val="22"/>
                <w:szCs w:val="22"/>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698</w:t>
            </w:r>
          </w:p>
        </w:tc>
        <w:tc>
          <w:tcPr>
            <w:tcW w:w="80" w:type="dxa"/>
            <w:vAlign w:val="bottom"/>
            <w:tcBorders>
              <w:bottom w:val="single" w:sz="8" w:color="auto"/>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spacing w:after="0"/>
              <w:rPr>
                <w:sz w:val="22"/>
                <w:szCs w:val="22"/>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(13,643)</w:t>
            </w:r>
          </w:p>
        </w:tc>
        <w:tc>
          <w:tcPr>
            <w:tcW w:w="0" w:type="dxa"/>
            <w:vAlign w:val="bottom"/>
          </w:tcPr>
          <w:p>
            <w:pPr>
              <w:spacing w:after="0"/>
              <w:rPr>
                <w:sz w:val="1"/>
                <w:szCs w:val="1"/>
                <w:color w:val="auto"/>
              </w:rPr>
            </w:pPr>
          </w:p>
        </w:tc>
      </w:tr>
      <w:tr>
        <w:trPr>
          <w:trHeight w:val="243"/>
        </w:trPr>
        <w:tc>
          <w:tcPr>
            <w:tcW w:w="28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June 30, 2024</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461,943,098</w:t>
            </w:r>
          </w:p>
        </w:tc>
        <w:tc>
          <w:tcPr>
            <w:tcW w:w="80" w:type="dxa"/>
            <w:vAlign w:val="bottom"/>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7,701,826</w:t>
            </w:r>
          </w:p>
        </w:tc>
        <w:tc>
          <w:tcPr>
            <w:tcW w:w="8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1,152,757</w:t>
            </w:r>
          </w:p>
        </w:tc>
        <w:tc>
          <w:tcPr>
            <w:tcW w:w="8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(1,129,056)</w:t>
            </w:r>
          </w:p>
        </w:tc>
        <w:tc>
          <w:tcPr>
            <w:tcW w:w="80" w:type="dxa"/>
            <w:vAlign w:val="bottom"/>
          </w:tcPr>
          <w:p>
            <w:pPr>
              <w:spacing w:after="0"/>
              <w:rPr>
                <w:sz w:val="21"/>
                <w:szCs w:val="21"/>
                <w:color w:val="auto"/>
              </w:rPr>
            </w:pPr>
          </w:p>
        </w:tc>
        <w:tc>
          <w:tcPr>
            <w:tcW w:w="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23,701</w:t>
            </w:r>
          </w:p>
        </w:tc>
        <w:tc>
          <w:tcPr>
            <w:tcW w:w="8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(317)</w:t>
            </w:r>
          </w:p>
        </w:tc>
        <w:tc>
          <w:tcPr>
            <w:tcW w:w="80" w:type="dxa"/>
            <w:vAlign w:val="bottom"/>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23,384</w:t>
            </w:r>
          </w:p>
        </w:tc>
        <w:tc>
          <w:tcPr>
            <w:tcW w:w="0" w:type="dxa"/>
            <w:vAlign w:val="bottom"/>
          </w:tcPr>
          <w:p>
            <w:pPr>
              <w:spacing w:after="0"/>
              <w:rPr>
                <w:sz w:val="1"/>
                <w:szCs w:val="1"/>
                <w:color w:val="auto"/>
              </w:rPr>
            </w:pPr>
          </w:p>
        </w:tc>
      </w:tr>
      <w:tr>
        <w:trPr>
          <w:trHeight w:val="21"/>
        </w:trPr>
        <w:tc>
          <w:tcPr>
            <w:tcW w:w="284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xml:space="preserve">Equity-based compensation </w:t>
            </w:r>
            <w:r>
              <w:rPr>
                <w:rFonts w:ascii="Times New Roman" w:cs="Times New Roman" w:eastAsia="Times New Roman" w:hAnsi="Times New Roman"/>
                <w:sz w:val="16"/>
                <w:szCs w:val="16"/>
                <w:i w:val="1"/>
                <w:iCs w:val="1"/>
                <w:color w:val="auto"/>
              </w:rPr>
              <w:t>(1)</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1,854,546</w:t>
            </w:r>
          </w:p>
        </w:tc>
        <w:tc>
          <w:tcPr>
            <w:tcW w:w="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2,374</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2,374</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2,374</w:t>
            </w:r>
          </w:p>
        </w:tc>
        <w:tc>
          <w:tcPr>
            <w:tcW w:w="0" w:type="dxa"/>
            <w:vAlign w:val="bottom"/>
          </w:tcPr>
          <w:p>
            <w:pPr>
              <w:spacing w:after="0"/>
              <w:rPr>
                <w:sz w:val="1"/>
                <w:szCs w:val="1"/>
                <w:color w:val="auto"/>
              </w:rPr>
            </w:pPr>
          </w:p>
        </w:tc>
      </w:tr>
      <w:tr>
        <w:trPr>
          <w:trHeight w:val="229"/>
        </w:trPr>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Deconsolidation of subsidiary</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0"/>
        </w:trPr>
        <w:tc>
          <w:tcPr>
            <w:tcW w:w="2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profit (loss)</w:t>
            </w: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(1,860)</w:t>
            </w: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(1,860)</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(1,763)</w:t>
            </w:r>
          </w:p>
        </w:tc>
        <w:tc>
          <w:tcPr>
            <w:tcW w:w="0" w:type="dxa"/>
            <w:vAlign w:val="bottom"/>
          </w:tcPr>
          <w:p>
            <w:pPr>
              <w:spacing w:after="0"/>
              <w:rPr>
                <w:sz w:val="1"/>
                <w:szCs w:val="1"/>
                <w:color w:val="auto"/>
              </w:rPr>
            </w:pPr>
          </w:p>
        </w:tc>
      </w:tr>
      <w:tr>
        <w:trPr>
          <w:trHeight w:val="223"/>
        </w:trPr>
        <w:tc>
          <w:tcPr>
            <w:tcW w:w="28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September 30, 2024</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463,797,644</w:t>
            </w:r>
          </w:p>
        </w:tc>
        <w:tc>
          <w:tcPr>
            <w:tcW w:w="8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7,701,826</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1,155,131</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(1,130,303)</w:t>
            </w:r>
          </w:p>
        </w:tc>
        <w:tc>
          <w:tcPr>
            <w:tcW w:w="80" w:type="dxa"/>
            <w:vAlign w:val="bottom"/>
          </w:tcPr>
          <w:p>
            <w:pPr>
              <w:spacing w:after="0"/>
              <w:rPr>
                <w:sz w:val="19"/>
                <w:szCs w:val="19"/>
                <w:color w:val="auto"/>
              </w:rPr>
            </w:pPr>
          </w:p>
        </w:tc>
        <w:tc>
          <w:tcPr>
            <w:tcW w:w="3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24,828</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(825)</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24,003</w:t>
            </w:r>
          </w:p>
        </w:tc>
        <w:tc>
          <w:tcPr>
            <w:tcW w:w="0" w:type="dxa"/>
            <w:vAlign w:val="bottom"/>
          </w:tcPr>
          <w:p>
            <w:pPr>
              <w:spacing w:after="0"/>
              <w:rPr>
                <w:sz w:val="1"/>
                <w:szCs w:val="1"/>
                <w:color w:val="auto"/>
              </w:rPr>
            </w:pPr>
          </w:p>
        </w:tc>
      </w:tr>
      <w:tr>
        <w:trPr>
          <w:trHeight w:val="21"/>
        </w:trPr>
        <w:tc>
          <w:tcPr>
            <w:tcW w:w="28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160" w:hanging="152"/>
        <w:spacing w:after="0"/>
        <w:tabs>
          <w:tab w:leader="none" w:pos="160" w:val="left"/>
        </w:tabs>
        <w:numPr>
          <w:ilvl w:val="0"/>
          <w:numId w:val="4"/>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color w:val="auto"/>
        </w:rPr>
        <w:t>The amounts shown are net of any shares withheld by the Company to satisfy certain tax withholdings in connection with vesting of equity-based awards.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Interim Financial Statements.</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CANNABIST COMPANY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INTERIM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(expressed in thousands of U.S. dollars)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4"/>
          </w:tcPr>
          <w:p>
            <w:pPr>
              <w:jc w:val="right"/>
              <w:ind w:right="908"/>
              <w:spacing w:after="0"/>
              <w:rPr>
                <w:sz w:val="20"/>
                <w:szCs w:val="20"/>
                <w:color w:val="auto"/>
              </w:rPr>
            </w:pPr>
            <w:r>
              <w:rPr>
                <w:rFonts w:ascii="Times New Roman" w:cs="Times New Roman" w:eastAsia="Times New Roman" w:hAnsi="Times New Roman"/>
                <w:sz w:val="13"/>
                <w:szCs w:val="13"/>
                <w:b w:val="1"/>
                <w:bCs w:val="1"/>
                <w:color w:val="auto"/>
              </w:rPr>
              <w:t>Nine months ended</w:t>
            </w:r>
          </w:p>
        </w:tc>
        <w:tc>
          <w:tcPr>
            <w:tcW w:w="0" w:type="dxa"/>
            <w:vAlign w:val="bottom"/>
          </w:tcPr>
          <w:p>
            <w:pPr>
              <w:spacing w:after="0"/>
              <w:rPr>
                <w:sz w:val="1"/>
                <w:szCs w:val="1"/>
                <w:color w:val="auto"/>
              </w:rPr>
            </w:pPr>
          </w:p>
        </w:tc>
      </w:tr>
      <w:tr>
        <w:trPr>
          <w:trHeight w:val="188"/>
        </w:trPr>
        <w:tc>
          <w:tcPr>
            <w:tcW w:w="8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September 30, 2024</w:t>
            </w:r>
          </w:p>
        </w:tc>
        <w:tc>
          <w:tcPr>
            <w:tcW w:w="120" w:type="dxa"/>
            <w:vAlign w:val="bottom"/>
          </w:tcPr>
          <w:p>
            <w:pPr>
              <w:spacing w:after="0"/>
              <w:rPr>
                <w:sz w:val="16"/>
                <w:szCs w:val="16"/>
                <w:color w:val="auto"/>
              </w:rPr>
            </w:pPr>
          </w:p>
        </w:tc>
        <w:tc>
          <w:tcPr>
            <w:tcW w:w="1360" w:type="dxa"/>
            <w:vAlign w:val="bottom"/>
          </w:tcPr>
          <w:p>
            <w:pPr>
              <w:jc w:val="right"/>
              <w:ind w:right="108"/>
              <w:spacing w:after="0"/>
              <w:rPr>
                <w:sz w:val="20"/>
                <w:szCs w:val="20"/>
                <w:color w:val="auto"/>
              </w:rPr>
            </w:pPr>
            <w:r>
              <w:rPr>
                <w:rFonts w:ascii="Times New Roman" w:cs="Times New Roman" w:eastAsia="Times New Roman" w:hAnsi="Times New Roman"/>
                <w:sz w:val="13"/>
                <w:szCs w:val="13"/>
                <w:b w:val="1"/>
                <w:bCs w:val="1"/>
                <w:color w:val="auto"/>
              </w:rPr>
              <w:t>September 30, 2023</w:t>
            </w:r>
          </w:p>
        </w:tc>
        <w:tc>
          <w:tcPr>
            <w:tcW w:w="0" w:type="dxa"/>
            <w:vAlign w:val="bottom"/>
          </w:tcPr>
          <w:p>
            <w:pPr>
              <w:spacing w:after="0"/>
              <w:rPr>
                <w:sz w:val="1"/>
                <w:szCs w:val="1"/>
                <w:color w:val="auto"/>
              </w:rPr>
            </w:pPr>
          </w:p>
        </w:tc>
      </w:tr>
      <w:tr>
        <w:trPr>
          <w:trHeight w:val="28"/>
        </w:trPr>
        <w:tc>
          <w:tcPr>
            <w:tcW w:w="8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14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8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(49,974)</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(101,789)</w:t>
            </w:r>
          </w:p>
        </w:tc>
        <w:tc>
          <w:tcPr>
            <w:tcW w:w="0" w:type="dxa"/>
            <w:vAlign w:val="bottom"/>
          </w:tcPr>
          <w:p>
            <w:pPr>
              <w:spacing w:after="0"/>
              <w:rPr>
                <w:sz w:val="1"/>
                <w:szCs w:val="1"/>
                <w:color w:val="auto"/>
              </w:rPr>
            </w:pPr>
          </w:p>
        </w:tc>
      </w:tr>
      <w:tr>
        <w:trPr>
          <w:trHeight w:val="23"/>
        </w:trPr>
        <w:tc>
          <w:tcPr>
            <w:tcW w:w="8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14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81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39,314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47,607</w:t>
            </w:r>
          </w:p>
        </w:tc>
        <w:tc>
          <w:tcPr>
            <w:tcW w:w="0" w:type="dxa"/>
            <w:vAlign w:val="bottom"/>
          </w:tcPr>
          <w:p>
            <w:pPr>
              <w:spacing w:after="0"/>
              <w:rPr>
                <w:sz w:val="1"/>
                <w:szCs w:val="1"/>
                <w:color w:val="auto"/>
              </w:rPr>
            </w:pPr>
          </w:p>
        </w:tc>
      </w:tr>
      <w:tr>
        <w:trPr>
          <w:trHeight w:val="23"/>
        </w:trPr>
        <w:tc>
          <w:tcPr>
            <w:tcW w:w="8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Equity-based compensation</w:t>
            </w:r>
          </w:p>
        </w:tc>
        <w:tc>
          <w:tcPr>
            <w:tcW w:w="14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(2,588)</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18,304</w:t>
            </w:r>
          </w:p>
        </w:tc>
        <w:tc>
          <w:tcPr>
            <w:tcW w:w="0" w:type="dxa"/>
            <w:vAlign w:val="bottom"/>
          </w:tcPr>
          <w:p>
            <w:pPr>
              <w:spacing w:after="0"/>
              <w:rPr>
                <w:sz w:val="1"/>
                <w:szCs w:val="1"/>
                <w:color w:val="auto"/>
              </w:rPr>
            </w:pPr>
          </w:p>
        </w:tc>
      </w:tr>
      <w:tr>
        <w:trPr>
          <w:trHeight w:val="193"/>
        </w:trPr>
        <w:tc>
          <w:tcPr>
            <w:tcW w:w="81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Debt amortization expense</w:t>
            </w:r>
          </w:p>
        </w:tc>
        <w:tc>
          <w:tcPr>
            <w:tcW w:w="1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6,794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7,366</w:t>
            </w:r>
          </w:p>
        </w:tc>
        <w:tc>
          <w:tcPr>
            <w:tcW w:w="0" w:type="dxa"/>
            <w:vAlign w:val="bottom"/>
          </w:tcPr>
          <w:p>
            <w:pPr>
              <w:spacing w:after="0"/>
              <w:rPr>
                <w:sz w:val="1"/>
                <w:szCs w:val="1"/>
                <w:color w:val="auto"/>
              </w:rPr>
            </w:pPr>
          </w:p>
        </w:tc>
      </w:tr>
      <w:tr>
        <w:trPr>
          <w:trHeight w:val="23"/>
        </w:trPr>
        <w:tc>
          <w:tcPr>
            <w:tcW w:w="8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(Gain) /loss on deconsolidation of subsidiary</w:t>
            </w:r>
          </w:p>
        </w:tc>
        <w:tc>
          <w:tcPr>
            <w:tcW w:w="14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(39,821)</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2,473</w:t>
            </w:r>
          </w:p>
        </w:tc>
        <w:tc>
          <w:tcPr>
            <w:tcW w:w="0" w:type="dxa"/>
            <w:vAlign w:val="bottom"/>
          </w:tcPr>
          <w:p>
            <w:pPr>
              <w:spacing w:after="0"/>
              <w:rPr>
                <w:sz w:val="1"/>
                <w:szCs w:val="1"/>
                <w:color w:val="auto"/>
              </w:rPr>
            </w:pPr>
          </w:p>
        </w:tc>
      </w:tr>
      <w:tr>
        <w:trPr>
          <w:trHeight w:val="193"/>
        </w:trPr>
        <w:tc>
          <w:tcPr>
            <w:tcW w:w="81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Loss on disposal group</w:t>
            </w:r>
          </w:p>
        </w:tc>
        <w:tc>
          <w:tcPr>
            <w:tcW w:w="140" w:type="dxa"/>
            <w:vAlign w:val="bottom"/>
          </w:tcPr>
          <w:p>
            <w:pPr>
              <w:spacing w:after="0"/>
              <w:rPr>
                <w:sz w:val="16"/>
                <w:szCs w:val="16"/>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10,750</w:t>
            </w:r>
          </w:p>
        </w:tc>
        <w:tc>
          <w:tcPr>
            <w:tcW w:w="0" w:type="dxa"/>
            <w:vAlign w:val="bottom"/>
          </w:tcPr>
          <w:p>
            <w:pPr>
              <w:spacing w:after="0"/>
              <w:rPr>
                <w:sz w:val="1"/>
                <w:szCs w:val="1"/>
                <w:color w:val="auto"/>
              </w:rPr>
            </w:pPr>
          </w:p>
        </w:tc>
      </w:tr>
      <w:tr>
        <w:trPr>
          <w:trHeight w:val="23"/>
        </w:trPr>
        <w:tc>
          <w:tcPr>
            <w:tcW w:w="8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Provision for obsolete inventory and other assets</w:t>
            </w:r>
          </w:p>
        </w:tc>
        <w:tc>
          <w:tcPr>
            <w:tcW w:w="14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5,671</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8,126</w:t>
            </w:r>
          </w:p>
        </w:tc>
        <w:tc>
          <w:tcPr>
            <w:tcW w:w="0" w:type="dxa"/>
            <w:vAlign w:val="bottom"/>
          </w:tcPr>
          <w:p>
            <w:pPr>
              <w:spacing w:after="0"/>
              <w:rPr>
                <w:sz w:val="1"/>
                <w:szCs w:val="1"/>
                <w:color w:val="auto"/>
              </w:rPr>
            </w:pPr>
          </w:p>
        </w:tc>
      </w:tr>
      <w:tr>
        <w:trPr>
          <w:trHeight w:val="193"/>
        </w:trPr>
        <w:tc>
          <w:tcPr>
            <w:tcW w:w="81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Change in fair value of derivative liability</w:t>
            </w:r>
          </w:p>
        </w:tc>
        <w:tc>
          <w:tcPr>
            <w:tcW w:w="1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0" w:type="dxa"/>
            <w:vAlign w:val="bottom"/>
          </w:tcPr>
          <w:p>
            <w:pPr>
              <w:spacing w:after="0"/>
              <w:rPr>
                <w:sz w:val="1"/>
                <w:szCs w:val="1"/>
                <w:color w:val="auto"/>
              </w:rPr>
            </w:pPr>
          </w:p>
        </w:tc>
      </w:tr>
      <w:tr>
        <w:trPr>
          <w:trHeight w:val="23"/>
        </w:trPr>
        <w:tc>
          <w:tcPr>
            <w:tcW w:w="8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Change in investment fair value</w:t>
            </w:r>
          </w:p>
        </w:tc>
        <w:tc>
          <w:tcPr>
            <w:tcW w:w="14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4,195</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81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Deferred taxes</w:t>
            </w:r>
          </w:p>
        </w:tc>
        <w:tc>
          <w:tcPr>
            <w:tcW w:w="1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(6,475)</w:t>
            </w:r>
          </w:p>
        </w:tc>
        <w:tc>
          <w:tcPr>
            <w:tcW w:w="0" w:type="dxa"/>
            <w:vAlign w:val="bottom"/>
          </w:tcPr>
          <w:p>
            <w:pPr>
              <w:spacing w:after="0"/>
              <w:rPr>
                <w:sz w:val="1"/>
                <w:szCs w:val="1"/>
                <w:color w:val="auto"/>
              </w:rPr>
            </w:pPr>
          </w:p>
        </w:tc>
      </w:tr>
      <w:tr>
        <w:trPr>
          <w:trHeight w:val="23"/>
        </w:trPr>
        <w:tc>
          <w:tcPr>
            <w:tcW w:w="8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Legal Settlement</w:t>
            </w:r>
          </w:p>
        </w:tc>
        <w:tc>
          <w:tcPr>
            <w:tcW w:w="14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(1,108)</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81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1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646</w:t>
            </w:r>
          </w:p>
        </w:tc>
        <w:tc>
          <w:tcPr>
            <w:tcW w:w="0" w:type="dxa"/>
            <w:vAlign w:val="bottom"/>
          </w:tcPr>
          <w:p>
            <w:pPr>
              <w:spacing w:after="0"/>
              <w:rPr>
                <w:sz w:val="1"/>
                <w:szCs w:val="1"/>
                <w:color w:val="auto"/>
              </w:rPr>
            </w:pPr>
          </w:p>
        </w:tc>
      </w:tr>
      <w:tr>
        <w:trPr>
          <w:trHeight w:val="23"/>
        </w:trPr>
        <w:tc>
          <w:tcPr>
            <w:tcW w:w="8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Changes in operating assets and liabilities, net of acquisitions</w:t>
            </w:r>
          </w:p>
        </w:tc>
        <w:tc>
          <w:tcPr>
            <w:tcW w:w="14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81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Accounts receivable</w:t>
            </w:r>
          </w:p>
        </w:tc>
        <w:tc>
          <w:tcPr>
            <w:tcW w:w="1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(15,718)</w:t>
            </w:r>
          </w:p>
        </w:tc>
        <w:tc>
          <w:tcPr>
            <w:tcW w:w="0" w:type="dxa"/>
            <w:vAlign w:val="bottom"/>
          </w:tcPr>
          <w:p>
            <w:pPr>
              <w:spacing w:after="0"/>
              <w:rPr>
                <w:sz w:val="1"/>
                <w:szCs w:val="1"/>
                <w:color w:val="auto"/>
              </w:rPr>
            </w:pPr>
          </w:p>
        </w:tc>
      </w:tr>
      <w:tr>
        <w:trPr>
          <w:trHeight w:val="23"/>
        </w:trPr>
        <w:tc>
          <w:tcPr>
            <w:tcW w:w="8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1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Inventory</w:t>
            </w:r>
          </w:p>
        </w:tc>
        <w:tc>
          <w:tcPr>
            <w:tcW w:w="14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(11,566)</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652</w:t>
            </w:r>
          </w:p>
        </w:tc>
        <w:tc>
          <w:tcPr>
            <w:tcW w:w="0" w:type="dxa"/>
            <w:vAlign w:val="bottom"/>
          </w:tcPr>
          <w:p>
            <w:pPr>
              <w:spacing w:after="0"/>
              <w:rPr>
                <w:sz w:val="1"/>
                <w:szCs w:val="1"/>
                <w:color w:val="auto"/>
              </w:rPr>
            </w:pPr>
          </w:p>
        </w:tc>
      </w:tr>
      <w:tr>
        <w:trPr>
          <w:trHeight w:val="193"/>
        </w:trPr>
        <w:tc>
          <w:tcPr>
            <w:tcW w:w="81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(4,255)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(4,933)</w:t>
            </w:r>
          </w:p>
        </w:tc>
        <w:tc>
          <w:tcPr>
            <w:tcW w:w="0" w:type="dxa"/>
            <w:vAlign w:val="bottom"/>
          </w:tcPr>
          <w:p>
            <w:pPr>
              <w:spacing w:after="0"/>
              <w:rPr>
                <w:sz w:val="1"/>
                <w:szCs w:val="1"/>
                <w:color w:val="auto"/>
              </w:rPr>
            </w:pPr>
          </w:p>
        </w:tc>
      </w:tr>
      <w:tr>
        <w:trPr>
          <w:trHeight w:val="23"/>
        </w:trPr>
        <w:tc>
          <w:tcPr>
            <w:tcW w:w="8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1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Notes receivable</w:t>
            </w:r>
          </w:p>
        </w:tc>
        <w:tc>
          <w:tcPr>
            <w:tcW w:w="14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81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Other assets</w:t>
            </w:r>
          </w:p>
        </w:tc>
        <w:tc>
          <w:tcPr>
            <w:tcW w:w="1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12,270</w:t>
            </w:r>
          </w:p>
        </w:tc>
        <w:tc>
          <w:tcPr>
            <w:tcW w:w="0" w:type="dxa"/>
            <w:vAlign w:val="bottom"/>
          </w:tcPr>
          <w:p>
            <w:pPr>
              <w:spacing w:after="0"/>
              <w:rPr>
                <w:sz w:val="1"/>
                <w:szCs w:val="1"/>
                <w:color w:val="auto"/>
              </w:rPr>
            </w:pPr>
          </w:p>
        </w:tc>
      </w:tr>
      <w:tr>
        <w:trPr>
          <w:trHeight w:val="23"/>
        </w:trPr>
        <w:tc>
          <w:tcPr>
            <w:tcW w:w="8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1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Accounts payable</w:t>
            </w:r>
          </w:p>
        </w:tc>
        <w:tc>
          <w:tcPr>
            <w:tcW w:w="14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20,092</w:t>
            </w:r>
          </w:p>
        </w:tc>
        <w:tc>
          <w:tcPr>
            <w:tcW w:w="0" w:type="dxa"/>
            <w:vAlign w:val="bottom"/>
          </w:tcPr>
          <w:p>
            <w:pPr>
              <w:spacing w:after="0"/>
              <w:rPr>
                <w:sz w:val="1"/>
                <w:szCs w:val="1"/>
                <w:color w:val="auto"/>
              </w:rPr>
            </w:pPr>
          </w:p>
        </w:tc>
      </w:tr>
      <w:tr>
        <w:trPr>
          <w:trHeight w:val="193"/>
        </w:trPr>
        <w:tc>
          <w:tcPr>
            <w:tcW w:w="81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Payroll liabilities</w:t>
            </w:r>
          </w:p>
        </w:tc>
        <w:tc>
          <w:tcPr>
            <w:tcW w:w="140" w:type="dxa"/>
            <w:vAlign w:val="bottom"/>
          </w:tcPr>
          <w:p>
            <w:pPr>
              <w:spacing w:after="0"/>
              <w:rPr>
                <w:sz w:val="16"/>
                <w:szCs w:val="16"/>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0" w:type="dxa"/>
            <w:vAlign w:val="bottom"/>
          </w:tcPr>
          <w:p>
            <w:pPr>
              <w:spacing w:after="0"/>
              <w:rPr>
                <w:sz w:val="1"/>
                <w:szCs w:val="1"/>
                <w:color w:val="auto"/>
              </w:rPr>
            </w:pPr>
          </w:p>
        </w:tc>
      </w:tr>
      <w:tr>
        <w:trPr>
          <w:trHeight w:val="23"/>
        </w:trPr>
        <w:tc>
          <w:tcPr>
            <w:tcW w:w="8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1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14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(11,281)</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(7,264)</w:t>
            </w:r>
          </w:p>
        </w:tc>
        <w:tc>
          <w:tcPr>
            <w:tcW w:w="0" w:type="dxa"/>
            <w:vAlign w:val="bottom"/>
          </w:tcPr>
          <w:p>
            <w:pPr>
              <w:spacing w:after="0"/>
              <w:rPr>
                <w:sz w:val="1"/>
                <w:szCs w:val="1"/>
                <w:color w:val="auto"/>
              </w:rPr>
            </w:pPr>
          </w:p>
        </w:tc>
      </w:tr>
      <w:tr>
        <w:trPr>
          <w:trHeight w:val="193"/>
        </w:trPr>
        <w:tc>
          <w:tcPr>
            <w:tcW w:w="81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Income taxes payable</w:t>
            </w:r>
          </w:p>
        </w:tc>
        <w:tc>
          <w:tcPr>
            <w:tcW w:w="1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38,583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11,306</w:t>
            </w:r>
          </w:p>
        </w:tc>
        <w:tc>
          <w:tcPr>
            <w:tcW w:w="0" w:type="dxa"/>
            <w:vAlign w:val="bottom"/>
          </w:tcPr>
          <w:p>
            <w:pPr>
              <w:spacing w:after="0"/>
              <w:rPr>
                <w:sz w:val="1"/>
                <w:szCs w:val="1"/>
                <w:color w:val="auto"/>
              </w:rPr>
            </w:pPr>
          </w:p>
        </w:tc>
      </w:tr>
      <w:tr>
        <w:trPr>
          <w:trHeight w:val="23"/>
        </w:trPr>
        <w:tc>
          <w:tcPr>
            <w:tcW w:w="8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1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14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3,450</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(5,291)</w:t>
            </w:r>
          </w:p>
        </w:tc>
        <w:tc>
          <w:tcPr>
            <w:tcW w:w="0" w:type="dxa"/>
            <w:vAlign w:val="bottom"/>
          </w:tcPr>
          <w:p>
            <w:pPr>
              <w:spacing w:after="0"/>
              <w:rPr>
                <w:sz w:val="1"/>
                <w:szCs w:val="1"/>
                <w:color w:val="auto"/>
              </w:rPr>
            </w:pPr>
          </w:p>
        </w:tc>
      </w:tr>
      <w:tr>
        <w:trPr>
          <w:trHeight w:val="186"/>
        </w:trPr>
        <w:tc>
          <w:tcPr>
            <w:tcW w:w="81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14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(27,674)</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(1,909)</w:t>
            </w:r>
          </w:p>
        </w:tc>
        <w:tc>
          <w:tcPr>
            <w:tcW w:w="0" w:type="dxa"/>
            <w:vAlign w:val="bottom"/>
          </w:tcPr>
          <w:p>
            <w:pPr>
              <w:spacing w:after="0"/>
              <w:rPr>
                <w:sz w:val="1"/>
                <w:szCs w:val="1"/>
                <w:color w:val="auto"/>
              </w:rPr>
            </w:pPr>
          </w:p>
        </w:tc>
      </w:tr>
      <w:tr>
        <w:trPr>
          <w:trHeight w:val="23"/>
        </w:trPr>
        <w:tc>
          <w:tcPr>
            <w:tcW w:w="8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14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81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1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(4,147)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(8,260)</w:t>
            </w:r>
          </w:p>
        </w:tc>
        <w:tc>
          <w:tcPr>
            <w:tcW w:w="0" w:type="dxa"/>
            <w:vAlign w:val="bottom"/>
          </w:tcPr>
          <w:p>
            <w:pPr>
              <w:spacing w:after="0"/>
              <w:rPr>
                <w:sz w:val="1"/>
                <w:szCs w:val="1"/>
                <w:color w:val="auto"/>
              </w:rPr>
            </w:pPr>
          </w:p>
        </w:tc>
      </w:tr>
      <w:tr>
        <w:trPr>
          <w:trHeight w:val="23"/>
        </w:trPr>
        <w:tc>
          <w:tcPr>
            <w:tcW w:w="8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Proceeds from sale of property and equipment</w:t>
            </w:r>
          </w:p>
        </w:tc>
        <w:tc>
          <w:tcPr>
            <w:tcW w:w="14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3,189</w:t>
            </w:r>
          </w:p>
        </w:tc>
        <w:tc>
          <w:tcPr>
            <w:tcW w:w="0" w:type="dxa"/>
            <w:vAlign w:val="bottom"/>
          </w:tcPr>
          <w:p>
            <w:pPr>
              <w:spacing w:after="0"/>
              <w:rPr>
                <w:sz w:val="1"/>
                <w:szCs w:val="1"/>
                <w:color w:val="auto"/>
              </w:rPr>
            </w:pPr>
          </w:p>
        </w:tc>
      </w:tr>
      <w:tr>
        <w:trPr>
          <w:trHeight w:val="193"/>
        </w:trPr>
        <w:tc>
          <w:tcPr>
            <w:tcW w:w="81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Proceeds from sale of license</w:t>
            </w:r>
          </w:p>
        </w:tc>
        <w:tc>
          <w:tcPr>
            <w:tcW w:w="1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8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proceeds from sale of business</w:t>
            </w:r>
          </w:p>
        </w:tc>
        <w:tc>
          <w:tcPr>
            <w:tcW w:w="14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34,371</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81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Proceeds from stock issuance</w:t>
            </w:r>
          </w:p>
        </w:tc>
        <w:tc>
          <w:tcPr>
            <w:tcW w:w="140" w:type="dxa"/>
            <w:vAlign w:val="bottom"/>
          </w:tcPr>
          <w:p>
            <w:pPr>
              <w:spacing w:after="0"/>
              <w:rPr>
                <w:sz w:val="16"/>
                <w:szCs w:val="16"/>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23,872</w:t>
            </w:r>
          </w:p>
        </w:tc>
        <w:tc>
          <w:tcPr>
            <w:tcW w:w="0" w:type="dxa"/>
            <w:vAlign w:val="bottom"/>
          </w:tcPr>
          <w:p>
            <w:pPr>
              <w:spacing w:after="0"/>
              <w:rPr>
                <w:sz w:val="1"/>
                <w:szCs w:val="1"/>
                <w:color w:val="auto"/>
              </w:rPr>
            </w:pPr>
          </w:p>
        </w:tc>
      </w:tr>
      <w:tr>
        <w:trPr>
          <w:trHeight w:val="23"/>
        </w:trPr>
        <w:tc>
          <w:tcPr>
            <w:tcW w:w="8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Proceeds from deconsolidation of Missouri entity</w:t>
            </w:r>
          </w:p>
        </w:tc>
        <w:tc>
          <w:tcPr>
            <w:tcW w:w="14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3,040</w:t>
            </w:r>
          </w:p>
        </w:tc>
        <w:tc>
          <w:tcPr>
            <w:tcW w:w="0" w:type="dxa"/>
            <w:vAlign w:val="bottom"/>
          </w:tcPr>
          <w:p>
            <w:pPr>
              <w:spacing w:after="0"/>
              <w:rPr>
                <w:sz w:val="1"/>
                <w:szCs w:val="1"/>
                <w:color w:val="auto"/>
              </w:rPr>
            </w:pPr>
          </w:p>
        </w:tc>
      </w:tr>
      <w:tr>
        <w:trPr>
          <w:trHeight w:val="193"/>
        </w:trPr>
        <w:tc>
          <w:tcPr>
            <w:tcW w:w="81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Cash (paid) received on deposits, net</w:t>
            </w:r>
          </w:p>
        </w:tc>
        <w:tc>
          <w:tcPr>
            <w:tcW w:w="1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0" w:type="dxa"/>
            <w:vAlign w:val="bottom"/>
          </w:tcPr>
          <w:p>
            <w:pPr>
              <w:spacing w:after="0"/>
              <w:rPr>
                <w:sz w:val="1"/>
                <w:szCs w:val="1"/>
                <w:color w:val="auto"/>
              </w:rPr>
            </w:pPr>
          </w:p>
        </w:tc>
      </w:tr>
      <w:tr>
        <w:trPr>
          <w:trHeight w:val="23"/>
        </w:trPr>
        <w:tc>
          <w:tcPr>
            <w:tcW w:w="8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8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cash provided by investing activities</w:t>
            </w:r>
          </w:p>
        </w:tc>
        <w:tc>
          <w:tcPr>
            <w:tcW w:w="14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30,285</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21,938</w:t>
            </w:r>
          </w:p>
        </w:tc>
        <w:tc>
          <w:tcPr>
            <w:tcW w:w="0" w:type="dxa"/>
            <w:vAlign w:val="bottom"/>
          </w:tcPr>
          <w:p>
            <w:pPr>
              <w:spacing w:after="0"/>
              <w:rPr>
                <w:sz w:val="1"/>
                <w:szCs w:val="1"/>
                <w:color w:val="auto"/>
              </w:rPr>
            </w:pPr>
          </w:p>
        </w:tc>
      </w:tr>
      <w:tr>
        <w:trPr>
          <w:trHeight w:val="173"/>
        </w:trPr>
        <w:tc>
          <w:tcPr>
            <w:tcW w:w="8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14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8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Proceeds from issuance of convertible debt</w:t>
            </w:r>
          </w:p>
        </w:tc>
        <w:tc>
          <w:tcPr>
            <w:tcW w:w="14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15,600</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81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Payment of debt issuance costs</w:t>
            </w:r>
          </w:p>
        </w:tc>
        <w:tc>
          <w:tcPr>
            <w:tcW w:w="1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0" w:type="dxa"/>
            <w:vAlign w:val="bottom"/>
          </w:tcPr>
          <w:p>
            <w:pPr>
              <w:spacing w:after="0"/>
              <w:rPr>
                <w:sz w:val="1"/>
                <w:szCs w:val="1"/>
                <w:color w:val="auto"/>
              </w:rPr>
            </w:pPr>
          </w:p>
        </w:tc>
      </w:tr>
      <w:tr>
        <w:trPr>
          <w:trHeight w:val="23"/>
        </w:trPr>
        <w:tc>
          <w:tcPr>
            <w:tcW w:w="8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Payment of lease liabilities</w:t>
            </w:r>
          </w:p>
        </w:tc>
        <w:tc>
          <w:tcPr>
            <w:tcW w:w="14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(5,323)</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(6,153)</w:t>
            </w:r>
          </w:p>
        </w:tc>
        <w:tc>
          <w:tcPr>
            <w:tcW w:w="0" w:type="dxa"/>
            <w:vAlign w:val="bottom"/>
          </w:tcPr>
          <w:p>
            <w:pPr>
              <w:spacing w:after="0"/>
              <w:rPr>
                <w:sz w:val="1"/>
                <w:szCs w:val="1"/>
                <w:color w:val="auto"/>
              </w:rPr>
            </w:pPr>
          </w:p>
        </w:tc>
      </w:tr>
      <w:tr>
        <w:trPr>
          <w:trHeight w:val="193"/>
        </w:trPr>
        <w:tc>
          <w:tcPr>
            <w:tcW w:w="81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Repayment of sellers note</w:t>
            </w:r>
          </w:p>
        </w:tc>
        <w:tc>
          <w:tcPr>
            <w:tcW w:w="1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(1,125)</w:t>
            </w:r>
          </w:p>
        </w:tc>
        <w:tc>
          <w:tcPr>
            <w:tcW w:w="0" w:type="dxa"/>
            <w:vAlign w:val="bottom"/>
          </w:tcPr>
          <w:p>
            <w:pPr>
              <w:spacing w:after="0"/>
              <w:rPr>
                <w:sz w:val="1"/>
                <w:szCs w:val="1"/>
                <w:color w:val="auto"/>
              </w:rPr>
            </w:pPr>
          </w:p>
        </w:tc>
      </w:tr>
      <w:tr>
        <w:trPr>
          <w:trHeight w:val="23"/>
        </w:trPr>
        <w:tc>
          <w:tcPr>
            <w:tcW w:w="8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Repayment of debt</w:t>
            </w:r>
          </w:p>
        </w:tc>
        <w:tc>
          <w:tcPr>
            <w:tcW w:w="14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(13,228)</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(5,592)</w:t>
            </w:r>
          </w:p>
        </w:tc>
        <w:tc>
          <w:tcPr>
            <w:tcW w:w="0" w:type="dxa"/>
            <w:vAlign w:val="bottom"/>
          </w:tcPr>
          <w:p>
            <w:pPr>
              <w:spacing w:after="0"/>
              <w:rPr>
                <w:sz w:val="1"/>
                <w:szCs w:val="1"/>
                <w:color w:val="auto"/>
              </w:rPr>
            </w:pPr>
          </w:p>
        </w:tc>
      </w:tr>
      <w:tr>
        <w:trPr>
          <w:trHeight w:val="193"/>
        </w:trPr>
        <w:tc>
          <w:tcPr>
            <w:tcW w:w="81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Issuance of mortgage</w:t>
            </w:r>
          </w:p>
        </w:tc>
        <w:tc>
          <w:tcPr>
            <w:tcW w:w="140" w:type="dxa"/>
            <w:vAlign w:val="bottom"/>
          </w:tcPr>
          <w:p>
            <w:pPr>
              <w:spacing w:after="0"/>
              <w:rPr>
                <w:sz w:val="16"/>
                <w:szCs w:val="16"/>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8,050</w:t>
            </w:r>
          </w:p>
        </w:tc>
        <w:tc>
          <w:tcPr>
            <w:tcW w:w="0" w:type="dxa"/>
            <w:vAlign w:val="bottom"/>
          </w:tcPr>
          <w:p>
            <w:pPr>
              <w:spacing w:after="0"/>
              <w:rPr>
                <w:sz w:val="1"/>
                <w:szCs w:val="1"/>
                <w:color w:val="auto"/>
              </w:rPr>
            </w:pPr>
          </w:p>
        </w:tc>
      </w:tr>
      <w:tr>
        <w:trPr>
          <w:trHeight w:val="23"/>
        </w:trPr>
        <w:tc>
          <w:tcPr>
            <w:tcW w:w="8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Repayment of mortgage notes</w:t>
            </w:r>
          </w:p>
        </w:tc>
        <w:tc>
          <w:tcPr>
            <w:tcW w:w="14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81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Distributions</w:t>
            </w:r>
          </w:p>
        </w:tc>
        <w:tc>
          <w:tcPr>
            <w:tcW w:w="1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
        </w:trPr>
        <w:tc>
          <w:tcPr>
            <w:tcW w:w="8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Distributions to non-controlling interest holders</w:t>
            </w:r>
          </w:p>
        </w:tc>
        <w:tc>
          <w:tcPr>
            <w:tcW w:w="14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w:t>
            </w:r>
          </w:p>
        </w:tc>
        <w:tc>
          <w:tcPr>
            <w:tcW w:w="0" w:type="dxa"/>
            <w:vAlign w:val="bottom"/>
          </w:tcPr>
          <w:p>
            <w:pPr>
              <w:spacing w:after="0"/>
              <w:rPr>
                <w:sz w:val="1"/>
                <w:szCs w:val="1"/>
                <w:color w:val="auto"/>
              </w:rPr>
            </w:pPr>
          </w:p>
        </w:tc>
      </w:tr>
      <w:tr>
        <w:trPr>
          <w:trHeight w:val="193"/>
        </w:trPr>
        <w:tc>
          <w:tcPr>
            <w:tcW w:w="81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Taxes paid on equity based compensation</w:t>
            </w:r>
          </w:p>
        </w:tc>
        <w:tc>
          <w:tcPr>
            <w:tcW w:w="1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w:t>
            </w:r>
          </w:p>
        </w:tc>
        <w:tc>
          <w:tcPr>
            <w:tcW w:w="0" w:type="dxa"/>
            <w:vAlign w:val="bottom"/>
          </w:tcPr>
          <w:p>
            <w:pPr>
              <w:spacing w:after="0"/>
              <w:rPr>
                <w:sz w:val="1"/>
                <w:szCs w:val="1"/>
                <w:color w:val="auto"/>
              </w:rPr>
            </w:pPr>
          </w:p>
        </w:tc>
      </w:tr>
      <w:tr>
        <w:trPr>
          <w:trHeight w:val="24"/>
        </w:trPr>
        <w:tc>
          <w:tcPr>
            <w:tcW w:w="8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14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(6,878)</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(5,927)</w:t>
            </w:r>
          </w:p>
        </w:tc>
        <w:tc>
          <w:tcPr>
            <w:tcW w:w="0" w:type="dxa"/>
            <w:vAlign w:val="bottom"/>
          </w:tcPr>
          <w:p>
            <w:pPr>
              <w:spacing w:after="0"/>
              <w:rPr>
                <w:sz w:val="1"/>
                <w:szCs w:val="1"/>
                <w:color w:val="auto"/>
              </w:rPr>
            </w:pPr>
          </w:p>
        </w:tc>
      </w:tr>
      <w:tr>
        <w:trPr>
          <w:trHeight w:val="196"/>
        </w:trPr>
        <w:tc>
          <w:tcPr>
            <w:tcW w:w="81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increase (decrease) in cash</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(4,267)</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14,102</w:t>
            </w:r>
          </w:p>
        </w:tc>
        <w:tc>
          <w:tcPr>
            <w:tcW w:w="0" w:type="dxa"/>
            <w:vAlign w:val="bottom"/>
          </w:tcPr>
          <w:p>
            <w:pPr>
              <w:spacing w:after="0"/>
              <w:rPr>
                <w:sz w:val="1"/>
                <w:szCs w:val="1"/>
                <w:color w:val="auto"/>
              </w:rPr>
            </w:pPr>
          </w:p>
        </w:tc>
      </w:tr>
      <w:tr>
        <w:trPr>
          <w:trHeight w:val="192"/>
        </w:trPr>
        <w:tc>
          <w:tcPr>
            <w:tcW w:w="8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restricted cash at beginning of the period</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39,337</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49,488</w:t>
            </w:r>
          </w:p>
        </w:tc>
        <w:tc>
          <w:tcPr>
            <w:tcW w:w="0" w:type="dxa"/>
            <w:vAlign w:val="bottom"/>
          </w:tcPr>
          <w:p>
            <w:pPr>
              <w:spacing w:after="0"/>
              <w:rPr>
                <w:sz w:val="1"/>
                <w:szCs w:val="1"/>
                <w:color w:val="auto"/>
              </w:rPr>
            </w:pPr>
          </w:p>
        </w:tc>
      </w:tr>
      <w:tr>
        <w:trPr>
          <w:trHeight w:val="24"/>
        </w:trPr>
        <w:tc>
          <w:tcPr>
            <w:tcW w:w="8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restricted cash at end of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35,070</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63,590</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Reconciliation of cash and cash equivalents and restricted cash:</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81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
        </w:trPr>
        <w:tc>
          <w:tcPr>
            <w:tcW w:w="8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31,497</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60,273</w:t>
            </w:r>
          </w:p>
        </w:tc>
        <w:tc>
          <w:tcPr>
            <w:tcW w:w="0" w:type="dxa"/>
            <w:vAlign w:val="bottom"/>
          </w:tcPr>
          <w:p>
            <w:pPr>
              <w:spacing w:after="0"/>
              <w:rPr>
                <w:sz w:val="1"/>
                <w:szCs w:val="1"/>
                <w:color w:val="auto"/>
              </w:rPr>
            </w:pPr>
          </w:p>
        </w:tc>
      </w:tr>
      <w:tr>
        <w:trPr>
          <w:trHeight w:val="193"/>
        </w:trPr>
        <w:tc>
          <w:tcPr>
            <w:tcW w:w="8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Restricted cash</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3,573</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3,317</w:t>
            </w:r>
          </w:p>
        </w:tc>
        <w:tc>
          <w:tcPr>
            <w:tcW w:w="0" w:type="dxa"/>
            <w:vAlign w:val="bottom"/>
          </w:tcPr>
          <w:p>
            <w:pPr>
              <w:spacing w:after="0"/>
              <w:rPr>
                <w:sz w:val="1"/>
                <w:szCs w:val="1"/>
                <w:color w:val="auto"/>
              </w:rPr>
            </w:pPr>
          </w:p>
        </w:tc>
      </w:tr>
      <w:tr>
        <w:trPr>
          <w:trHeight w:val="24"/>
        </w:trPr>
        <w:tc>
          <w:tcPr>
            <w:tcW w:w="8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restricted cash, end of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35,070</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63,590</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9640" w:type="dxa"/>
            <w:vAlign w:val="bottom"/>
            <w:gridSpan w:val="3"/>
          </w:tcPr>
          <w:p>
            <w:pPr>
              <w:ind w:left="2200"/>
              <w:spacing w:after="0"/>
              <w:rPr>
                <w:sz w:val="20"/>
                <w:szCs w:val="20"/>
                <w:color w:val="auto"/>
              </w:rPr>
            </w:pPr>
            <w:r>
              <w:rPr>
                <w:rFonts w:ascii="Times New Roman" w:cs="Times New Roman" w:eastAsia="Times New Roman" w:hAnsi="Times New Roman"/>
                <w:sz w:val="14"/>
                <w:szCs w:val="14"/>
                <w:color w:val="auto"/>
              </w:rPr>
              <w:t>The accompanying notes are an integral part of these unaudited Condensed Consolidated Interim Financial Statements.</w:t>
            </w:r>
          </w:p>
        </w:tc>
        <w:tc>
          <w:tcPr>
            <w:tcW w:w="1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6125845</wp:posOffset>
            </wp:positionH>
            <wp:positionV relativeFrom="paragraph">
              <wp:posOffset>-153035</wp:posOffset>
            </wp:positionV>
            <wp:extent cx="685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-299085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-727710</wp:posOffset>
            </wp:positionV>
            <wp:extent cx="685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-1430655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-3084830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-4182110</wp:posOffset>
            </wp:positionV>
            <wp:extent cx="685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-7757160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21" w:right="339" w:bottom="53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293370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538"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CANNABIST COMPANY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CONDENSED CONSOLIDATED INTERIM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(expressed in thousands of U.S. dollars)</w:t>
      </w:r>
    </w:p>
    <w:p>
      <w:pPr>
        <w:spacing w:after="0" w:line="33"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8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3"/>
          </w:tcPr>
          <w:p>
            <w:pPr>
              <w:jc w:val="right"/>
              <w:ind w:right="908"/>
              <w:spacing w:after="0"/>
              <w:rPr>
                <w:sz w:val="20"/>
                <w:szCs w:val="20"/>
                <w:color w:val="auto"/>
              </w:rPr>
            </w:pPr>
            <w:r>
              <w:rPr>
                <w:rFonts w:ascii="Times New Roman" w:cs="Times New Roman" w:eastAsia="Times New Roman" w:hAnsi="Times New Roman"/>
                <w:sz w:val="13"/>
                <w:szCs w:val="13"/>
                <w:b w:val="1"/>
                <w:bCs w:val="1"/>
                <w:color w:val="auto"/>
              </w:rPr>
              <w:t>Nine months ended</w:t>
            </w:r>
          </w:p>
        </w:tc>
        <w:tc>
          <w:tcPr>
            <w:tcW w:w="0" w:type="dxa"/>
            <w:vAlign w:val="bottom"/>
          </w:tcPr>
          <w:p>
            <w:pPr>
              <w:spacing w:after="0"/>
              <w:rPr>
                <w:sz w:val="1"/>
                <w:szCs w:val="1"/>
                <w:color w:val="auto"/>
              </w:rPr>
            </w:pPr>
          </w:p>
        </w:tc>
      </w:tr>
      <w:tr>
        <w:trPr>
          <w:trHeight w:val="188"/>
        </w:trPr>
        <w:tc>
          <w:tcPr>
            <w:tcW w:w="8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jc w:val="right"/>
              <w:ind w:right="149"/>
              <w:spacing w:after="0"/>
              <w:rPr>
                <w:sz w:val="20"/>
                <w:szCs w:val="20"/>
                <w:color w:val="auto"/>
              </w:rPr>
            </w:pPr>
            <w:r>
              <w:rPr>
                <w:rFonts w:ascii="Times New Roman" w:cs="Times New Roman" w:eastAsia="Times New Roman" w:hAnsi="Times New Roman"/>
                <w:sz w:val="13"/>
                <w:szCs w:val="13"/>
                <w:b w:val="1"/>
                <w:bCs w:val="1"/>
                <w:color w:val="auto"/>
              </w:rPr>
              <w:t>September 30, 2024</w:t>
            </w:r>
          </w:p>
        </w:tc>
        <w:tc>
          <w:tcPr>
            <w:tcW w:w="200" w:type="dxa"/>
            <w:vAlign w:val="bottom"/>
          </w:tcPr>
          <w:p>
            <w:pPr>
              <w:spacing w:after="0"/>
              <w:rPr>
                <w:sz w:val="16"/>
                <w:szCs w:val="16"/>
                <w:color w:val="auto"/>
              </w:rPr>
            </w:pPr>
          </w:p>
        </w:tc>
        <w:tc>
          <w:tcPr>
            <w:tcW w:w="1340" w:type="dxa"/>
            <w:vAlign w:val="bottom"/>
          </w:tcPr>
          <w:p>
            <w:pPr>
              <w:jc w:val="right"/>
              <w:ind w:right="108"/>
              <w:spacing w:after="0"/>
              <w:rPr>
                <w:sz w:val="20"/>
                <w:szCs w:val="20"/>
                <w:color w:val="auto"/>
              </w:rPr>
            </w:pPr>
            <w:r>
              <w:rPr>
                <w:rFonts w:ascii="Times New Roman" w:cs="Times New Roman" w:eastAsia="Times New Roman" w:hAnsi="Times New Roman"/>
                <w:sz w:val="13"/>
                <w:szCs w:val="13"/>
                <w:b w:val="1"/>
                <w:bCs w:val="1"/>
                <w:color w:val="auto"/>
              </w:rPr>
              <w:t>September 30, 2023</w:t>
            </w:r>
          </w:p>
        </w:tc>
        <w:tc>
          <w:tcPr>
            <w:tcW w:w="0" w:type="dxa"/>
            <w:vAlign w:val="bottom"/>
          </w:tcPr>
          <w:p>
            <w:pPr>
              <w:spacing w:after="0"/>
              <w:rPr>
                <w:sz w:val="1"/>
                <w:szCs w:val="1"/>
                <w:color w:val="auto"/>
              </w:rPr>
            </w:pPr>
          </w:p>
        </w:tc>
      </w:tr>
      <w:tr>
        <w:trPr>
          <w:trHeight w:val="28"/>
        </w:trPr>
        <w:tc>
          <w:tcPr>
            <w:tcW w:w="8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cash flow information:</w:t>
            </w: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81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8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paid for amounts included in the measurement of lease liabilities:</w:t>
            </w:r>
          </w:p>
        </w:tc>
        <w:tc>
          <w:tcPr>
            <w:tcW w:w="14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81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Operating cash flows from operating leases</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20,061</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19,833</w:t>
            </w:r>
          </w:p>
        </w:tc>
        <w:tc>
          <w:tcPr>
            <w:tcW w:w="0" w:type="dxa"/>
            <w:vAlign w:val="bottom"/>
          </w:tcPr>
          <w:p>
            <w:pPr>
              <w:spacing w:after="0"/>
              <w:rPr>
                <w:sz w:val="1"/>
                <w:szCs w:val="1"/>
                <w:color w:val="auto"/>
              </w:rPr>
            </w:pPr>
          </w:p>
        </w:tc>
      </w:tr>
      <w:tr>
        <w:trPr>
          <w:trHeight w:val="23"/>
        </w:trPr>
        <w:tc>
          <w:tcPr>
            <w:tcW w:w="8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1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Operating cash flows from finance leases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2,679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3,184</w:t>
            </w:r>
          </w:p>
        </w:tc>
        <w:tc>
          <w:tcPr>
            <w:tcW w:w="0" w:type="dxa"/>
            <w:vAlign w:val="bottom"/>
          </w:tcPr>
          <w:p>
            <w:pPr>
              <w:spacing w:after="0"/>
              <w:rPr>
                <w:sz w:val="1"/>
                <w:szCs w:val="1"/>
                <w:color w:val="auto"/>
              </w:rPr>
            </w:pPr>
          </w:p>
        </w:tc>
      </w:tr>
      <w:tr>
        <w:trPr>
          <w:trHeight w:val="193"/>
        </w:trPr>
        <w:tc>
          <w:tcPr>
            <w:tcW w:w="81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Financing cash flows from finance leases</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5,323</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5,084</w:t>
            </w:r>
          </w:p>
        </w:tc>
        <w:tc>
          <w:tcPr>
            <w:tcW w:w="0" w:type="dxa"/>
            <w:vAlign w:val="bottom"/>
          </w:tcPr>
          <w:p>
            <w:pPr>
              <w:spacing w:after="0"/>
              <w:rPr>
                <w:sz w:val="1"/>
                <w:szCs w:val="1"/>
                <w:color w:val="auto"/>
              </w:rPr>
            </w:pPr>
          </w:p>
        </w:tc>
      </w:tr>
      <w:tr>
        <w:trPr>
          <w:trHeight w:val="23"/>
        </w:trPr>
        <w:tc>
          <w:tcPr>
            <w:tcW w:w="8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paid for interest on other obligations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35,155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31,274</w:t>
            </w:r>
          </w:p>
        </w:tc>
        <w:tc>
          <w:tcPr>
            <w:tcW w:w="0" w:type="dxa"/>
            <w:vAlign w:val="bottom"/>
          </w:tcPr>
          <w:p>
            <w:pPr>
              <w:spacing w:after="0"/>
              <w:rPr>
                <w:sz w:val="1"/>
                <w:szCs w:val="1"/>
                <w:color w:val="auto"/>
              </w:rPr>
            </w:pPr>
          </w:p>
        </w:tc>
      </w:tr>
      <w:tr>
        <w:trPr>
          <w:trHeight w:val="193"/>
        </w:trPr>
        <w:tc>
          <w:tcPr>
            <w:tcW w:w="8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paid for income taxes</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3,850</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14,979</w:t>
            </w:r>
          </w:p>
        </w:tc>
        <w:tc>
          <w:tcPr>
            <w:tcW w:w="0" w:type="dxa"/>
            <w:vAlign w:val="bottom"/>
          </w:tcPr>
          <w:p>
            <w:pPr>
              <w:spacing w:after="0"/>
              <w:rPr>
                <w:sz w:val="1"/>
                <w:szCs w:val="1"/>
                <w:color w:val="auto"/>
              </w:rPr>
            </w:pPr>
          </w:p>
        </w:tc>
      </w:tr>
      <w:tr>
        <w:trPr>
          <w:trHeight w:val="23"/>
        </w:trPr>
        <w:tc>
          <w:tcPr>
            <w:tcW w:w="8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Lease liabilities arising from the recognition of finance right-of-use assets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6,978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1,016</w:t>
            </w:r>
          </w:p>
        </w:tc>
        <w:tc>
          <w:tcPr>
            <w:tcW w:w="0" w:type="dxa"/>
            <w:vAlign w:val="bottom"/>
          </w:tcPr>
          <w:p>
            <w:pPr>
              <w:spacing w:after="0"/>
              <w:rPr>
                <w:sz w:val="1"/>
                <w:szCs w:val="1"/>
                <w:color w:val="auto"/>
              </w:rPr>
            </w:pPr>
          </w:p>
        </w:tc>
      </w:tr>
      <w:tr>
        <w:trPr>
          <w:trHeight w:val="193"/>
        </w:trPr>
        <w:tc>
          <w:tcPr>
            <w:tcW w:w="8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Lease liabilities arising from the recognition of operating right-of-use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7</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8,210</w:t>
            </w:r>
          </w:p>
        </w:tc>
        <w:tc>
          <w:tcPr>
            <w:tcW w:w="0" w:type="dxa"/>
            <w:vAlign w:val="bottom"/>
          </w:tcPr>
          <w:p>
            <w:pPr>
              <w:spacing w:after="0"/>
              <w:rPr>
                <w:sz w:val="1"/>
                <w:szCs w:val="1"/>
                <w:color w:val="auto"/>
              </w:rPr>
            </w:pPr>
          </w:p>
        </w:tc>
      </w:tr>
      <w:tr>
        <w:trPr>
          <w:trHeight w:val="23"/>
        </w:trPr>
        <w:tc>
          <w:tcPr>
            <w:tcW w:w="8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non-cash investing and financing activities:</w:t>
            </w:r>
          </w:p>
        </w:tc>
        <w:tc>
          <w:tcPr>
            <w:tcW w:w="14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8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Non-cash fixed asset additions within accounts payable and accrued expenses</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298</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23"/>
        </w:trPr>
        <w:tc>
          <w:tcPr>
            <w:tcW w:w="8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Non-cash equity issuance costs within accrued expenses and accounts payable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0" w:type="dxa"/>
            <w:vAlign w:val="bottom"/>
          </w:tcPr>
          <w:p>
            <w:pPr>
              <w:spacing w:after="0"/>
              <w:rPr>
                <w:sz w:val="1"/>
                <w:szCs w:val="1"/>
                <w:color w:val="auto"/>
              </w:rPr>
            </w:pPr>
          </w:p>
        </w:tc>
      </w:tr>
      <w:tr>
        <w:trPr>
          <w:trHeight w:val="193"/>
        </w:trPr>
        <w:tc>
          <w:tcPr>
            <w:tcW w:w="8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Discount on issuance of convertible debt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(5,150)</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8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Reduction in debt from debt to equity conversion</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(10,200)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8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issued for legal settlement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2,620</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Increase in equity from debt to equity conversion</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10,200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8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Assets held for sale</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63,551</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Liabilities held for sale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(47,629)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The accompanying notes are an integral part of these unaudited Condensed Consolidated Interim Financial Statements.</w:t>
      </w: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THE CANNABIST COMPANY HOLDINGS INC.</w:t>
      </w:r>
    </w:p>
    <w:p>
      <w:pPr>
        <w:spacing w:after="0" w:line="31" w:lineRule="exact"/>
        <w:rPr>
          <w:sz w:val="20"/>
          <w:szCs w:val="20"/>
          <w:color w:val="auto"/>
        </w:rPr>
      </w:pPr>
    </w:p>
    <w:p>
      <w:pPr>
        <w:ind w:left="20" w:right="4420"/>
        <w:spacing w:after="0" w:line="253" w:lineRule="auto"/>
        <w:rPr>
          <w:sz w:val="20"/>
          <w:szCs w:val="20"/>
          <w:color w:val="auto"/>
        </w:rPr>
      </w:pPr>
      <w:r>
        <w:rPr>
          <w:rFonts w:ascii="Times New Roman" w:cs="Times New Roman" w:eastAsia="Times New Roman" w:hAnsi="Times New Roman"/>
          <w:sz w:val="18"/>
          <w:szCs w:val="18"/>
          <w:color w:val="auto"/>
        </w:rPr>
        <w:t>NOTES TO THE CONDENSED CONSOLIDATED INTERIM FINANCIAL STATEMENTS FOR THE THREE AND NINE MONTHS ENDED SEPTEMBER 30, 2024, and 2023 (Expressed in thousands of U.S. dollars, except for share and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820" w:hanging="812"/>
        <w:spacing w:after="0"/>
        <w:tabs>
          <w:tab w:leader="none" w:pos="82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OPERATIONS OF THE COMPANY</w:t>
      </w:r>
    </w:p>
    <w:p>
      <w:pPr>
        <w:spacing w:after="0" w:line="148" w:lineRule="exact"/>
        <w:rPr>
          <w:rFonts w:ascii="Times New Roman" w:cs="Times New Roman" w:eastAsia="Times New Roman" w:hAnsi="Times New Roman"/>
          <w:sz w:val="18"/>
          <w:szCs w:val="18"/>
          <w:b w:val="1"/>
          <w:bCs w:val="1"/>
          <w:color w:val="auto"/>
        </w:rPr>
      </w:pPr>
    </w:p>
    <w:p>
      <w:pPr>
        <w:jc w:val="both"/>
        <w:ind w:left="82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Cannabist Company Holdings Inc. (“the Company”, “the Parent”, or "The Cannabist Company"), formerly known as Columbia Care Inc., was incorporated under the laws of the Province of Ontario on August 13, 2018. The Company's principal mission is to improve lives by providing cannabis-based health and wellness solutions and derivative products to qualified patients and consumers. The Company’s head office and principal address is 680 Fifth Ave. 24th Floor, New York, New York 10019. The Company’s registered and records office address is 666 Burrard St #1700, Vancouver, British Columbia V6C 2X8.</w:t>
      </w:r>
    </w:p>
    <w:p>
      <w:pPr>
        <w:spacing w:after="0" w:line="115" w:lineRule="exact"/>
        <w:rPr>
          <w:rFonts w:ascii="Times New Roman" w:cs="Times New Roman" w:eastAsia="Times New Roman" w:hAnsi="Times New Roman"/>
          <w:sz w:val="18"/>
          <w:szCs w:val="18"/>
          <w:b w:val="1"/>
          <w:bCs w:val="1"/>
          <w:color w:val="auto"/>
        </w:rPr>
      </w:pPr>
    </w:p>
    <w:p>
      <w:pPr>
        <w:jc w:val="both"/>
        <w:ind w:left="82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April 26, 2019, the Company completed a reverse takeover (“RTO”) transaction and private placement. Following the RTO, the Company’s Common Shares were listed on Cboe Canada (formerly known as the NEO Exchange), trading under the symbol “CCHW”. Effective September 19, 2023, the Company changed its name from “Columbia Care Inc.” to “The Cannabist Company Holdings Inc.” (the “Name Change”). In connection with the Name Change, on September 21, 2023, the Company’s Common Shares and warrants began trading under the ticker symbols “CBST” and “CBST.WT”, respectively, on Cboe Canada. On September 26, 2023, the Company’s Common Shares began trading on the OTCQX Best Market under the ticker symbol “CBSTF”. The Company’s Common Shares are also listed on the Frankfurt Stock Exchange under the symbol “3LP”.</w:t>
      </w: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ind w:left="820" w:right="5720" w:hanging="812"/>
        <w:spacing w:after="0" w:line="417" w:lineRule="auto"/>
        <w:tabs>
          <w:tab w:leader="none" w:pos="82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b w:val="1"/>
          <w:bCs w:val="1"/>
          <w:i w:val="1"/>
          <w:iCs w:val="1"/>
          <w:color w:val="auto"/>
        </w:rPr>
        <w:t>Basis of preparation</w:t>
      </w:r>
    </w:p>
    <w:p>
      <w:pPr>
        <w:jc w:val="both"/>
        <w:ind w:left="8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accompanying unaudited condensed consolidated interim financial statements of the Company have been prepared in accordance with accounting principles generally accepted in the United States (“U.S. GAAP” or “GAAP”) for interim financial information and the rules and regulations of the Securities and Exchange Commission (the “SEC”).</w:t>
      </w:r>
    </w:p>
    <w:p>
      <w:pPr>
        <w:spacing w:after="0" w:line="108" w:lineRule="exact"/>
        <w:rPr>
          <w:rFonts w:ascii="Times New Roman" w:cs="Times New Roman" w:eastAsia="Times New Roman" w:hAnsi="Times New Roman"/>
          <w:sz w:val="18"/>
          <w:szCs w:val="18"/>
          <w:b w:val="1"/>
          <w:bCs w:val="1"/>
          <w:color w:val="auto"/>
        </w:rPr>
      </w:pPr>
    </w:p>
    <w:p>
      <w:pPr>
        <w:jc w:val="both"/>
        <w:ind w:left="82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accompanying unaudited condensed consolidated interim financial statements contain all normal and recurring adjustments necessary to state fairly the consolidated financial condition, results of operations, comprehensive income, statement of shareholders’ equity, and cash flows of the Company for the interim periods presented. Except as otherwise disclosed, all such adjustments consist only of those of a normal recurring nature. Operating results for the three and nine months ended September 30, 2024 are not necessarily indicative of the results that may be expected for the current year ending December 31, 2024. The financial data presented herein should be read in conjunction with the audited consolidated financial statements and accompanying notes as of and for the years ended December 31, 2023, and 2022 included in the Annual Report on Form 10-K for the year ended December 31, 2023 (the “2023 Form 10-K”).</w:t>
      </w:r>
    </w:p>
    <w:p>
      <w:pPr>
        <w:spacing w:after="0" w:line="121" w:lineRule="exact"/>
        <w:rPr>
          <w:rFonts w:ascii="Times New Roman" w:cs="Times New Roman" w:eastAsia="Times New Roman" w:hAnsi="Times New Roman"/>
          <w:sz w:val="18"/>
          <w:szCs w:val="18"/>
          <w:b w:val="1"/>
          <w:bCs w:val="1"/>
          <w:color w:val="auto"/>
        </w:rPr>
      </w:pPr>
    </w:p>
    <w:p>
      <w:pPr>
        <w:jc w:val="both"/>
        <w:ind w:left="8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preparation of these unaudited condensed consolidated interim financial statements in conformity with U.S. GAAP requires management to make estimates and assumptions that affect the reported amounts of assets and liabilities as of the date of the financial statements, and the reported amounts of revenues and expenses during the reporting periods. Actual results could differ materially from those estimates.</w:t>
      </w:r>
    </w:p>
    <w:p>
      <w:pPr>
        <w:spacing w:after="0" w:line="94" w:lineRule="exact"/>
        <w:rPr>
          <w:rFonts w:ascii="Times New Roman" w:cs="Times New Roman" w:eastAsia="Times New Roman" w:hAnsi="Times New Roman"/>
          <w:sz w:val="18"/>
          <w:szCs w:val="18"/>
          <w:b w:val="1"/>
          <w:bCs w:val="1"/>
          <w:color w:val="auto"/>
        </w:rPr>
      </w:pPr>
    </w:p>
    <w:p>
      <w:pPr>
        <w:ind w:left="8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Certain information and footnote disclosures normally included in financial statements prepared in accordance with U.S. GAAP have been condensed or omitted pursuant to the rules and regulations of the SEC and the instructions to Form 10-Q.</w:t>
      </w:r>
    </w:p>
    <w:p>
      <w:pPr>
        <w:spacing w:after="0" w:line="94" w:lineRule="exact"/>
        <w:rPr>
          <w:rFonts w:ascii="Times New Roman" w:cs="Times New Roman" w:eastAsia="Times New Roman" w:hAnsi="Times New Roman"/>
          <w:sz w:val="18"/>
          <w:szCs w:val="18"/>
          <w:b w:val="1"/>
          <w:bCs w:val="1"/>
          <w:color w:val="auto"/>
        </w:rPr>
      </w:pPr>
    </w:p>
    <w:p>
      <w:pPr>
        <w:ind w:left="8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unaudited condensed consolidated interim financial statements are presented in United States dollars except as otherwise indicated. All references to C$, CAD$ and CDN$ are to Canadian dollars.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Judgments, Estimates and Assumptions</w:t>
      </w:r>
    </w:p>
    <w:p>
      <w:pPr>
        <w:spacing w:after="0" w:line="148" w:lineRule="exact"/>
        <w:rPr>
          <w:sz w:val="20"/>
          <w:szCs w:val="20"/>
          <w:color w:val="auto"/>
        </w:rPr>
      </w:pPr>
    </w:p>
    <w:p>
      <w:pPr>
        <w:jc w:val="both"/>
        <w:ind w:left="820"/>
        <w:spacing w:after="0" w:line="282" w:lineRule="auto"/>
        <w:rPr>
          <w:sz w:val="20"/>
          <w:szCs w:val="20"/>
          <w:color w:val="auto"/>
        </w:rPr>
      </w:pPr>
      <w:r>
        <w:rPr>
          <w:rFonts w:ascii="Times New Roman" w:cs="Times New Roman" w:eastAsia="Times New Roman" w:hAnsi="Times New Roman"/>
          <w:sz w:val="18"/>
          <w:szCs w:val="18"/>
          <w:color w:val="auto"/>
        </w:rPr>
        <w:t>The Company’s significant accounting policies are described in Note 2 to the Company’s 2023 Form 10-K, filed with the SEC, on March 13, 2024. There have been no material changes to the Company’s significant accounting policies.</w:t>
      </w:r>
    </w:p>
    <w:p>
      <w:pPr>
        <w:spacing w:after="0" w:line="90"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w:t>
      </w:r>
    </w:p>
    <w:p>
      <w:pPr>
        <w:spacing w:after="0" w:line="162" w:lineRule="exact"/>
        <w:rPr>
          <w:sz w:val="20"/>
          <w:szCs w:val="20"/>
          <w:color w:val="auto"/>
        </w:rPr>
      </w:pPr>
    </w:p>
    <w:p>
      <w:pPr>
        <w:jc w:val="both"/>
        <w:ind w:left="820"/>
        <w:spacing w:after="0" w:line="266" w:lineRule="auto"/>
        <w:rPr>
          <w:sz w:val="20"/>
          <w:szCs w:val="20"/>
          <w:color w:val="auto"/>
        </w:rPr>
      </w:pPr>
      <w:r>
        <w:rPr>
          <w:rFonts w:ascii="Times New Roman" w:cs="Times New Roman" w:eastAsia="Times New Roman" w:hAnsi="Times New Roman"/>
          <w:sz w:val="18"/>
          <w:szCs w:val="18"/>
          <w:color w:val="auto"/>
        </w:rPr>
        <w:t>Certain reclassifications have been made to conform the prior years consolidated financial statements and notes to the current year presentation. These reclassifications do not impact the gross profit, loss from operations, loss before provision for income taxes and net loss and comprehensive loss presented on the consolidated statements of operations and comprehensive loss.</w:t>
      </w:r>
    </w:p>
    <w:p>
      <w:pPr>
        <w:spacing w:after="0" w:line="9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6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The Company’s revenues are disaggregated as follows:</w:t>
      </w:r>
    </w:p>
    <w:p>
      <w:pPr>
        <w:spacing w:after="0" w:line="201" w:lineRule="exact"/>
        <w:rPr>
          <w:sz w:val="20"/>
          <w:szCs w:val="20"/>
          <w:color w:val="auto"/>
        </w:rPr>
      </w:pPr>
    </w:p>
    <w:tbl>
      <w:tblPr>
        <w:tblLayout w:type="fixed"/>
        <w:tblInd w:w="660" w:type="dxa"/>
        <w:tblCellMar>
          <w:top w:w="0" w:type="dxa"/>
          <w:left w:w="0" w:type="dxa"/>
          <w:bottom w:w="0" w:type="dxa"/>
          <w:right w:w="0" w:type="dxa"/>
        </w:tblCellMar>
      </w:tblPr>
      <w:tr>
        <w:trPr>
          <w:trHeight w:val="212"/>
        </w:trPr>
        <w:tc>
          <w:tcPr>
            <w:tcW w:w="3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900" w:type="dxa"/>
            <w:vAlign w:val="bottom"/>
            <w:gridSpan w:val="3"/>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40" w:type="dxa"/>
            <w:vAlign w:val="bottom"/>
            <w:gridSpan w:val="3"/>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740" w:type="dxa"/>
            <w:vAlign w:val="bottom"/>
          </w:tcPr>
          <w:p>
            <w:pPr>
              <w:spacing w:after="0"/>
              <w:rPr>
                <w:sz w:val="18"/>
                <w:szCs w:val="18"/>
                <w:color w:val="auto"/>
              </w:rPr>
            </w:pPr>
          </w:p>
        </w:tc>
      </w:tr>
      <w:tr>
        <w:trPr>
          <w:trHeight w:val="33"/>
        </w:trPr>
        <w:tc>
          <w:tcPr>
            <w:tcW w:w="3700" w:type="dxa"/>
            <w:vAlign w:val="bottom"/>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r>
      <w:tr>
        <w:trPr>
          <w:trHeight w:val="206"/>
        </w:trPr>
        <w:tc>
          <w:tcPr>
            <w:tcW w:w="3700" w:type="dxa"/>
            <w:vAlign w:val="bottom"/>
          </w:tcPr>
          <w:p>
            <w:pPr>
              <w:spacing w:after="0"/>
              <w:rPr>
                <w:sz w:val="17"/>
                <w:szCs w:val="17"/>
                <w:color w:val="auto"/>
              </w:rPr>
            </w:pPr>
          </w:p>
        </w:tc>
        <w:tc>
          <w:tcPr>
            <w:tcW w:w="158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 2023</w:t>
            </w:r>
          </w:p>
        </w:tc>
        <w:tc>
          <w:tcPr>
            <w:tcW w:w="100" w:type="dxa"/>
            <w:vAlign w:val="bottom"/>
          </w:tcPr>
          <w:p>
            <w:pPr>
              <w:spacing w:after="0"/>
              <w:rPr>
                <w:sz w:val="17"/>
                <w:szCs w:val="17"/>
                <w:color w:val="auto"/>
              </w:rPr>
            </w:pPr>
          </w:p>
        </w:tc>
        <w:tc>
          <w:tcPr>
            <w:tcW w:w="158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 2023</w:t>
            </w:r>
          </w:p>
        </w:tc>
      </w:tr>
      <w:tr>
        <w:trPr>
          <w:trHeight w:val="31"/>
        </w:trPr>
        <w:tc>
          <w:tcPr>
            <w:tcW w:w="3700" w:type="dxa"/>
            <w:vAlign w:val="bottom"/>
            <w:tcBorders>
              <w:bottom w:val="single" w:sz="8" w:color="CFF0FC"/>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16"/>
        </w:trPr>
        <w:tc>
          <w:tcPr>
            <w:tcW w:w="3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Dispensary</w:t>
            </w:r>
          </w:p>
        </w:tc>
        <w:tc>
          <w:tcPr>
            <w:tcW w:w="460" w:type="dxa"/>
            <w:vAlign w:val="bottom"/>
            <w:tcBorders>
              <w:bottom w:val="single" w:sz="8" w:color="CFF0FC"/>
            </w:tcBorders>
            <w:shd w:val="clear" w:color="auto" w:fill="CFF0FC"/>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95,223</w:t>
            </w:r>
          </w:p>
        </w:tc>
        <w:tc>
          <w:tcPr>
            <w:tcW w:w="10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CFF0FC"/>
            </w:tcBorders>
            <w:shd w:val="clear" w:color="auto" w:fill="CFF0FC"/>
          </w:tcPr>
          <w:p>
            <w:pPr>
              <w:jc w:val="right"/>
              <w:ind w:right="59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113,487</w:t>
            </w:r>
          </w:p>
        </w:tc>
        <w:tc>
          <w:tcPr>
            <w:tcW w:w="100" w:type="dxa"/>
            <w:vAlign w:val="bottom"/>
          </w:tcPr>
          <w:p>
            <w:pPr>
              <w:spacing w:after="0"/>
              <w:rPr>
                <w:sz w:val="18"/>
                <w:szCs w:val="18"/>
                <w:color w:val="auto"/>
              </w:rPr>
            </w:pPr>
          </w:p>
        </w:tc>
        <w:tc>
          <w:tcPr>
            <w:tcW w:w="480" w:type="dxa"/>
            <w:vAlign w:val="bottom"/>
            <w:tcBorders>
              <w:bottom w:val="single" w:sz="8" w:color="CFF0FC"/>
            </w:tcBorders>
            <w:shd w:val="clear" w:color="auto" w:fill="CFF0FC"/>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308,554</w:t>
            </w:r>
          </w:p>
        </w:tc>
        <w:tc>
          <w:tcPr>
            <w:tcW w:w="10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CFF0FC"/>
            </w:tcBorders>
            <w:shd w:val="clear" w:color="auto" w:fill="CFF0FC"/>
          </w:tcPr>
          <w:p>
            <w:pPr>
              <w:jc w:val="right"/>
              <w:ind w:right="55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336,681</w:t>
            </w:r>
          </w:p>
        </w:tc>
      </w:tr>
      <w:tr>
        <w:trPr>
          <w:trHeight w:val="210"/>
        </w:trPr>
        <w:tc>
          <w:tcPr>
            <w:tcW w:w="3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Cultivation and wholesale</w:t>
            </w: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19,560</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15,694</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54,030</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46,246</w:t>
            </w:r>
          </w:p>
        </w:tc>
      </w:tr>
      <w:tr>
        <w:trPr>
          <w:trHeight w:val="33"/>
        </w:trPr>
        <w:tc>
          <w:tcPr>
            <w:tcW w:w="37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43"/>
        </w:trPr>
        <w:tc>
          <w:tcPr>
            <w:tcW w:w="3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46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FF0FC"/>
            </w:tcBorders>
            <w:shd w:val="clear" w:color="auto" w:fill="CFF0FC"/>
          </w:tcPr>
          <w:p>
            <w:pPr>
              <w:spacing w:after="0"/>
              <w:rPr>
                <w:sz w:val="21"/>
                <w:szCs w:val="21"/>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21"/>
                <w:szCs w:val="21"/>
                <w:color w:val="auto"/>
              </w:rPr>
            </w:pPr>
          </w:p>
        </w:tc>
        <w:tc>
          <w:tcPr>
            <w:tcW w:w="48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FF0FC"/>
            </w:tcBorders>
            <w:shd w:val="clear" w:color="auto" w:fill="CFF0FC"/>
          </w:tcPr>
          <w:p>
            <w:pPr>
              <w:spacing w:after="0"/>
              <w:rPr>
                <w:sz w:val="21"/>
                <w:szCs w:val="21"/>
                <w:color w:val="auto"/>
              </w:rPr>
            </w:pPr>
          </w:p>
        </w:tc>
        <w:tc>
          <w:tcPr>
            <w:tcW w:w="7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w:t>
            </w:r>
          </w:p>
        </w:tc>
      </w:tr>
      <w:tr>
        <w:trPr>
          <w:trHeight w:val="204"/>
        </w:trPr>
        <w:tc>
          <w:tcPr>
            <w:tcW w:w="3700" w:type="dxa"/>
            <w:vAlign w:val="bottom"/>
          </w:tcPr>
          <w:p>
            <w:pPr>
              <w:spacing w:after="0"/>
              <w:rPr>
                <w:sz w:val="17"/>
                <w:szCs w:val="17"/>
                <w:color w:val="auto"/>
              </w:rPr>
            </w:pPr>
          </w:p>
        </w:tc>
        <w:tc>
          <w:tcPr>
            <w:tcW w:w="460" w:type="dxa"/>
            <w:vAlign w:val="bottom"/>
            <w:tcBorders>
              <w:top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114,783</w:t>
            </w:r>
          </w:p>
        </w:tc>
        <w:tc>
          <w:tcPr>
            <w:tcW w:w="100" w:type="dxa"/>
            <w:vAlign w:val="bottom"/>
          </w:tcPr>
          <w:p>
            <w:pPr>
              <w:spacing w:after="0"/>
              <w:rPr>
                <w:sz w:val="17"/>
                <w:szCs w:val="17"/>
                <w:color w:val="auto"/>
              </w:rPr>
            </w:pPr>
          </w:p>
        </w:tc>
        <w:tc>
          <w:tcPr>
            <w:tcW w:w="780" w:type="dxa"/>
            <w:vAlign w:val="bottom"/>
            <w:tcBorders>
              <w:top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129,183</w:t>
            </w:r>
          </w:p>
        </w:tc>
        <w:tc>
          <w:tcPr>
            <w:tcW w:w="100" w:type="dxa"/>
            <w:vAlign w:val="bottom"/>
          </w:tcPr>
          <w:p>
            <w:pPr>
              <w:spacing w:after="0"/>
              <w:rPr>
                <w:sz w:val="17"/>
                <w:szCs w:val="17"/>
                <w:color w:val="auto"/>
              </w:rPr>
            </w:pPr>
          </w:p>
        </w:tc>
        <w:tc>
          <w:tcPr>
            <w:tcW w:w="480" w:type="dxa"/>
            <w:vAlign w:val="bottom"/>
            <w:tcBorders>
              <w:top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362,584</w:t>
            </w:r>
          </w:p>
        </w:tc>
        <w:tc>
          <w:tcPr>
            <w:tcW w:w="100" w:type="dxa"/>
            <w:vAlign w:val="bottom"/>
          </w:tcPr>
          <w:p>
            <w:pPr>
              <w:spacing w:after="0"/>
              <w:rPr>
                <w:sz w:val="17"/>
                <w:szCs w:val="17"/>
                <w:color w:val="auto"/>
              </w:rPr>
            </w:pPr>
          </w:p>
        </w:tc>
        <w:tc>
          <w:tcPr>
            <w:tcW w:w="740" w:type="dxa"/>
            <w:vAlign w:val="bottom"/>
            <w:tcBorders>
              <w:top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382,962</w:t>
            </w:r>
          </w:p>
        </w:tc>
      </w:tr>
      <w:tr>
        <w:trPr>
          <w:trHeight w:val="33"/>
        </w:trPr>
        <w:tc>
          <w:tcPr>
            <w:tcW w:w="37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1"/>
        </w:trPr>
        <w:tc>
          <w:tcPr>
            <w:tcW w:w="37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ind w:left="820"/>
        <w:spacing w:after="0" w:line="261" w:lineRule="auto"/>
        <w:rPr>
          <w:sz w:val="20"/>
          <w:szCs w:val="20"/>
          <w:color w:val="auto"/>
        </w:rPr>
      </w:pPr>
      <w:r>
        <w:rPr>
          <w:rFonts w:ascii="Times New Roman" w:cs="Times New Roman" w:eastAsia="Times New Roman" w:hAnsi="Times New Roman"/>
          <w:sz w:val="18"/>
          <w:szCs w:val="18"/>
          <w:color w:val="auto"/>
        </w:rPr>
        <w:t>During the three and nine months ended September 30, 2024, the Company netted discounts of $31,482 and $105,366, respectively, against the revenues. During the three and nine months ended September 30, 2023, the Company netted discounts of $34,248 and $102,012, respectively, against the revenues, respectively. Discounts are provided by the Company during promotional days or weekends. Discounts are also provided to employees, seniors and other categories of customers and may include price reductions and coupons.</w:t>
      </w:r>
    </w:p>
    <w:p>
      <w:pPr>
        <w:spacing w:after="0" w:line="392" w:lineRule="exact"/>
        <w:rPr>
          <w:sz w:val="20"/>
          <w:szCs w:val="20"/>
          <w:color w:val="auto"/>
        </w:rPr>
      </w:pPr>
    </w:p>
    <w:p>
      <w:pPr>
        <w:ind w:left="820" w:hanging="812"/>
        <w:spacing w:after="0"/>
        <w:tabs>
          <w:tab w:leader="none" w:pos="82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INVENTORY</w:t>
      </w:r>
    </w:p>
    <w:p>
      <w:pPr>
        <w:spacing w:after="0" w:line="161" w:lineRule="exact"/>
        <w:rPr>
          <w:rFonts w:ascii="Times New Roman" w:cs="Times New Roman" w:eastAsia="Times New Roman" w:hAnsi="Times New Roman"/>
          <w:sz w:val="18"/>
          <w:szCs w:val="18"/>
          <w:b w:val="1"/>
          <w:bCs w:val="1"/>
          <w:color w:val="auto"/>
        </w:rPr>
      </w:pPr>
    </w:p>
    <w:p>
      <w:pPr>
        <w:ind w:left="8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Details of the Company’s inventory are shown in the table below:</w:t>
      </w:r>
    </w:p>
    <w:p>
      <w:pPr>
        <w:spacing w:after="0" w:line="187" w:lineRule="exact"/>
        <w:rPr>
          <w:sz w:val="20"/>
          <w:szCs w:val="20"/>
          <w:color w:val="auto"/>
        </w:rPr>
      </w:pPr>
    </w:p>
    <w:tbl>
      <w:tblPr>
        <w:tblLayout w:type="fixed"/>
        <w:tblInd w:w="1240" w:type="dxa"/>
        <w:tblCellMar>
          <w:top w:w="0" w:type="dxa"/>
          <w:left w:w="0" w:type="dxa"/>
          <w:bottom w:w="0" w:type="dxa"/>
          <w:right w:w="0" w:type="dxa"/>
        </w:tblCellMar>
      </w:tblPr>
      <w:tr>
        <w:trPr>
          <w:trHeight w:val="212"/>
        </w:trPr>
        <w:tc>
          <w:tcPr>
            <w:tcW w:w="5660" w:type="dxa"/>
            <w:vAlign w:val="bottom"/>
          </w:tcPr>
          <w:p>
            <w:pPr>
              <w:spacing w:after="0"/>
              <w:rPr>
                <w:sz w:val="18"/>
                <w:szCs w:val="18"/>
                <w:color w:val="auto"/>
              </w:rPr>
            </w:pPr>
          </w:p>
        </w:tc>
        <w:tc>
          <w:tcPr>
            <w:tcW w:w="160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100" w:type="dxa"/>
            <w:vAlign w:val="bottom"/>
          </w:tcPr>
          <w:p>
            <w:pPr>
              <w:spacing w:after="0"/>
              <w:rPr>
                <w:sz w:val="18"/>
                <w:szCs w:val="18"/>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8"/>
              </w:rPr>
              <w:t>December 31, 2023</w:t>
            </w:r>
          </w:p>
        </w:tc>
      </w:tr>
      <w:tr>
        <w:trPr>
          <w:trHeight w:val="33"/>
        </w:trPr>
        <w:tc>
          <w:tcPr>
            <w:tcW w:w="5660" w:type="dxa"/>
            <w:vAlign w:val="bottom"/>
            <w:tcBorders>
              <w:bottom w:val="single" w:sz="8" w:color="CFF0FC"/>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17"/>
        </w:trPr>
        <w:tc>
          <w:tcPr>
            <w:tcW w:w="5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Accessories and supplies</w:t>
            </w:r>
          </w:p>
        </w:tc>
        <w:tc>
          <w:tcPr>
            <w:tcW w:w="540" w:type="dxa"/>
            <w:vAlign w:val="bottom"/>
            <w:tcBorders>
              <w:bottom w:val="single" w:sz="8" w:color="CFF0FC"/>
            </w:tcBorders>
            <w:shd w:val="clear" w:color="auto" w:fill="CFF0FC"/>
          </w:tcPr>
          <w:p>
            <w:pPr>
              <w:jc w:val="right"/>
              <w:ind w:right="37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1,100</w:t>
            </w: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1,158</w:t>
            </w:r>
          </w:p>
        </w:tc>
      </w:tr>
      <w:tr>
        <w:trPr>
          <w:trHeight w:val="210"/>
        </w:trPr>
        <w:tc>
          <w:tcPr>
            <w:tcW w:w="5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Work-in-process - cannabis in cures and final vault</w:t>
            </w:r>
          </w:p>
        </w:tc>
        <w:tc>
          <w:tcPr>
            <w:tcW w:w="5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63,785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86,396</w:t>
            </w:r>
          </w:p>
        </w:tc>
      </w:tr>
      <w:tr>
        <w:trPr>
          <w:trHeight w:val="33"/>
        </w:trPr>
        <w:tc>
          <w:tcPr>
            <w:tcW w:w="5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43"/>
        </w:trPr>
        <w:tc>
          <w:tcPr>
            <w:tcW w:w="5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Finished goods - dried cannabis, concentrate and edible products</w:t>
            </w:r>
          </w:p>
        </w:tc>
        <w:tc>
          <w:tcPr>
            <w:tcW w:w="54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24,832</w:t>
            </w:r>
          </w:p>
        </w:tc>
        <w:tc>
          <w:tcPr>
            <w:tcW w:w="1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24,079</w:t>
            </w:r>
          </w:p>
        </w:tc>
      </w:tr>
      <w:tr>
        <w:trPr>
          <w:trHeight w:val="233"/>
        </w:trPr>
        <w:tc>
          <w:tcPr>
            <w:tcW w:w="56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inventory</w:t>
            </w:r>
          </w:p>
        </w:tc>
        <w:tc>
          <w:tcPr>
            <w:tcW w:w="540" w:type="dxa"/>
            <w:vAlign w:val="bottom"/>
            <w:tcBorders>
              <w:top w:val="single" w:sz="8" w:color="auto"/>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89,717</w:t>
            </w: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111,633</w:t>
            </w:r>
          </w:p>
        </w:tc>
      </w:tr>
      <w:tr>
        <w:trPr>
          <w:trHeight w:val="24"/>
        </w:trPr>
        <w:tc>
          <w:tcPr>
            <w:tcW w:w="566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bl>
    <w:p>
      <w:pPr>
        <w:spacing w:after="0" w:line="225" w:lineRule="exact"/>
        <w:rPr>
          <w:sz w:val="20"/>
          <w:szCs w:val="20"/>
          <w:color w:val="auto"/>
        </w:rPr>
      </w:pPr>
    </w:p>
    <w:p>
      <w:pPr>
        <w:jc w:val="both"/>
        <w:ind w:left="820"/>
        <w:spacing w:after="0" w:line="261" w:lineRule="auto"/>
        <w:rPr>
          <w:sz w:val="20"/>
          <w:szCs w:val="20"/>
          <w:color w:val="auto"/>
        </w:rPr>
      </w:pPr>
      <w:r>
        <w:rPr>
          <w:rFonts w:ascii="Times New Roman" w:cs="Times New Roman" w:eastAsia="Times New Roman" w:hAnsi="Times New Roman"/>
          <w:sz w:val="18"/>
          <w:szCs w:val="18"/>
          <w:color w:val="auto"/>
        </w:rPr>
        <w:t>The inventory values are net of inventory write-downs as a result of obsolescence or unmarketability charged to cost of sales. As a result of certain restructuring efforts, there were write-downs of $30 and $5,671, respectively, during the three and nine months ended September 30, 2024. As a result of certain restructuring efforts, there were write-downs of $7,489 and $8,126, respectively, during the three and nine months ended September 30, 2023.</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820" w:hanging="812"/>
        <w:spacing w:after="0"/>
        <w:tabs>
          <w:tab w:leader="none" w:pos="82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CURRENT AND LONG-TERM DEBT</w:t>
      </w:r>
    </w:p>
    <w:p>
      <w:pPr>
        <w:spacing w:after="0" w:line="161" w:lineRule="exact"/>
        <w:rPr>
          <w:rFonts w:ascii="Times New Roman" w:cs="Times New Roman" w:eastAsia="Times New Roman" w:hAnsi="Times New Roman"/>
          <w:sz w:val="18"/>
          <w:szCs w:val="18"/>
          <w:b w:val="1"/>
          <w:bCs w:val="1"/>
          <w:color w:val="auto"/>
        </w:rPr>
      </w:pPr>
    </w:p>
    <w:p>
      <w:pPr>
        <w:ind w:left="8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Current and long-term obligations, net, are shown in the table below:</w:t>
      </w:r>
    </w:p>
    <w:p>
      <w:pPr>
        <w:spacing w:after="0" w:line="187" w:lineRule="exact"/>
        <w:rPr>
          <w:sz w:val="20"/>
          <w:szCs w:val="20"/>
          <w:color w:val="auto"/>
        </w:rPr>
      </w:pPr>
    </w:p>
    <w:tbl>
      <w:tblPr>
        <w:tblLayout w:type="fixed"/>
        <w:tblInd w:w="1120" w:type="dxa"/>
        <w:tblCellMar>
          <w:top w:w="0" w:type="dxa"/>
          <w:left w:w="0" w:type="dxa"/>
          <w:bottom w:w="0" w:type="dxa"/>
          <w:right w:w="0" w:type="dxa"/>
        </w:tblCellMar>
      </w:tblPr>
      <w:tr>
        <w:trPr>
          <w:trHeight w:val="212"/>
        </w:trPr>
        <w:tc>
          <w:tcPr>
            <w:tcW w:w="36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162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80" w:type="dxa"/>
            <w:vAlign w:val="bottom"/>
          </w:tcPr>
          <w:p>
            <w:pPr>
              <w:spacing w:after="0"/>
              <w:rPr>
                <w:sz w:val="18"/>
                <w:szCs w:val="18"/>
                <w:color w:val="auto"/>
              </w:rPr>
            </w:pP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33"/>
        </w:trPr>
        <w:tc>
          <w:tcPr>
            <w:tcW w:w="360" w:type="dxa"/>
            <w:vAlign w:val="bottom"/>
            <w:tcBorders>
              <w:bottom w:val="single" w:sz="8" w:color="CFF0FC"/>
            </w:tcBorders>
          </w:tcPr>
          <w:p>
            <w:pPr>
              <w:spacing w:after="0"/>
              <w:rPr>
                <w:sz w:val="2"/>
                <w:szCs w:val="2"/>
                <w:color w:val="auto"/>
              </w:rPr>
            </w:pPr>
          </w:p>
        </w:tc>
        <w:tc>
          <w:tcPr>
            <w:tcW w:w="5540" w:type="dxa"/>
            <w:vAlign w:val="bottom"/>
            <w:tcBorders>
              <w:bottom w:val="single" w:sz="8" w:color="CFF0FC"/>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17"/>
        </w:trPr>
        <w:tc>
          <w:tcPr>
            <w:tcW w:w="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2026</w:t>
            </w:r>
          </w:p>
        </w:tc>
        <w:tc>
          <w:tcPr>
            <w:tcW w:w="55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Notes</w:t>
            </w:r>
          </w:p>
        </w:tc>
        <w:tc>
          <w:tcPr>
            <w:tcW w:w="500" w:type="dxa"/>
            <w:vAlign w:val="bottom"/>
            <w:tcBorders>
              <w:bottom w:val="single" w:sz="8" w:color="CFF0FC"/>
            </w:tcBorders>
            <w:shd w:val="clear" w:color="auto" w:fill="CFF0FC"/>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185,000</w:t>
            </w:r>
          </w:p>
        </w:tc>
        <w:tc>
          <w:tcPr>
            <w:tcW w:w="1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185,000</w:t>
            </w:r>
          </w:p>
        </w:tc>
      </w:tr>
      <w:tr>
        <w:trPr>
          <w:trHeight w:val="210"/>
        </w:trPr>
        <w:tc>
          <w:tcPr>
            <w:tcW w:w="59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2024 Notes</w:t>
            </w:r>
          </w:p>
        </w:tc>
        <w:tc>
          <w:tcPr>
            <w:tcW w:w="5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13,228</w:t>
            </w:r>
          </w:p>
        </w:tc>
      </w:tr>
      <w:tr>
        <w:trPr>
          <w:trHeight w:val="33"/>
        </w:trPr>
        <w:tc>
          <w:tcPr>
            <w:tcW w:w="360" w:type="dxa"/>
            <w:vAlign w:val="bottom"/>
          </w:tcPr>
          <w:p>
            <w:pPr>
              <w:spacing w:after="0"/>
              <w:rPr>
                <w:sz w:val="2"/>
                <w:szCs w:val="2"/>
                <w:color w:val="auto"/>
              </w:rPr>
            </w:pPr>
          </w:p>
        </w:tc>
        <w:tc>
          <w:tcPr>
            <w:tcW w:w="55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23"/>
        </w:trPr>
        <w:tc>
          <w:tcPr>
            <w:tcW w:w="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2027</w:t>
            </w:r>
          </w:p>
        </w:tc>
        <w:tc>
          <w:tcPr>
            <w:tcW w:w="55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Convertible Notes</w:t>
            </w:r>
          </w:p>
        </w:tc>
        <w:tc>
          <w:tcPr>
            <w:tcW w:w="50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25,550</w:t>
            </w:r>
          </w:p>
        </w:tc>
        <w:tc>
          <w:tcPr>
            <w:tcW w:w="10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360" w:type="dxa"/>
            <w:vAlign w:val="bottom"/>
          </w:tcPr>
          <w:p>
            <w:pPr>
              <w:spacing w:after="0"/>
              <w:rPr>
                <w:sz w:val="20"/>
                <w:szCs w:val="20"/>
                <w:color w:val="auto"/>
              </w:rPr>
            </w:pPr>
            <w:r>
              <w:rPr>
                <w:rFonts w:ascii="Times New Roman" w:cs="Times New Roman" w:eastAsia="Times New Roman" w:hAnsi="Times New Roman"/>
                <w:sz w:val="16"/>
                <w:szCs w:val="16"/>
                <w:color w:val="auto"/>
              </w:rPr>
              <w:t>2025</w:t>
            </w:r>
          </w:p>
        </w:tc>
        <w:tc>
          <w:tcPr>
            <w:tcW w:w="5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Convertible Notes</w:t>
            </w: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59,500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74,500</w:t>
            </w:r>
          </w:p>
        </w:tc>
      </w:tr>
      <w:tr>
        <w:trPr>
          <w:trHeight w:val="33"/>
        </w:trPr>
        <w:tc>
          <w:tcPr>
            <w:tcW w:w="590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23"/>
        </w:trPr>
        <w:tc>
          <w:tcPr>
            <w:tcW w:w="590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Mortgage Note</w:t>
            </w:r>
          </w:p>
        </w:tc>
        <w:tc>
          <w:tcPr>
            <w:tcW w:w="50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43,082</w:t>
            </w:r>
          </w:p>
        </w:tc>
        <w:tc>
          <w:tcPr>
            <w:tcW w:w="10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43,500</w:t>
            </w:r>
          </w:p>
        </w:tc>
      </w:tr>
      <w:tr>
        <w:trPr>
          <w:trHeight w:val="210"/>
        </w:trPr>
        <w:tc>
          <w:tcPr>
            <w:tcW w:w="59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Acquisition related promissory notes</w:t>
            </w: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w:t>
            </w:r>
          </w:p>
        </w:tc>
      </w:tr>
      <w:tr>
        <w:trPr>
          <w:trHeight w:val="33"/>
        </w:trPr>
        <w:tc>
          <w:tcPr>
            <w:tcW w:w="360" w:type="dxa"/>
            <w:vAlign w:val="bottom"/>
            <w:tcBorders>
              <w:bottom w:val="single" w:sz="8" w:color="CFF0FC"/>
            </w:tcBorders>
          </w:tcPr>
          <w:p>
            <w:pPr>
              <w:spacing w:after="0"/>
              <w:rPr>
                <w:sz w:val="2"/>
                <w:szCs w:val="2"/>
                <w:color w:val="auto"/>
              </w:rPr>
            </w:pPr>
          </w:p>
        </w:tc>
        <w:tc>
          <w:tcPr>
            <w:tcW w:w="5540" w:type="dxa"/>
            <w:vAlign w:val="bottom"/>
            <w:tcBorders>
              <w:bottom w:val="single" w:sz="8" w:color="CFF0FC"/>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17"/>
        </w:trPr>
        <w:tc>
          <w:tcPr>
            <w:tcW w:w="360" w:type="dxa"/>
            <w:vAlign w:val="bottom"/>
            <w:tcBorders>
              <w:bottom w:val="single" w:sz="8" w:color="CFF0FC"/>
            </w:tcBorders>
            <w:shd w:val="clear" w:color="auto" w:fill="CFF0FC"/>
          </w:tcPr>
          <w:p>
            <w:pPr>
              <w:spacing w:after="0"/>
              <w:rPr>
                <w:sz w:val="18"/>
                <w:szCs w:val="18"/>
                <w:color w:val="auto"/>
              </w:rPr>
            </w:pPr>
          </w:p>
        </w:tc>
        <w:tc>
          <w:tcPr>
            <w:tcW w:w="554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313,513</w:t>
            </w:r>
          </w:p>
        </w:tc>
        <w:tc>
          <w:tcPr>
            <w:tcW w:w="1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317,728</w:t>
            </w:r>
          </w:p>
        </w:tc>
      </w:tr>
      <w:tr>
        <w:trPr>
          <w:trHeight w:val="210"/>
        </w:trPr>
        <w:tc>
          <w:tcPr>
            <w:tcW w:w="59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Unamortized debt discount</w:t>
            </w: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(7,734)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(6,598)</w:t>
            </w:r>
          </w:p>
        </w:tc>
      </w:tr>
      <w:tr>
        <w:trPr>
          <w:trHeight w:val="33"/>
        </w:trPr>
        <w:tc>
          <w:tcPr>
            <w:tcW w:w="590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43"/>
        </w:trPr>
        <w:tc>
          <w:tcPr>
            <w:tcW w:w="590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Unamortized deferred financing costs</w:t>
            </w:r>
          </w:p>
        </w:tc>
        <w:tc>
          <w:tcPr>
            <w:tcW w:w="50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(5,769)</w:t>
            </w:r>
          </w:p>
        </w:tc>
        <w:tc>
          <w:tcPr>
            <w:tcW w:w="10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(7,747)</w:t>
            </w:r>
          </w:p>
        </w:tc>
      </w:tr>
      <w:tr>
        <w:trPr>
          <w:trHeight w:val="204"/>
        </w:trPr>
        <w:tc>
          <w:tcPr>
            <w:tcW w:w="59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Total debt, net</w:t>
            </w:r>
          </w:p>
        </w:tc>
        <w:tc>
          <w:tcPr>
            <w:tcW w:w="5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300,010</w:t>
            </w:r>
          </w:p>
        </w:tc>
        <w:tc>
          <w:tcPr>
            <w:tcW w:w="1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303,383</w:t>
            </w:r>
          </w:p>
        </w:tc>
      </w:tr>
      <w:tr>
        <w:trPr>
          <w:trHeight w:val="33"/>
        </w:trPr>
        <w:tc>
          <w:tcPr>
            <w:tcW w:w="590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43"/>
        </w:trPr>
        <w:tc>
          <w:tcPr>
            <w:tcW w:w="590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Less current portion, net*</w:t>
            </w:r>
          </w:p>
        </w:tc>
        <w:tc>
          <w:tcPr>
            <w:tcW w:w="50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(51,447)</w:t>
            </w:r>
          </w:p>
        </w:tc>
        <w:tc>
          <w:tcPr>
            <w:tcW w:w="10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(5,905)</w:t>
            </w:r>
          </w:p>
        </w:tc>
      </w:tr>
      <w:tr>
        <w:trPr>
          <w:trHeight w:val="204"/>
        </w:trPr>
        <w:tc>
          <w:tcPr>
            <w:tcW w:w="59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Long-term portion</w:t>
            </w:r>
          </w:p>
        </w:tc>
        <w:tc>
          <w:tcPr>
            <w:tcW w:w="500" w:type="dxa"/>
            <w:vAlign w:val="bottom"/>
            <w:tcBorders>
              <w:top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248,563</w:t>
            </w:r>
          </w:p>
        </w:tc>
        <w:tc>
          <w:tcPr>
            <w:tcW w:w="100" w:type="dxa"/>
            <w:vAlign w:val="bottom"/>
          </w:tcPr>
          <w:p>
            <w:pPr>
              <w:spacing w:after="0"/>
              <w:rPr>
                <w:sz w:val="17"/>
                <w:szCs w:val="17"/>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297,478</w:t>
            </w:r>
          </w:p>
        </w:tc>
      </w:tr>
      <w:tr>
        <w:trPr>
          <w:trHeight w:val="33"/>
        </w:trPr>
        <w:tc>
          <w:tcPr>
            <w:tcW w:w="360" w:type="dxa"/>
            <w:vAlign w:val="bottom"/>
          </w:tcPr>
          <w:p>
            <w:pPr>
              <w:spacing w:after="0"/>
              <w:rPr>
                <w:sz w:val="2"/>
                <w:szCs w:val="2"/>
                <w:color w:val="auto"/>
              </w:rPr>
            </w:pPr>
          </w:p>
        </w:tc>
        <w:tc>
          <w:tcPr>
            <w:tcW w:w="55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1"/>
        </w:trPr>
        <w:tc>
          <w:tcPr>
            <w:tcW w:w="36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900" w:right="20" w:hanging="103"/>
        <w:spacing w:after="0" w:line="282" w:lineRule="auto"/>
        <w:rPr>
          <w:sz w:val="20"/>
          <w:szCs w:val="20"/>
          <w:color w:val="auto"/>
        </w:rPr>
      </w:pPr>
      <w:r>
        <w:rPr>
          <w:rFonts w:ascii="Times New Roman" w:cs="Times New Roman" w:eastAsia="Times New Roman" w:hAnsi="Times New Roman"/>
          <w:sz w:val="18"/>
          <w:szCs w:val="18"/>
          <w:color w:val="auto"/>
        </w:rPr>
        <w:t>*The current portion of the debt includes scheduled payments on the mortgage notes, acquisition related promissory notes and acquisition related notes payable, net of corresponding portions of the unamortized debt discount and unamortized deferred financing costs.</w:t>
      </w:r>
    </w:p>
    <w:p>
      <w:pPr>
        <w:spacing w:after="0" w:line="81" w:lineRule="exact"/>
        <w:rPr>
          <w:sz w:val="20"/>
          <w:szCs w:val="20"/>
          <w:color w:val="auto"/>
        </w:rPr>
      </w:pPr>
    </w:p>
    <w:p>
      <w:pPr>
        <w:jc w:val="both"/>
        <w:ind w:left="820"/>
        <w:spacing w:after="0" w:line="282" w:lineRule="auto"/>
        <w:rPr>
          <w:sz w:val="20"/>
          <w:szCs w:val="20"/>
          <w:color w:val="auto"/>
        </w:rPr>
      </w:pPr>
      <w:r>
        <w:rPr>
          <w:rFonts w:ascii="Times New Roman" w:cs="Times New Roman" w:eastAsia="Times New Roman" w:hAnsi="Times New Roman"/>
          <w:sz w:val="18"/>
          <w:szCs w:val="18"/>
          <w:color w:val="auto"/>
        </w:rPr>
        <w:t>The Company was in compliance with all financial covenants and was not in default of any provisions under any of its debt arrangements as of September 30, 2024.</w:t>
      </w:r>
    </w:p>
    <w:p>
      <w:pPr>
        <w:spacing w:after="0" w:line="9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i w:val="1"/>
          <w:iCs w:val="1"/>
          <w:color w:val="auto"/>
        </w:rPr>
        <w:t>2026 Notes</w:t>
      </w:r>
    </w:p>
    <w:p>
      <w:pPr>
        <w:spacing w:after="0" w:line="160" w:lineRule="exact"/>
        <w:rPr>
          <w:sz w:val="20"/>
          <w:szCs w:val="20"/>
          <w:color w:val="auto"/>
        </w:rPr>
      </w:pPr>
    </w:p>
    <w:p>
      <w:pPr>
        <w:jc w:val="both"/>
        <w:ind w:left="820"/>
        <w:spacing w:after="0" w:line="254" w:lineRule="auto"/>
        <w:rPr>
          <w:sz w:val="20"/>
          <w:szCs w:val="20"/>
          <w:color w:val="auto"/>
        </w:rPr>
      </w:pPr>
      <w:r>
        <w:rPr>
          <w:rFonts w:ascii="Times New Roman" w:cs="Times New Roman" w:eastAsia="Times New Roman" w:hAnsi="Times New Roman"/>
          <w:sz w:val="18"/>
          <w:szCs w:val="18"/>
          <w:color w:val="auto"/>
        </w:rPr>
        <w:t>On February 3, 2022, the Company closed a private placement (the “February 2022 Private Placement”) of $185,000 aggregate principal amount of 9.50% senior-secured first-lien notes due 2026 (the “2026 Notes”) and received aggregate gross proceeds of $153,250. The 2026 Notes are senior secured obligations of the Company and were issued at 100.0% of face value. The 2026 Notes accrue interest in arrears which is payable semi-annually and mature on February 3, 2026, unless earlier redeemed or repurchased. The Company may redeem the 2026 Notes at par, in whole or in part, on or after February 3, 2024, as more particularly described in the fourth supplemental trust indenture governing the 2026 Notes. In connection with the offering of the 2026 Notes, the Company exchanged $31,750 of the Company’s existing 13.0% senior secured first-lien notes (the “13.0% Term Debt”), pursuant to private agreements in accordance with the trust indenture, for an equivalent amount of 2026 Notes plus accrued but unpaid interest and any negotiated premium thereon.</w:t>
      </w:r>
    </w:p>
    <w:p>
      <w:pPr>
        <w:spacing w:after="0" w:line="111" w:lineRule="exact"/>
        <w:rPr>
          <w:sz w:val="20"/>
          <w:szCs w:val="20"/>
          <w:color w:val="auto"/>
        </w:rPr>
      </w:pPr>
    </w:p>
    <w:p>
      <w:pPr>
        <w:jc w:val="both"/>
        <w:ind w:left="820"/>
        <w:spacing w:after="0" w:line="258" w:lineRule="auto"/>
        <w:rPr>
          <w:sz w:val="20"/>
          <w:szCs w:val="20"/>
          <w:color w:val="auto"/>
        </w:rPr>
      </w:pPr>
      <w:r>
        <w:rPr>
          <w:rFonts w:ascii="Times New Roman" w:cs="Times New Roman" w:eastAsia="Times New Roman" w:hAnsi="Times New Roman"/>
          <w:sz w:val="18"/>
          <w:szCs w:val="18"/>
          <w:color w:val="auto"/>
        </w:rPr>
        <w:t>The premium and paid interest were paid out of funds raised from the February 2022 Private Placement. The total unamortized debt and debt issuance costs of $2,153, related to the modified portion of the 13.0% Term Debt, will be amortized over the term of the 2026 Notes using the effective interest method. The Company incurred $7,189 in creditor fees in connection with the modified 13.0% Term Debt and 2026 Notes and $301 in third-party legal fees related to 2026 Notes which were capitalized and will be amortized over the term of the 2026 Notes using the effective interest rate method.</w:t>
      </w:r>
    </w:p>
    <w:p>
      <w:pPr>
        <w:spacing w:after="0" w:line="114"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i w:val="1"/>
          <w:iCs w:val="1"/>
          <w:color w:val="auto"/>
        </w:rPr>
        <w:t>2024 Notes</w:t>
      </w:r>
    </w:p>
    <w:p>
      <w:pPr>
        <w:spacing w:after="0" w:line="160" w:lineRule="exact"/>
        <w:rPr>
          <w:sz w:val="20"/>
          <w:szCs w:val="20"/>
          <w:color w:val="auto"/>
        </w:rPr>
      </w:pPr>
    </w:p>
    <w:p>
      <w:pPr>
        <w:jc w:val="both"/>
        <w:ind w:left="820"/>
        <w:spacing w:after="0" w:line="266" w:lineRule="auto"/>
        <w:rPr>
          <w:sz w:val="20"/>
          <w:szCs w:val="20"/>
          <w:color w:val="auto"/>
        </w:rPr>
      </w:pPr>
      <w:r>
        <w:rPr>
          <w:rFonts w:ascii="Times New Roman" w:cs="Times New Roman" w:eastAsia="Times New Roman" w:hAnsi="Times New Roman"/>
          <w:sz w:val="18"/>
          <w:szCs w:val="18"/>
          <w:color w:val="auto"/>
        </w:rPr>
        <w:t>As further described in Note 4 under the sub-heading “Term debt” of the Financial Statements incorporated by reference in the Company’s Form 10-K for the year ended December 31, 2023, on October 23, 2023, the Company retired $25 million of its 13% Notes due May 2024 (the “2024 Notes”) through a proportional redemption process.</w:t>
      </w:r>
    </w:p>
    <w:p>
      <w:pPr>
        <w:spacing w:after="0" w:line="95" w:lineRule="exact"/>
        <w:rPr>
          <w:sz w:val="20"/>
          <w:szCs w:val="20"/>
          <w:color w:val="auto"/>
        </w:rPr>
      </w:pPr>
    </w:p>
    <w:p>
      <w:pPr>
        <w:jc w:val="both"/>
        <w:ind w:left="820"/>
        <w:spacing w:after="0" w:line="282" w:lineRule="auto"/>
        <w:rPr>
          <w:sz w:val="20"/>
          <w:szCs w:val="20"/>
          <w:color w:val="auto"/>
        </w:rPr>
      </w:pPr>
      <w:r>
        <w:rPr>
          <w:rFonts w:ascii="Times New Roman" w:cs="Times New Roman" w:eastAsia="Times New Roman" w:hAnsi="Times New Roman"/>
          <w:sz w:val="18"/>
          <w:szCs w:val="18"/>
          <w:color w:val="auto"/>
        </w:rPr>
        <w:t>The 2024 Notes were paid in full on May 14, 2024. The Company incurred financing costs of $3,373 in connection with the issuance of these 2024 Notes.</w:t>
      </w:r>
    </w:p>
    <w:p>
      <w:pPr>
        <w:spacing w:after="0" w:line="9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i w:val="1"/>
          <w:iCs w:val="1"/>
          <w:color w:val="auto"/>
        </w:rPr>
        <w:t>2027 Convertible Notes</w:t>
      </w:r>
    </w:p>
    <w:p>
      <w:pPr>
        <w:spacing w:after="0" w:line="160" w:lineRule="exact"/>
        <w:rPr>
          <w:sz w:val="20"/>
          <w:szCs w:val="20"/>
          <w:color w:val="auto"/>
        </w:rPr>
      </w:pPr>
    </w:p>
    <w:p>
      <w:pPr>
        <w:jc w:val="both"/>
        <w:ind w:left="820"/>
        <w:spacing w:after="0" w:line="282" w:lineRule="auto"/>
        <w:rPr>
          <w:sz w:val="20"/>
          <w:szCs w:val="20"/>
          <w:color w:val="auto"/>
        </w:rPr>
      </w:pPr>
      <w:r>
        <w:rPr>
          <w:rFonts w:ascii="Times New Roman" w:cs="Times New Roman" w:eastAsia="Times New Roman" w:hAnsi="Times New Roman"/>
          <w:sz w:val="18"/>
          <w:szCs w:val="18"/>
          <w:color w:val="auto"/>
        </w:rPr>
        <w:t>On March 19, 2024, the Company closed a private placement (the “March 2024 Private Placement”) of $25,750 aggregate principal amount of 9.0% senior-secured first-lien notes due 2027 (the “2027 Notes”) and received</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820"/>
        <w:spacing w:after="0" w:line="261" w:lineRule="auto"/>
        <w:rPr>
          <w:sz w:val="20"/>
          <w:szCs w:val="20"/>
          <w:color w:val="auto"/>
        </w:rPr>
      </w:pPr>
      <w:r>
        <w:rPr>
          <w:rFonts w:ascii="Times New Roman" w:cs="Times New Roman" w:eastAsia="Times New Roman" w:hAnsi="Times New Roman"/>
          <w:sz w:val="18"/>
          <w:szCs w:val="18"/>
          <w:color w:val="auto"/>
        </w:rPr>
        <w:t>aggregate gross proceeds of $15,600. The 2027 Notes are senior secured obligations of the Company and were issued at 80.0% of face value. The 2027 Notes accrue interest in arrears which is payable semi-annually and mature on March 19, 2027. In connection with the offering of the 2027 Notes, the Company exchanged $5,000 of the Company’s existing 6.0% 2025 Convertible Notes. Through September 30, 2024, 655,736 shares were issued to convert $200 principal.</w:t>
      </w:r>
    </w:p>
    <w:p>
      <w:pPr>
        <w:spacing w:after="0" w:line="99" w:lineRule="exact"/>
        <w:rPr>
          <w:sz w:val="20"/>
          <w:szCs w:val="20"/>
          <w:color w:val="auto"/>
        </w:rPr>
      </w:pPr>
    </w:p>
    <w:p>
      <w:pPr>
        <w:jc w:val="both"/>
        <w:ind w:left="820"/>
        <w:spacing w:after="0" w:line="254" w:lineRule="auto"/>
        <w:rPr>
          <w:sz w:val="20"/>
          <w:szCs w:val="20"/>
          <w:color w:val="auto"/>
        </w:rPr>
      </w:pPr>
      <w:r>
        <w:rPr>
          <w:rFonts w:ascii="Times New Roman" w:cs="Times New Roman" w:eastAsia="Times New Roman" w:hAnsi="Times New Roman"/>
          <w:sz w:val="18"/>
          <w:szCs w:val="18"/>
          <w:color w:val="auto"/>
        </w:rPr>
        <w:t>The principal amount of the 2027 Convertible Notes and the conversion price are denominated in U.S. dollars. As the functional currency of the Company is Canadian dollars, the amount of the liability to be settled depends on the applicable foreign exchange rate on the date of settlement. The 2027 Convertible Notes therefore represent an obligation to issue a fixed number of shares for a variable amount of liability. Due to this conversion feature within the 2027 Convertible Notes, the Company is unable to obtain an exception from derivative accounting. Accordingly, this conversion feature was accounted for as an embedded derivative liability and measured at fair value of $2,632 on the date of issuance of debt with a corresponding debt discount and debt issuance costs of $5,952, reflected as a reduction to the carrying value of the 2027 Notes. The Company fair values the derivative liability at each balance sheet date. Changes in fair value of the embedded derivative are recognized in the condensed consolidated statements of operations and comprehensive loss. The debt premium and debt issuance costs is amortized over the term of the 2027 Notes.</w:t>
      </w:r>
    </w:p>
    <w:p>
      <w:pPr>
        <w:spacing w:after="0" w:line="11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i w:val="1"/>
          <w:iCs w:val="1"/>
          <w:color w:val="auto"/>
        </w:rPr>
        <w:t>2025 Convertible Notes</w:t>
      </w:r>
    </w:p>
    <w:p>
      <w:pPr>
        <w:spacing w:after="0" w:line="160" w:lineRule="exact"/>
        <w:rPr>
          <w:sz w:val="20"/>
          <w:szCs w:val="20"/>
          <w:color w:val="auto"/>
        </w:rPr>
      </w:pPr>
    </w:p>
    <w:p>
      <w:pPr>
        <w:jc w:val="both"/>
        <w:ind w:left="820"/>
        <w:spacing w:after="0" w:line="253" w:lineRule="auto"/>
        <w:rPr>
          <w:sz w:val="20"/>
          <w:szCs w:val="20"/>
          <w:color w:val="auto"/>
        </w:rPr>
      </w:pPr>
      <w:r>
        <w:rPr>
          <w:rFonts w:ascii="Times New Roman" w:cs="Times New Roman" w:eastAsia="Times New Roman" w:hAnsi="Times New Roman"/>
          <w:sz w:val="18"/>
          <w:szCs w:val="18"/>
          <w:color w:val="auto"/>
        </w:rPr>
        <w:t>On June 29, 2021, the Company completed an offering of 6.0% Secured Convertible Notes Due 2025 (“2025 Convertible Notes”) for an aggregate principal amount of $74,500. The 2025 Convertible Notes are senior secured obligations of the Company and will accrue interest payable semiannually in arrears and mature on June 29, 2025, unless earlier converted, redeemed, or repurchased. The 2025 Convertible Notes shall be convertible, at the option of the holder, from the date of issuance until the date that is 10 days prior to their maturity date into Common Shares of the Company at a conversion price equal to $6.49 payable on the business day prior to the date of conversion, adjusted downwards for any cash dividends paid to holders of Common Shares and other customary adjustments. The Company may redeem the 2025 Convertible Notes at par, in whole or in part, on or after June 29, 2023, if the volume weighted average price of the Common Shares trading on the Canadian Stock Exchange or Cboe Canada for 15 of the 30 trading days immediately preceding the day on which the Company exercises its redemption right, exceeds 120.0% of the conversion price of the 2025 Convertible Notes at a Redemption Price equal to 100.0% of the principal amount of the 2025 Convertible Notes redeemed, plus accrued but unpaid interest, if any, up to but excluding the Redemption Date.</w:t>
      </w:r>
    </w:p>
    <w:p>
      <w:pPr>
        <w:spacing w:after="0" w:line="113" w:lineRule="exact"/>
        <w:rPr>
          <w:sz w:val="20"/>
          <w:szCs w:val="20"/>
          <w:color w:val="auto"/>
        </w:rPr>
      </w:pPr>
    </w:p>
    <w:p>
      <w:pPr>
        <w:jc w:val="both"/>
        <w:ind w:left="820"/>
        <w:spacing w:after="0" w:line="253" w:lineRule="auto"/>
        <w:rPr>
          <w:sz w:val="20"/>
          <w:szCs w:val="20"/>
          <w:color w:val="auto"/>
        </w:rPr>
      </w:pPr>
      <w:r>
        <w:rPr>
          <w:rFonts w:ascii="Times New Roman" w:cs="Times New Roman" w:eastAsia="Times New Roman" w:hAnsi="Times New Roman"/>
          <w:sz w:val="18"/>
          <w:szCs w:val="18"/>
          <w:color w:val="auto"/>
        </w:rPr>
        <w:t>The 2025 Convertible Notes require interest-only payments until June 29, 2025, at a rate of 6.0% per annum, payable semi-annually in June and December and commencing in December 2021. The 2025 Convertible Notes are due in full on June 29, 2025. The Company incurred financing costs of $3,190 in connection with the 2025 Convertible Notes. The principal amount of the 2025 Convertible Notes and the conversion price are denominated in U.S. dollars. As the functional currency of the Company is Canadian dollars, the amount of the liability to be settled depends on the applicable foreign exchange rate on the date of settlement. The 2025 Convertible Notes therefore represent an obligation to issue a fixed number of shares for a variable amount of liability. Due to this conversion feature within the 2025 Convertible Notes, the Company is unable to obtain an exception from derivative accounting. Accordingly, this conversion feature was accounted for as an embedded derivative liability and measured at fair value of $15,099 on the date of issuance of debt with a corresponding debt discount, reflected as a reduction to the carrying value of the 2025 Convertible Notes. The Company fair values the derivative liability at each balance sheet date. Changes in fair value of the embedded derivative are recognized in the consolidated statements of operations and comprehensive loss. The debt discount is amortized over the term of the 2025 Convertible Notes.</w:t>
      </w:r>
    </w:p>
    <w:p>
      <w:pPr>
        <w:spacing w:after="0" w:line="12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i w:val="1"/>
          <w:iCs w:val="1"/>
          <w:color w:val="auto"/>
        </w:rPr>
        <w:t>January 2024 Debt Exchange</w:t>
      </w:r>
    </w:p>
    <w:p>
      <w:pPr>
        <w:spacing w:after="0" w:line="18" w:lineRule="exact"/>
        <w:rPr>
          <w:sz w:val="20"/>
          <w:szCs w:val="20"/>
          <w:color w:val="auto"/>
        </w:rPr>
      </w:pPr>
    </w:p>
    <w:p>
      <w:pPr>
        <w:jc w:val="both"/>
        <w:ind w:left="820" w:right="100"/>
        <w:spacing w:after="0" w:line="239" w:lineRule="auto"/>
        <w:rPr>
          <w:sz w:val="20"/>
          <w:szCs w:val="20"/>
          <w:color w:val="auto"/>
        </w:rPr>
      </w:pPr>
      <w:r>
        <w:rPr>
          <w:rFonts w:ascii="Times New Roman" w:cs="Times New Roman" w:eastAsia="Times New Roman" w:hAnsi="Times New Roman"/>
          <w:sz w:val="18"/>
          <w:szCs w:val="18"/>
          <w:color w:val="auto"/>
        </w:rPr>
        <w:t>On January 22, 2024, the Company entered into the Exchange Agreement, as amended on June 30, 2024 and September 30, 2024, with certain Holders of the Company’s 6.0% senior secured 2025 Convertible Notes, pursuant to which the Company agreed to the Repurchase of up to $25 million principal amount of the 2025 Convertible Notes in exchange for Common Shares (the “January 2024 Debt Exchange”).</w:t>
      </w:r>
    </w:p>
    <w:p>
      <w:pPr>
        <w:spacing w:after="0" w:line="11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Pursuant to the terms of the Exchange Agreement, the Holders shall:</w:t>
      </w:r>
    </w:p>
    <w:p>
      <w:pPr>
        <w:spacing w:after="0" w:line="158" w:lineRule="exact"/>
        <w:rPr>
          <w:sz w:val="20"/>
          <w:szCs w:val="20"/>
          <w:color w:val="auto"/>
        </w:rPr>
      </w:pPr>
    </w:p>
    <w:p>
      <w:pPr>
        <w:jc w:val="both"/>
        <w:ind w:left="2280" w:hanging="1157"/>
        <w:spacing w:after="0" w:line="266" w:lineRule="auto"/>
        <w:tabs>
          <w:tab w:leader="none" w:pos="226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January 31, 2024, transfer $5 million principal amount of Notes in consideration of Common Shares issued at a price per Common Share equal to the greater of C$0.41 per Common Share and the 12.5% discount to the 5 days volume weighted average price of the Common Shares on Cboe prior to receipt of a Transfer notice;</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2280" w:hanging="1157"/>
        <w:spacing w:after="0" w:line="266" w:lineRule="auto"/>
        <w:tabs>
          <w:tab w:leader="none" w:pos="226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that the five-day volume weighted average price of the Common Shares on the Exchange is greater than C$0.47 as of the close of trading at 4:01pm on January 31, 2024, transfer $5 million principal amount of 2025 Convertible Notes in consideration of Common Shares issued at the Initial Exchange Price on or prior to February 29, 2024; and</w:t>
      </w:r>
    </w:p>
    <w:p>
      <w:pPr>
        <w:spacing w:after="0" w:line="94" w:lineRule="exact"/>
        <w:rPr>
          <w:rFonts w:ascii="Times New Roman" w:cs="Times New Roman" w:eastAsia="Times New Roman" w:hAnsi="Times New Roman"/>
          <w:sz w:val="18"/>
          <w:szCs w:val="18"/>
          <w:color w:val="auto"/>
        </w:rPr>
      </w:pPr>
    </w:p>
    <w:p>
      <w:pPr>
        <w:jc w:val="both"/>
        <w:ind w:left="2280" w:hanging="1157"/>
        <w:spacing w:after="0" w:line="254" w:lineRule="auto"/>
        <w:tabs>
          <w:tab w:leader="none" w:pos="226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that the February Exchange is completed and the daily volume weighted average price of the Common Shares on Cboe is greater than C$0.87 for 5 consecutive trading days, provided that, the trading volume of the Common Shares on Cboe was equal to or greater than 600,000 Common Shares on the applicable trading dates, from the period commencing on January 1, 2024 and ending on September 30, 2024, (which date the parties extended to December 31, 2024), transfer in three separate equal tranches, an aggregate of $15 million principal amount of 2025 Convertible Notes in consideration of Common Shares issued at a price per Common Share equal to the greater of C$0.57 per Common Share and the 12.5% discount to the 5 days volume weighted average price of the Common Shares on Cboe prior to receipt of a Transfer notice, in each case, subject to adjustment in certain instances, on or prior to June 30, 2024 (which date the parties extended to December 31, 2024).</w:t>
      </w:r>
    </w:p>
    <w:p>
      <w:pPr>
        <w:spacing w:after="0" w:line="350" w:lineRule="exact"/>
        <w:rPr>
          <w:sz w:val="20"/>
          <w:szCs w:val="20"/>
          <w:color w:val="auto"/>
        </w:rPr>
      </w:pPr>
    </w:p>
    <w:p>
      <w:pPr>
        <w:jc w:val="both"/>
        <w:ind w:left="820"/>
        <w:spacing w:after="0" w:line="242" w:lineRule="auto"/>
        <w:rPr>
          <w:sz w:val="20"/>
          <w:szCs w:val="20"/>
          <w:color w:val="auto"/>
        </w:rPr>
      </w:pPr>
      <w:r>
        <w:rPr>
          <w:rFonts w:ascii="Times New Roman" w:cs="Times New Roman" w:eastAsia="Times New Roman" w:hAnsi="Times New Roman"/>
          <w:sz w:val="18"/>
          <w:szCs w:val="18"/>
          <w:color w:val="auto"/>
        </w:rPr>
        <w:t>In the event the conditions are fulfilled and the Holders fail to Transfer their 2025 Convertible Notes in accordance with the terms of the Exchange Agreement, the Company has the right, but not the obligation, to require the Holders to Transfer some or all of the portion of the $25 million principal amount of 2025 Convertible Notes still held by the Holders. Assuming all of the conditions are fulfilled, and the entire $25 million principal amount of 2025 Convertible Notes are Transferred for Common Shares issued at the minimum prices set out in the Exchange Agreement, a maximum of 68,564,698 Common Shares would be issued in connection with the Repurchase. Through September 30,</w:t>
      </w:r>
    </w:p>
    <w:p>
      <w:pPr>
        <w:spacing w:after="0" w:line="9" w:lineRule="exact"/>
        <w:rPr>
          <w:sz w:val="20"/>
          <w:szCs w:val="20"/>
          <w:color w:val="auto"/>
        </w:rPr>
      </w:pPr>
    </w:p>
    <w:p>
      <w:pPr>
        <w:jc w:val="both"/>
        <w:ind w:left="820"/>
        <w:spacing w:after="0" w:line="266" w:lineRule="auto"/>
        <w:rPr>
          <w:sz w:val="20"/>
          <w:szCs w:val="20"/>
          <w:color w:val="auto"/>
        </w:rPr>
      </w:pPr>
      <w:r>
        <w:rPr>
          <w:rFonts w:ascii="Times New Roman" w:cs="Times New Roman" w:eastAsia="Times New Roman" w:hAnsi="Times New Roman"/>
          <w:sz w:val="18"/>
          <w:szCs w:val="18"/>
          <w:color w:val="auto"/>
        </w:rPr>
        <w:t>2024, $10 million of the potential $25 million exchange has been completed, with $15 million remaining available for exchange, $5 million principal amount of Notes were separately exchanged into the Company 2027 Notes, as described above.</w:t>
      </w:r>
    </w:p>
    <w:p>
      <w:pPr>
        <w:spacing w:after="0" w:line="9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i w:val="1"/>
          <w:iCs w:val="1"/>
          <w:color w:val="auto"/>
        </w:rPr>
        <w:t>Mortgages</w:t>
      </w:r>
    </w:p>
    <w:p>
      <w:pPr>
        <w:spacing w:after="0" w:line="160" w:lineRule="exact"/>
        <w:rPr>
          <w:sz w:val="20"/>
          <w:szCs w:val="20"/>
          <w:color w:val="auto"/>
        </w:rPr>
      </w:pPr>
    </w:p>
    <w:p>
      <w:pPr>
        <w:jc w:val="both"/>
        <w:ind w:left="820"/>
        <w:spacing w:after="0" w:line="261" w:lineRule="auto"/>
        <w:rPr>
          <w:sz w:val="20"/>
          <w:szCs w:val="20"/>
          <w:color w:val="auto"/>
        </w:rPr>
      </w:pPr>
      <w:r>
        <w:rPr>
          <w:rFonts w:ascii="Times New Roman" w:cs="Times New Roman" w:eastAsia="Times New Roman" w:hAnsi="Times New Roman"/>
          <w:sz w:val="18"/>
          <w:szCs w:val="18"/>
          <w:color w:val="auto"/>
        </w:rPr>
        <w:t>In December 2021, the Company entered into a term loan and security agreement with a bank. The agreement provides for a $20,000 mortgage on real property in New York and carries interest at a variable rate per annum equal to the Wall Street Prime Rate (“Index”) plus 2.25%. The debt is repayable in 59 monthly installments and a final balloon payment due on January 1, 2027, which is estimated at $18,133 as of September 30, 2023. In connection with this mortgage, the Company incurred financing costs of $655.</w:t>
      </w:r>
    </w:p>
    <w:p>
      <w:pPr>
        <w:spacing w:after="0" w:line="99" w:lineRule="exact"/>
        <w:rPr>
          <w:sz w:val="20"/>
          <w:szCs w:val="20"/>
          <w:color w:val="auto"/>
        </w:rPr>
      </w:pPr>
    </w:p>
    <w:p>
      <w:pPr>
        <w:jc w:val="both"/>
        <w:ind w:left="820"/>
        <w:spacing w:after="0" w:line="261" w:lineRule="auto"/>
        <w:rPr>
          <w:sz w:val="20"/>
          <w:szCs w:val="20"/>
          <w:color w:val="auto"/>
        </w:rPr>
      </w:pPr>
      <w:r>
        <w:rPr>
          <w:rFonts w:ascii="Times New Roman" w:cs="Times New Roman" w:eastAsia="Times New Roman" w:hAnsi="Times New Roman"/>
          <w:sz w:val="18"/>
          <w:szCs w:val="18"/>
          <w:color w:val="auto"/>
        </w:rPr>
        <w:t>In June 2022, the Company entered into a term loan and security agreement with a bank. The agreement provides for a $16,500 mortgage on real property in New Jersey and carries interest at a variable rate per annum equal to the Index plus 2.25%. The debt is repayable in 59 monthly installments and a final balloon payment due on July 15, 2027, which is estimated at $15,734 as of September 30, 2023. In connection with this mortgage, the Company incurred financing costs of $209.</w:t>
      </w:r>
    </w:p>
    <w:p>
      <w:pPr>
        <w:spacing w:after="0" w:line="11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On August 10, 2023, the Company entered into two term loans and security agreements with a bank as follows:</w:t>
      </w:r>
    </w:p>
    <w:p>
      <w:pPr>
        <w:spacing w:after="0" w:line="158" w:lineRule="exact"/>
        <w:rPr>
          <w:sz w:val="20"/>
          <w:szCs w:val="20"/>
          <w:color w:val="auto"/>
        </w:rPr>
      </w:pPr>
    </w:p>
    <w:p>
      <w:pPr>
        <w:jc w:val="both"/>
        <w:ind w:left="2280" w:hanging="1157"/>
        <w:spacing w:after="0" w:line="261" w:lineRule="auto"/>
        <w:tabs>
          <w:tab w:leader="none" w:pos="226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first agreement provides for a $6,250 mortgage on real property in Maryland and carries interest at a variable rate per annum equal to the Index plus 2.25%. The debt is repayable in 59 monthly installments and matures in August 2028. In connection with this mortgage, the Company incurred financing costs of $195 and netted $2,903 after the repayment of a prior outstanding mortgage on the property.</w:t>
      </w:r>
    </w:p>
    <w:p>
      <w:pPr>
        <w:spacing w:after="0" w:line="98" w:lineRule="exact"/>
        <w:rPr>
          <w:rFonts w:ascii="Times New Roman" w:cs="Times New Roman" w:eastAsia="Times New Roman" w:hAnsi="Times New Roman"/>
          <w:sz w:val="18"/>
          <w:szCs w:val="18"/>
          <w:color w:val="auto"/>
        </w:rPr>
      </w:pPr>
    </w:p>
    <w:p>
      <w:pPr>
        <w:jc w:val="both"/>
        <w:ind w:left="2280" w:hanging="1157"/>
        <w:spacing w:after="0" w:line="266" w:lineRule="auto"/>
        <w:tabs>
          <w:tab w:leader="none" w:pos="226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second agreement provides for a $1,800 mortgage on real property in Delaware and carries interest at a variable rate per annum equal to the Index plus 2.25%. The debt is repayable in 59 monthly installments and matures in August 2028. In connection with this mortgage</w:t>
      </w:r>
      <w:r>
        <w:rPr>
          <w:rFonts w:ascii="Times New Roman" w:cs="Times New Roman" w:eastAsia="Times New Roman" w:hAnsi="Times New Roman"/>
          <w:sz w:val="18"/>
          <w:szCs w:val="18"/>
          <w:color w:val="000000"/>
        </w:rPr>
        <w:t>, the Company incurred financing costs of $77 and netted $1,723.</w:t>
      </w:r>
    </w:p>
    <w:p>
      <w:pPr>
        <w:spacing w:after="0" w:line="108" w:lineRule="exact"/>
        <w:rPr>
          <w:sz w:val="20"/>
          <w:szCs w:val="20"/>
          <w:color w:val="auto"/>
        </w:rPr>
      </w:pPr>
    </w:p>
    <w:p>
      <w:pPr>
        <w:ind w:left="820"/>
        <w:spacing w:after="0" w:line="282" w:lineRule="auto"/>
        <w:rPr>
          <w:sz w:val="20"/>
          <w:szCs w:val="20"/>
          <w:color w:val="auto"/>
        </w:rPr>
      </w:pPr>
      <w:r>
        <w:rPr>
          <w:rFonts w:ascii="Times New Roman" w:cs="Times New Roman" w:eastAsia="Times New Roman" w:hAnsi="Times New Roman"/>
          <w:sz w:val="18"/>
          <w:szCs w:val="18"/>
          <w:color w:val="auto"/>
        </w:rPr>
        <w:t>Total interest and amortization expense on the Company’s debt obligations during the three and nine months ended September 30, 2024 and 2023 are as follows: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1100" w:type="dxa"/>
        <w:tblCellMar>
          <w:top w:w="0" w:type="dxa"/>
          <w:left w:w="0" w:type="dxa"/>
          <w:bottom w:w="0" w:type="dxa"/>
          <w:right w:w="0" w:type="dxa"/>
        </w:tblCellMar>
      </w:tblPr>
      <w:tr>
        <w:trPr>
          <w:trHeight w:val="215"/>
        </w:trPr>
        <w:tc>
          <w:tcPr>
            <w:tcW w:w="28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3"/>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6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3"/>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680" w:type="dxa"/>
            <w:vAlign w:val="bottom"/>
            <w:tcBorders>
              <w:bottom w:val="single" w:sz="8" w:color="auto"/>
            </w:tcBorders>
          </w:tcPr>
          <w:p>
            <w:pPr>
              <w:spacing w:after="0"/>
              <w:rPr>
                <w:sz w:val="18"/>
                <w:szCs w:val="18"/>
                <w:color w:val="auto"/>
              </w:rPr>
            </w:pPr>
          </w:p>
        </w:tc>
      </w:tr>
      <w:tr>
        <w:trPr>
          <w:trHeight w:val="209"/>
        </w:trPr>
        <w:tc>
          <w:tcPr>
            <w:tcW w:w="2820" w:type="dxa"/>
            <w:vAlign w:val="bottom"/>
          </w:tcPr>
          <w:p>
            <w:pPr>
              <w:spacing w:after="0"/>
              <w:rPr>
                <w:sz w:val="18"/>
                <w:szCs w:val="18"/>
                <w:color w:val="auto"/>
              </w:rPr>
            </w:pPr>
          </w:p>
        </w:tc>
        <w:tc>
          <w:tcPr>
            <w:tcW w:w="158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 2023</w:t>
            </w:r>
          </w:p>
        </w:tc>
        <w:tc>
          <w:tcPr>
            <w:tcW w:w="100" w:type="dxa"/>
            <w:vAlign w:val="bottom"/>
          </w:tcPr>
          <w:p>
            <w:pPr>
              <w:spacing w:after="0"/>
              <w:rPr>
                <w:sz w:val="18"/>
                <w:szCs w:val="18"/>
                <w:color w:val="auto"/>
              </w:rPr>
            </w:pPr>
          </w:p>
        </w:tc>
        <w:tc>
          <w:tcPr>
            <w:tcW w:w="158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 2023</w:t>
            </w:r>
          </w:p>
        </w:tc>
      </w:tr>
      <w:tr>
        <w:trPr>
          <w:trHeight w:val="31"/>
        </w:trPr>
        <w:tc>
          <w:tcPr>
            <w:tcW w:w="2820" w:type="dxa"/>
            <w:vAlign w:val="bottom"/>
            <w:tcBorders>
              <w:bottom w:val="single" w:sz="8" w:color="CFF0FC"/>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17"/>
        </w:trPr>
        <w:tc>
          <w:tcPr>
            <w:tcW w:w="2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Interest expense on debt</w:t>
            </w:r>
          </w:p>
        </w:tc>
        <w:tc>
          <w:tcPr>
            <w:tcW w:w="460" w:type="dxa"/>
            <w:vAlign w:val="bottom"/>
            <w:tcBorders>
              <w:bottom w:val="single" w:sz="8" w:color="CFF0FC"/>
            </w:tcBorders>
            <w:shd w:val="clear" w:color="auto" w:fill="CFF0FC"/>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7,595</w:t>
            </w:r>
          </w:p>
        </w:tc>
        <w:tc>
          <w:tcPr>
            <w:tcW w:w="10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CFF0FC"/>
            </w:tcBorders>
            <w:shd w:val="clear" w:color="auto" w:fill="CFF0FC"/>
          </w:tcPr>
          <w:p>
            <w:pPr>
              <w:jc w:val="right"/>
              <w:ind w:right="63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10,713</w:t>
            </w:r>
          </w:p>
        </w:tc>
        <w:tc>
          <w:tcPr>
            <w:tcW w:w="10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CFF0FC"/>
            </w:tcBorders>
            <w:shd w:val="clear" w:color="auto" w:fill="CFF0FC"/>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22,308</w:t>
            </w:r>
          </w:p>
        </w:tc>
        <w:tc>
          <w:tcPr>
            <w:tcW w:w="10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CFF0FC"/>
            </w:tcBorders>
            <w:shd w:val="clear" w:color="auto" w:fill="CFF0FC"/>
          </w:tcPr>
          <w:p>
            <w:pPr>
              <w:jc w:val="right"/>
              <w:ind w:right="6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31,746</w:t>
            </w:r>
          </w:p>
        </w:tc>
      </w:tr>
      <w:tr>
        <w:trPr>
          <w:trHeight w:val="210"/>
        </w:trPr>
        <w:tc>
          <w:tcPr>
            <w:tcW w:w="2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debt discount</w:t>
            </w: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1,509</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1,997</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4,014</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4,648</w:t>
            </w:r>
          </w:p>
        </w:tc>
      </w:tr>
      <w:tr>
        <w:trPr>
          <w:trHeight w:val="33"/>
        </w:trPr>
        <w:tc>
          <w:tcPr>
            <w:tcW w:w="28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23"/>
        </w:trPr>
        <w:tc>
          <w:tcPr>
            <w:tcW w:w="2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46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978</w:t>
            </w:r>
          </w:p>
        </w:tc>
        <w:tc>
          <w:tcPr>
            <w:tcW w:w="10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CFF0FC"/>
            </w:tcBorders>
            <w:shd w:val="clear" w:color="auto" w:fill="CFF0FC"/>
          </w:tcPr>
          <w:p>
            <w:pPr>
              <w:spacing w:after="0"/>
              <w:rPr>
                <w:sz w:val="19"/>
                <w:szCs w:val="19"/>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884</w:t>
            </w:r>
          </w:p>
        </w:tc>
        <w:tc>
          <w:tcPr>
            <w:tcW w:w="10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2,780</w:t>
            </w:r>
          </w:p>
        </w:tc>
        <w:tc>
          <w:tcPr>
            <w:tcW w:w="10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CFF0FC"/>
            </w:tcBorders>
            <w:shd w:val="clear" w:color="auto" w:fill="CFF0FC"/>
          </w:tcPr>
          <w:p>
            <w:pPr>
              <w:spacing w:after="0"/>
              <w:rPr>
                <w:sz w:val="19"/>
                <w:szCs w:val="19"/>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2,718</w:t>
            </w:r>
          </w:p>
        </w:tc>
      </w:tr>
      <w:tr>
        <w:trPr>
          <w:trHeight w:val="210"/>
        </w:trPr>
        <w:tc>
          <w:tcPr>
            <w:tcW w:w="2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interest expense (income), net</w:t>
            </w: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(608)</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w:t>
            </w:r>
          </w:p>
        </w:tc>
      </w:tr>
      <w:tr>
        <w:trPr>
          <w:trHeight w:val="33"/>
        </w:trPr>
        <w:tc>
          <w:tcPr>
            <w:tcW w:w="28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62"/>
        </w:trPr>
        <w:tc>
          <w:tcPr>
            <w:tcW w:w="2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interest expense, net</w:t>
            </w: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9,744</w:t>
            </w: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63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13,471</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28,494</w:t>
            </w: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6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38,770</w:t>
            </w: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-822325</wp:posOffset>
            </wp:positionV>
            <wp:extent cx="603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-822325</wp:posOffset>
            </wp:positionV>
            <wp:extent cx="5969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-822325</wp:posOffset>
            </wp:positionV>
            <wp:extent cx="603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9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The weighted average interest rate on the Company’s indebtedness was 9.02%.</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PROPERTY AND EQUIPMENT</w:t>
      </w:r>
    </w:p>
    <w:p>
      <w:pPr>
        <w:spacing w:after="0" w:line="16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Details of the Company’s property and equipment and related depreciation expense are summarized in the tables below:</w:t>
      </w:r>
    </w:p>
    <w:p>
      <w:pPr>
        <w:spacing w:after="0" w:line="187" w:lineRule="exact"/>
        <w:rPr>
          <w:sz w:val="20"/>
          <w:szCs w:val="20"/>
          <w:color w:val="auto"/>
        </w:rPr>
      </w:pPr>
    </w:p>
    <w:tbl>
      <w:tblPr>
        <w:tblLayout w:type="fixed"/>
        <w:tblInd w:w="1120" w:type="dxa"/>
        <w:tblCellMar>
          <w:top w:w="0" w:type="dxa"/>
          <w:left w:w="0" w:type="dxa"/>
          <w:bottom w:w="0" w:type="dxa"/>
          <w:right w:w="0" w:type="dxa"/>
        </w:tblCellMar>
      </w:tblPr>
      <w:tr>
        <w:trPr>
          <w:trHeight w:val="212"/>
        </w:trPr>
        <w:tc>
          <w:tcPr>
            <w:tcW w:w="5900" w:type="dxa"/>
            <w:vAlign w:val="bottom"/>
          </w:tcPr>
          <w:p>
            <w:pPr>
              <w:spacing w:after="0"/>
              <w:rPr>
                <w:sz w:val="18"/>
                <w:szCs w:val="18"/>
                <w:color w:val="auto"/>
              </w:rPr>
            </w:pPr>
          </w:p>
        </w:tc>
        <w:tc>
          <w:tcPr>
            <w:tcW w:w="162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80" w:type="dxa"/>
            <w:vAlign w:val="bottom"/>
          </w:tcPr>
          <w:p>
            <w:pPr>
              <w:spacing w:after="0"/>
              <w:rPr>
                <w:sz w:val="18"/>
                <w:szCs w:val="18"/>
                <w:color w:val="auto"/>
              </w:rPr>
            </w:pP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33"/>
        </w:trPr>
        <w:tc>
          <w:tcPr>
            <w:tcW w:w="5900" w:type="dxa"/>
            <w:vAlign w:val="bottom"/>
            <w:tcBorders>
              <w:bottom w:val="single" w:sz="8" w:color="CFF0FC"/>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17"/>
        </w:trPr>
        <w:tc>
          <w:tcPr>
            <w:tcW w:w="5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Land and buildings</w:t>
            </w:r>
          </w:p>
        </w:tc>
        <w:tc>
          <w:tcPr>
            <w:tcW w:w="500" w:type="dxa"/>
            <w:vAlign w:val="bottom"/>
            <w:tcBorders>
              <w:bottom w:val="single" w:sz="8" w:color="CFF0FC"/>
            </w:tcBorders>
            <w:shd w:val="clear" w:color="auto" w:fill="CFF0FC"/>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115,277</w:t>
            </w:r>
          </w:p>
        </w:tc>
        <w:tc>
          <w:tcPr>
            <w:tcW w:w="1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115,277</w:t>
            </w:r>
          </w:p>
        </w:tc>
      </w:tr>
      <w:tr>
        <w:trPr>
          <w:trHeight w:val="210"/>
        </w:trPr>
        <w:tc>
          <w:tcPr>
            <w:tcW w:w="5900" w:type="dxa"/>
            <w:vAlign w:val="bottom"/>
          </w:tcPr>
          <w:p>
            <w:pPr>
              <w:spacing w:after="0"/>
              <w:rPr>
                <w:sz w:val="20"/>
                <w:szCs w:val="20"/>
                <w:color w:val="auto"/>
              </w:rPr>
            </w:pPr>
            <w:r>
              <w:rPr>
                <w:rFonts w:ascii="Times New Roman" w:cs="Times New Roman" w:eastAsia="Times New Roman" w:hAnsi="Times New Roman"/>
                <w:sz w:val="16"/>
                <w:szCs w:val="16"/>
                <w:color w:val="auto"/>
              </w:rPr>
              <w:t>Furniture and fixtures</w:t>
            </w: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7,078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10,981</w:t>
            </w:r>
          </w:p>
        </w:tc>
      </w:tr>
      <w:tr>
        <w:trPr>
          <w:trHeight w:val="33"/>
        </w:trPr>
        <w:tc>
          <w:tcPr>
            <w:tcW w:w="5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23"/>
        </w:trPr>
        <w:tc>
          <w:tcPr>
            <w:tcW w:w="5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Equipment</w:t>
            </w:r>
          </w:p>
        </w:tc>
        <w:tc>
          <w:tcPr>
            <w:tcW w:w="50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34,311</w:t>
            </w:r>
          </w:p>
        </w:tc>
        <w:tc>
          <w:tcPr>
            <w:tcW w:w="10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43,123</w:t>
            </w:r>
          </w:p>
        </w:tc>
      </w:tr>
      <w:tr>
        <w:trPr>
          <w:trHeight w:val="210"/>
        </w:trPr>
        <w:tc>
          <w:tcPr>
            <w:tcW w:w="5900" w:type="dxa"/>
            <w:vAlign w:val="bottom"/>
          </w:tcPr>
          <w:p>
            <w:pPr>
              <w:spacing w:after="0"/>
              <w:rPr>
                <w:sz w:val="20"/>
                <w:szCs w:val="20"/>
                <w:color w:val="auto"/>
              </w:rPr>
            </w:pPr>
            <w:r>
              <w:rPr>
                <w:rFonts w:ascii="Times New Roman" w:cs="Times New Roman" w:eastAsia="Times New Roman" w:hAnsi="Times New Roman"/>
                <w:sz w:val="16"/>
                <w:szCs w:val="16"/>
                <w:color w:val="auto"/>
              </w:rPr>
              <w:t>Computers and software</w:t>
            </w: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4,033</w:t>
            </w:r>
          </w:p>
        </w:tc>
      </w:tr>
      <w:tr>
        <w:trPr>
          <w:trHeight w:val="33"/>
        </w:trPr>
        <w:tc>
          <w:tcPr>
            <w:tcW w:w="5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23"/>
        </w:trPr>
        <w:tc>
          <w:tcPr>
            <w:tcW w:w="5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Leasehold improvements</w:t>
            </w:r>
          </w:p>
        </w:tc>
        <w:tc>
          <w:tcPr>
            <w:tcW w:w="50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158,154</w:t>
            </w:r>
          </w:p>
        </w:tc>
        <w:tc>
          <w:tcPr>
            <w:tcW w:w="10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207,846</w:t>
            </w:r>
          </w:p>
        </w:tc>
      </w:tr>
      <w:tr>
        <w:trPr>
          <w:trHeight w:val="210"/>
        </w:trPr>
        <w:tc>
          <w:tcPr>
            <w:tcW w:w="5900" w:type="dxa"/>
            <w:vAlign w:val="bottom"/>
          </w:tcPr>
          <w:p>
            <w:pPr>
              <w:spacing w:after="0"/>
              <w:rPr>
                <w:sz w:val="20"/>
                <w:szCs w:val="20"/>
                <w:color w:val="auto"/>
              </w:rPr>
            </w:pPr>
            <w:r>
              <w:rPr>
                <w:rFonts w:ascii="Times New Roman" w:cs="Times New Roman" w:eastAsia="Times New Roman" w:hAnsi="Times New Roman"/>
                <w:sz w:val="16"/>
                <w:szCs w:val="16"/>
                <w:color w:val="auto"/>
              </w:rPr>
              <w:t>Construction in process</w:t>
            </w: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33,429</w:t>
            </w:r>
          </w:p>
        </w:tc>
      </w:tr>
      <w:tr>
        <w:trPr>
          <w:trHeight w:val="33"/>
        </w:trPr>
        <w:tc>
          <w:tcPr>
            <w:tcW w:w="5900" w:type="dxa"/>
            <w:vAlign w:val="bottom"/>
            <w:tcBorders>
              <w:bottom w:val="single" w:sz="8" w:color="CFF0FC"/>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17"/>
        </w:trPr>
        <w:tc>
          <w:tcPr>
            <w:tcW w:w="59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6"/>
                <w:szCs w:val="16"/>
                <w:b w:val="1"/>
                <w:bCs w:val="1"/>
                <w:color w:val="auto"/>
              </w:rPr>
              <w:t>Total property and equipment, gross</w:t>
            </w:r>
          </w:p>
        </w:tc>
        <w:tc>
          <w:tcPr>
            <w:tcW w:w="50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322,307</w:t>
            </w:r>
          </w:p>
        </w:tc>
        <w:tc>
          <w:tcPr>
            <w:tcW w:w="1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414,689</w:t>
            </w:r>
          </w:p>
        </w:tc>
      </w:tr>
      <w:tr>
        <w:trPr>
          <w:trHeight w:val="210"/>
        </w:trPr>
        <w:tc>
          <w:tcPr>
            <w:tcW w:w="59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(90,002)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(116,191)</w:t>
            </w:r>
          </w:p>
        </w:tc>
      </w:tr>
      <w:tr>
        <w:trPr>
          <w:trHeight w:val="33"/>
        </w:trPr>
        <w:tc>
          <w:tcPr>
            <w:tcW w:w="5900" w:type="dxa"/>
            <w:vAlign w:val="bottom"/>
            <w:tcBorders>
              <w:bottom w:val="single" w:sz="8" w:color="CFF0FC"/>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9"/>
        </w:trPr>
        <w:tc>
          <w:tcPr>
            <w:tcW w:w="59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6"/>
                <w:szCs w:val="16"/>
                <w:b w:val="1"/>
                <w:bCs w:val="1"/>
                <w:color w:val="auto"/>
              </w:rPr>
              <w:t>Total property and equipment, net</w:t>
            </w:r>
          </w:p>
        </w:tc>
        <w:tc>
          <w:tcPr>
            <w:tcW w:w="500" w:type="dxa"/>
            <w:vAlign w:val="bottom"/>
            <w:tcBorders>
              <w:bottom w:val="single" w:sz="8" w:color="auto"/>
            </w:tcBorders>
            <w:shd w:val="clear" w:color="auto" w:fill="CFF0FC"/>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232,305</w:t>
            </w:r>
          </w:p>
        </w:tc>
        <w:tc>
          <w:tcPr>
            <w:tcW w:w="100" w:type="dxa"/>
            <w:vAlign w:val="bottom"/>
            <w:tcBorders>
              <w:bottom w:val="single" w:sz="8" w:color="CFF0FC"/>
            </w:tcBorders>
            <w:shd w:val="clear" w:color="auto" w:fill="CFF0FC"/>
          </w:tcPr>
          <w:p>
            <w:pPr>
              <w:spacing w:after="0"/>
              <w:rPr>
                <w:sz w:val="22"/>
                <w:szCs w:val="22"/>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298,498</w:t>
            </w:r>
          </w:p>
        </w:tc>
      </w:tr>
      <w:tr>
        <w:trPr>
          <w:trHeight w:val="20"/>
        </w:trPr>
        <w:tc>
          <w:tcPr>
            <w:tcW w:w="5900" w:type="dxa"/>
            <w:vAlign w:val="bottom"/>
            <w:tcBorders>
              <w:top w:val="single" w:sz="8" w:color="CFF0FC"/>
            </w:tcBorders>
          </w:tcPr>
          <w:p>
            <w:pPr>
              <w:spacing w:after="0" w:line="20" w:lineRule="exact"/>
              <w:rPr>
                <w:sz w:val="1"/>
                <w:szCs w:val="1"/>
                <w:color w:val="auto"/>
              </w:rPr>
            </w:pPr>
          </w:p>
        </w:tc>
        <w:tc>
          <w:tcPr>
            <w:tcW w:w="500" w:type="dxa"/>
            <w:vAlign w:val="bottom"/>
            <w:tcBorders>
              <w:top w:val="single" w:sz="8" w:color="CFF0FC"/>
              <w:bottom w:val="single" w:sz="8" w:color="auto"/>
            </w:tcBorders>
          </w:tcPr>
          <w:p>
            <w:pPr>
              <w:spacing w:after="0" w:line="20" w:lineRule="exact"/>
              <w:rPr>
                <w:sz w:val="1"/>
                <w:szCs w:val="1"/>
                <w:color w:val="auto"/>
              </w:rPr>
            </w:pPr>
          </w:p>
        </w:tc>
        <w:tc>
          <w:tcPr>
            <w:tcW w:w="10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bottom w:val="single" w:sz="8" w:color="auto"/>
            </w:tcBorders>
          </w:tcPr>
          <w:p>
            <w:pPr>
              <w:spacing w:after="0" w:line="20" w:lineRule="exact"/>
              <w:rPr>
                <w:sz w:val="1"/>
                <w:szCs w:val="1"/>
                <w:color w:val="auto"/>
              </w:rPr>
            </w:pPr>
          </w:p>
        </w:tc>
        <w:tc>
          <w:tcPr>
            <w:tcW w:w="1420" w:type="dxa"/>
            <w:vAlign w:val="bottom"/>
            <w:tcBorders>
              <w:top w:val="single" w:sz="8" w:color="CFF0FC"/>
              <w:bottom w:val="single" w:sz="8" w:color="auto"/>
            </w:tcBorders>
          </w:tcPr>
          <w:p>
            <w:pPr>
              <w:spacing w:after="0" w:line="20" w:lineRule="exact"/>
              <w:rPr>
                <w:sz w:val="1"/>
                <w:szCs w:val="1"/>
                <w:color w:val="auto"/>
              </w:rPr>
            </w:pPr>
          </w:p>
        </w:tc>
      </w:tr>
    </w:tbl>
    <w:p>
      <w:pPr>
        <w:spacing w:after="0" w:line="268" w:lineRule="exact"/>
        <w:rPr>
          <w:sz w:val="20"/>
          <w:szCs w:val="20"/>
          <w:color w:val="auto"/>
        </w:rPr>
      </w:pPr>
    </w:p>
    <w:tbl>
      <w:tblPr>
        <w:tblLayout w:type="fixed"/>
        <w:tblInd w:w="1100" w:type="dxa"/>
        <w:tblCellMar>
          <w:top w:w="0" w:type="dxa"/>
          <w:left w:w="0" w:type="dxa"/>
          <w:bottom w:w="0" w:type="dxa"/>
          <w:right w:w="0" w:type="dxa"/>
        </w:tblCellMar>
      </w:tblPr>
      <w:tr>
        <w:trPr>
          <w:trHeight w:val="212"/>
        </w:trPr>
        <w:tc>
          <w:tcPr>
            <w:tcW w:w="2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940" w:type="dxa"/>
            <w:vAlign w:val="bottom"/>
            <w:gridSpan w:val="3"/>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900" w:type="dxa"/>
            <w:vAlign w:val="bottom"/>
            <w:gridSpan w:val="3"/>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680" w:type="dxa"/>
            <w:vAlign w:val="bottom"/>
          </w:tcPr>
          <w:p>
            <w:pPr>
              <w:spacing w:after="0"/>
              <w:rPr>
                <w:sz w:val="18"/>
                <w:szCs w:val="18"/>
                <w:color w:val="auto"/>
              </w:rPr>
            </w:pPr>
          </w:p>
        </w:tc>
      </w:tr>
      <w:tr>
        <w:trPr>
          <w:trHeight w:val="33"/>
        </w:trPr>
        <w:tc>
          <w:tcPr>
            <w:tcW w:w="2820" w:type="dxa"/>
            <w:vAlign w:val="bottom"/>
          </w:tcPr>
          <w:p>
            <w:pPr>
              <w:spacing w:after="0"/>
              <w:rPr>
                <w:sz w:val="2"/>
                <w:szCs w:val="2"/>
                <w:color w:val="auto"/>
              </w:rPr>
            </w:pPr>
          </w:p>
        </w:tc>
        <w:tc>
          <w:tcPr>
            <w:tcW w:w="1580" w:type="dxa"/>
            <w:vAlign w:val="bottom"/>
            <w:gridSpan w:val="3"/>
          </w:tcPr>
          <w:p>
            <w:pPr>
              <w:spacing w:after="0"/>
              <w:rPr>
                <w:sz w:val="2"/>
                <w:szCs w:val="2"/>
                <w:color w:val="auto"/>
              </w:rPr>
            </w:pPr>
          </w:p>
        </w:tc>
        <w:tc>
          <w:tcPr>
            <w:tcW w:w="1580" w:type="dxa"/>
            <w:vAlign w:val="bottom"/>
            <w:gridSpan w:val="3"/>
          </w:tcPr>
          <w:p>
            <w:pPr>
              <w:spacing w:after="0"/>
              <w:rPr>
                <w:sz w:val="2"/>
                <w:szCs w:val="2"/>
                <w:color w:val="auto"/>
              </w:rPr>
            </w:pPr>
          </w:p>
        </w:tc>
        <w:tc>
          <w:tcPr>
            <w:tcW w:w="1580" w:type="dxa"/>
            <w:vAlign w:val="bottom"/>
            <w:gridSpan w:val="3"/>
          </w:tcPr>
          <w:p>
            <w:pPr>
              <w:spacing w:after="0"/>
              <w:rPr>
                <w:sz w:val="2"/>
                <w:szCs w:val="2"/>
                <w:color w:val="auto"/>
              </w:rPr>
            </w:pPr>
          </w:p>
        </w:tc>
        <w:tc>
          <w:tcPr>
            <w:tcW w:w="1480" w:type="dxa"/>
            <w:vAlign w:val="bottom"/>
            <w:gridSpan w:val="2"/>
          </w:tcPr>
          <w:p>
            <w:pPr>
              <w:spacing w:after="0"/>
              <w:rPr>
                <w:sz w:val="2"/>
                <w:szCs w:val="2"/>
                <w:color w:val="auto"/>
              </w:rPr>
            </w:pPr>
          </w:p>
        </w:tc>
      </w:tr>
      <w:tr>
        <w:trPr>
          <w:trHeight w:val="206"/>
        </w:trPr>
        <w:tc>
          <w:tcPr>
            <w:tcW w:w="2820" w:type="dxa"/>
            <w:vAlign w:val="bottom"/>
          </w:tcPr>
          <w:p>
            <w:pPr>
              <w:spacing w:after="0"/>
              <w:rPr>
                <w:sz w:val="17"/>
                <w:szCs w:val="17"/>
                <w:color w:val="auto"/>
              </w:rPr>
            </w:pPr>
          </w:p>
        </w:tc>
        <w:tc>
          <w:tcPr>
            <w:tcW w:w="1580" w:type="dxa"/>
            <w:vAlign w:val="bottom"/>
            <w:tcBorders>
              <w:top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14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 2023</w:t>
            </w:r>
          </w:p>
        </w:tc>
        <w:tc>
          <w:tcPr>
            <w:tcW w:w="100" w:type="dxa"/>
            <w:vAlign w:val="bottom"/>
          </w:tcPr>
          <w:p>
            <w:pPr>
              <w:spacing w:after="0"/>
              <w:rPr>
                <w:sz w:val="17"/>
                <w:szCs w:val="17"/>
                <w:color w:val="auto"/>
              </w:rPr>
            </w:pPr>
          </w:p>
        </w:tc>
        <w:tc>
          <w:tcPr>
            <w:tcW w:w="1580" w:type="dxa"/>
            <w:vAlign w:val="bottom"/>
            <w:tcBorders>
              <w:top w:val="single" w:sz="8" w:color="auto"/>
            </w:tcBorders>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14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 2023</w:t>
            </w:r>
          </w:p>
        </w:tc>
      </w:tr>
      <w:tr>
        <w:trPr>
          <w:trHeight w:val="31"/>
        </w:trPr>
        <w:tc>
          <w:tcPr>
            <w:tcW w:w="2820" w:type="dxa"/>
            <w:vAlign w:val="bottom"/>
            <w:tcBorders>
              <w:bottom w:val="single" w:sz="8" w:color="CFF0FC"/>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55"/>
        </w:trPr>
        <w:tc>
          <w:tcPr>
            <w:tcW w:w="2820" w:type="dxa"/>
            <w:vAlign w:val="bottom"/>
            <w:shd w:val="clear" w:color="auto" w:fill="CFF0FC"/>
          </w:tcPr>
          <w:p>
            <w:pPr>
              <w:ind w:left="20"/>
              <w:spacing w:after="0" w:line="155" w:lineRule="exact"/>
              <w:rPr>
                <w:sz w:val="20"/>
                <w:szCs w:val="20"/>
                <w:color w:val="auto"/>
              </w:rPr>
            </w:pPr>
            <w:r>
              <w:rPr>
                <w:rFonts w:ascii="Times New Roman" w:cs="Times New Roman" w:eastAsia="Times New Roman" w:hAnsi="Times New Roman"/>
                <w:sz w:val="16"/>
                <w:szCs w:val="16"/>
                <w:color w:val="auto"/>
              </w:rPr>
              <w:t>Total depreciation expense for three and</w:t>
            </w:r>
          </w:p>
        </w:tc>
        <w:tc>
          <w:tcPr>
            <w:tcW w:w="46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r>
      <w:tr>
        <w:trPr>
          <w:trHeight w:val="223"/>
        </w:trPr>
        <w:tc>
          <w:tcPr>
            <w:tcW w:w="2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nine months ended</w:t>
            </w:r>
          </w:p>
        </w:tc>
        <w:tc>
          <w:tcPr>
            <w:tcW w:w="460" w:type="dxa"/>
            <w:vAlign w:val="bottom"/>
            <w:tcBorders>
              <w:bottom w:val="single" w:sz="8" w:color="CFF0FC"/>
            </w:tcBorders>
            <w:shd w:val="clear" w:color="auto" w:fill="CFF0FC"/>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8,314</w:t>
            </w:r>
          </w:p>
        </w:tc>
        <w:tc>
          <w:tcPr>
            <w:tcW w:w="10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CFF0FC"/>
            </w:tcBorders>
            <w:shd w:val="clear" w:color="auto" w:fill="CFF0FC"/>
          </w:tcPr>
          <w:p>
            <w:pPr>
              <w:jc w:val="right"/>
              <w:ind w:right="63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10,612</w:t>
            </w:r>
          </w:p>
        </w:tc>
        <w:tc>
          <w:tcPr>
            <w:tcW w:w="10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CFF0FC"/>
            </w:tcBorders>
            <w:shd w:val="clear" w:color="auto" w:fill="CFF0FC"/>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23,589</w:t>
            </w:r>
          </w:p>
        </w:tc>
        <w:tc>
          <w:tcPr>
            <w:tcW w:w="10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CFF0FC"/>
            </w:tcBorders>
            <w:shd w:val="clear" w:color="auto" w:fill="CFF0FC"/>
          </w:tcPr>
          <w:p>
            <w:pPr>
              <w:jc w:val="right"/>
              <w:ind w:right="6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26,109</w:t>
            </w:r>
          </w:p>
        </w:tc>
      </w:tr>
      <w:tr>
        <w:trPr>
          <w:trHeight w:val="210"/>
        </w:trPr>
        <w:tc>
          <w:tcPr>
            <w:tcW w:w="2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Included in:</w:t>
            </w: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33"/>
        </w:trPr>
        <w:tc>
          <w:tcPr>
            <w:tcW w:w="28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175"/>
        </w:trPr>
        <w:tc>
          <w:tcPr>
            <w:tcW w:w="2820" w:type="dxa"/>
            <w:vAlign w:val="bottom"/>
            <w:shd w:val="clear" w:color="auto" w:fill="CFF0FC"/>
          </w:tcPr>
          <w:p>
            <w:pPr>
              <w:ind w:left="20"/>
              <w:spacing w:after="0" w:line="175" w:lineRule="exact"/>
              <w:rPr>
                <w:sz w:val="20"/>
                <w:szCs w:val="20"/>
                <w:color w:val="auto"/>
              </w:rPr>
            </w:pPr>
            <w:r>
              <w:rPr>
                <w:rFonts w:ascii="Times New Roman" w:cs="Times New Roman" w:eastAsia="Times New Roman" w:hAnsi="Times New Roman"/>
                <w:sz w:val="16"/>
                <w:szCs w:val="16"/>
                <w:color w:val="auto"/>
              </w:rPr>
              <w:t>Costs of sales related to inventory</w:t>
            </w:r>
          </w:p>
        </w:tc>
        <w:tc>
          <w:tcPr>
            <w:tcW w:w="46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r>
      <w:tr>
        <w:trPr>
          <w:trHeight w:val="223"/>
        </w:trPr>
        <w:tc>
          <w:tcPr>
            <w:tcW w:w="2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production</w:t>
            </w:r>
          </w:p>
        </w:tc>
        <w:tc>
          <w:tcPr>
            <w:tcW w:w="460" w:type="dxa"/>
            <w:vAlign w:val="bottom"/>
            <w:tcBorders>
              <w:bottom w:val="single" w:sz="8" w:color="CFF0FC"/>
            </w:tcBorders>
            <w:shd w:val="clear" w:color="auto" w:fill="CFF0FC"/>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5,216</w:t>
            </w:r>
          </w:p>
        </w:tc>
        <w:tc>
          <w:tcPr>
            <w:tcW w:w="10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CFF0FC"/>
            </w:tcBorders>
            <w:shd w:val="clear" w:color="auto" w:fill="CFF0FC"/>
          </w:tcPr>
          <w:p>
            <w:pPr>
              <w:jc w:val="right"/>
              <w:ind w:right="63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6,154</w:t>
            </w:r>
          </w:p>
        </w:tc>
        <w:tc>
          <w:tcPr>
            <w:tcW w:w="10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14,782</w:t>
            </w:r>
          </w:p>
        </w:tc>
        <w:tc>
          <w:tcPr>
            <w:tcW w:w="10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CFF0FC"/>
            </w:tcBorders>
            <w:shd w:val="clear" w:color="auto" w:fill="CFF0FC"/>
          </w:tcPr>
          <w:p>
            <w:pPr>
              <w:spacing w:after="0"/>
              <w:rPr>
                <w:sz w:val="19"/>
                <w:szCs w:val="19"/>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15,379</w:t>
            </w:r>
          </w:p>
        </w:tc>
      </w:tr>
      <w:tr>
        <w:trPr>
          <w:trHeight w:val="175"/>
        </w:trPr>
        <w:tc>
          <w:tcPr>
            <w:tcW w:w="282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Selling, general and administrative</w:t>
            </w:r>
          </w:p>
        </w:tc>
        <w:tc>
          <w:tcPr>
            <w:tcW w:w="4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210"/>
        </w:trPr>
        <w:tc>
          <w:tcPr>
            <w:tcW w:w="2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expenses</w:t>
            </w: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3,098</w:t>
            </w:r>
          </w:p>
        </w:tc>
        <w:tc>
          <w:tcPr>
            <w:tcW w:w="100" w:type="dxa"/>
            <w:vAlign w:val="bottom"/>
          </w:tcPr>
          <w:p>
            <w:pPr>
              <w:spacing w:after="0"/>
              <w:rPr>
                <w:sz w:val="18"/>
                <w:szCs w:val="18"/>
                <w:color w:val="auto"/>
              </w:rPr>
            </w:pPr>
          </w:p>
        </w:tc>
        <w:tc>
          <w:tcPr>
            <w:tcW w:w="820" w:type="dxa"/>
            <w:vAlign w:val="bottom"/>
          </w:tcPr>
          <w:p>
            <w:pPr>
              <w:jc w:val="right"/>
              <w:ind w:right="63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4,458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8,807</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10,730</w:t>
            </w:r>
          </w:p>
        </w:tc>
      </w:tr>
    </w:tbl>
    <w:p>
      <w:pPr>
        <w:spacing w:after="0" w:line="36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40"/>
          </w:cols>
          <w:pgMar w:left="320" w:top="121" w:right="14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PREPAID EXPENSES AND OTHER CURRENT ASSETS</w:t>
      </w:r>
    </w:p>
    <w:p>
      <w:pPr>
        <w:spacing w:after="0" w:line="16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Details of the Company’s prepaid expenses and other current assets are summarized in the table below:</w:t>
      </w:r>
    </w:p>
    <w:p>
      <w:pPr>
        <w:spacing w:after="0" w:line="187" w:lineRule="exact"/>
        <w:rPr>
          <w:sz w:val="20"/>
          <w:szCs w:val="20"/>
          <w:color w:val="auto"/>
        </w:rPr>
      </w:pPr>
    </w:p>
    <w:tbl>
      <w:tblPr>
        <w:tblLayout w:type="fixed"/>
        <w:tblInd w:w="1180" w:type="dxa"/>
        <w:tblCellMar>
          <w:top w:w="0" w:type="dxa"/>
          <w:left w:w="0" w:type="dxa"/>
          <w:bottom w:w="0" w:type="dxa"/>
          <w:right w:w="0" w:type="dxa"/>
        </w:tblCellMar>
      </w:tblPr>
      <w:tr>
        <w:trPr>
          <w:trHeight w:val="212"/>
        </w:trPr>
        <w:tc>
          <w:tcPr>
            <w:tcW w:w="5760" w:type="dxa"/>
            <w:vAlign w:val="bottom"/>
          </w:tcPr>
          <w:p>
            <w:pPr>
              <w:spacing w:after="0"/>
              <w:rPr>
                <w:sz w:val="18"/>
                <w:szCs w:val="18"/>
                <w:color w:val="auto"/>
              </w:rPr>
            </w:pPr>
          </w:p>
        </w:tc>
        <w:tc>
          <w:tcPr>
            <w:tcW w:w="162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100" w:type="dxa"/>
            <w:vAlign w:val="bottom"/>
          </w:tcPr>
          <w:p>
            <w:pPr>
              <w:spacing w:after="0"/>
              <w:rPr>
                <w:sz w:val="18"/>
                <w:szCs w:val="18"/>
                <w:color w:val="auto"/>
              </w:rPr>
            </w:pP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8"/>
              </w:rPr>
              <w:t>December 31, 2023</w:t>
            </w:r>
          </w:p>
        </w:tc>
      </w:tr>
      <w:tr>
        <w:trPr>
          <w:trHeight w:val="33"/>
        </w:trPr>
        <w:tc>
          <w:tcPr>
            <w:tcW w:w="5760" w:type="dxa"/>
            <w:vAlign w:val="bottom"/>
            <w:tcBorders>
              <w:bottom w:val="single" w:sz="8" w:color="CFF0FC"/>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17"/>
        </w:trPr>
        <w:tc>
          <w:tcPr>
            <w:tcW w:w="5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Prepaid expenses</w:t>
            </w:r>
          </w:p>
        </w:tc>
        <w:tc>
          <w:tcPr>
            <w:tcW w:w="560" w:type="dxa"/>
            <w:vAlign w:val="bottom"/>
            <w:tcBorders>
              <w:bottom w:val="single" w:sz="8" w:color="CFF0FC"/>
            </w:tcBorders>
            <w:shd w:val="clear" w:color="auto" w:fill="CFF0FC"/>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11,083</w:t>
            </w: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8,486</w:t>
            </w:r>
          </w:p>
        </w:tc>
      </w:tr>
      <w:tr>
        <w:trPr>
          <w:trHeight w:val="210"/>
        </w:trPr>
        <w:tc>
          <w:tcPr>
            <w:tcW w:w="5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Short term deposits</w:t>
            </w: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1,148</w:t>
            </w:r>
          </w:p>
        </w:tc>
      </w:tr>
      <w:tr>
        <w:trPr>
          <w:trHeight w:val="33"/>
        </w:trPr>
        <w:tc>
          <w:tcPr>
            <w:tcW w:w="5760" w:type="dxa"/>
            <w:vAlign w:val="bottom"/>
          </w:tcPr>
          <w:p>
            <w:pPr>
              <w:spacing w:after="0"/>
              <w:rPr>
                <w:sz w:val="2"/>
                <w:szCs w:val="2"/>
                <w:color w:val="auto"/>
              </w:rPr>
            </w:pPr>
          </w:p>
        </w:tc>
        <w:tc>
          <w:tcPr>
            <w:tcW w:w="5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23"/>
        </w:trPr>
        <w:tc>
          <w:tcPr>
            <w:tcW w:w="5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current assets</w:t>
            </w:r>
          </w:p>
        </w:tc>
        <w:tc>
          <w:tcPr>
            <w:tcW w:w="56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2,298</w:t>
            </w:r>
          </w:p>
        </w:tc>
        <w:tc>
          <w:tcPr>
            <w:tcW w:w="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11,957</w:t>
            </w:r>
          </w:p>
        </w:tc>
      </w:tr>
      <w:tr>
        <w:trPr>
          <w:trHeight w:val="210"/>
        </w:trPr>
        <w:tc>
          <w:tcPr>
            <w:tcW w:w="5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Excise and sales tax receivable</w:t>
            </w: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w:t>
            </w:r>
          </w:p>
        </w:tc>
      </w:tr>
      <w:tr>
        <w:trPr>
          <w:trHeight w:val="33"/>
        </w:trPr>
        <w:tc>
          <w:tcPr>
            <w:tcW w:w="5760" w:type="dxa"/>
            <w:vAlign w:val="bottom"/>
          </w:tcPr>
          <w:p>
            <w:pPr>
              <w:spacing w:after="0"/>
              <w:rPr>
                <w:sz w:val="2"/>
                <w:szCs w:val="2"/>
                <w:color w:val="auto"/>
              </w:rPr>
            </w:pPr>
          </w:p>
        </w:tc>
        <w:tc>
          <w:tcPr>
            <w:tcW w:w="5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43"/>
        </w:trPr>
        <w:tc>
          <w:tcPr>
            <w:tcW w:w="5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Prepaid taxes</w:t>
            </w:r>
          </w:p>
        </w:tc>
        <w:tc>
          <w:tcPr>
            <w:tcW w:w="56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753</w:t>
            </w:r>
          </w:p>
        </w:tc>
      </w:tr>
      <w:tr>
        <w:trPr>
          <w:trHeight w:val="204"/>
        </w:trPr>
        <w:tc>
          <w:tcPr>
            <w:tcW w:w="57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Prepaid expenses and other current assets</w:t>
            </w:r>
          </w:p>
        </w:tc>
        <w:tc>
          <w:tcPr>
            <w:tcW w:w="560" w:type="dxa"/>
            <w:vAlign w:val="bottom"/>
            <w:tcBorders>
              <w:top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14,827</w:t>
            </w:r>
          </w:p>
        </w:tc>
        <w:tc>
          <w:tcPr>
            <w:tcW w:w="10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22,711</w:t>
            </w:r>
          </w:p>
        </w:tc>
      </w:tr>
      <w:tr>
        <w:trPr>
          <w:trHeight w:val="33"/>
        </w:trPr>
        <w:tc>
          <w:tcPr>
            <w:tcW w:w="576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1"/>
        </w:trPr>
        <w:tc>
          <w:tcPr>
            <w:tcW w:w="57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820"/>
        <w:spacing w:after="0" w:line="282" w:lineRule="auto"/>
        <w:rPr>
          <w:sz w:val="20"/>
          <w:szCs w:val="20"/>
          <w:color w:val="auto"/>
        </w:rPr>
      </w:pPr>
      <w:r>
        <w:rPr>
          <w:rFonts w:ascii="Times New Roman" w:cs="Times New Roman" w:eastAsia="Times New Roman" w:hAnsi="Times New Roman"/>
          <w:sz w:val="18"/>
          <w:szCs w:val="18"/>
          <w:color w:val="auto"/>
        </w:rPr>
        <w:t>The decrease in other current assets includes the resolution of a previously disclosed lawsuit relating to the Green Leaf Transaction, as disclosed in the Company's Form 10-Q for the quarter ended March 31, 2024.</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OTHER NON-CURRENT ASSETS</w:t>
      </w:r>
    </w:p>
    <w:p>
      <w:pPr>
        <w:spacing w:after="0" w:line="14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Details of the Company’s other non-current assets are summarized in the table below:</w:t>
      </w:r>
    </w:p>
    <w:p>
      <w:pPr>
        <w:spacing w:after="0" w:line="201" w:lineRule="exact"/>
        <w:rPr>
          <w:sz w:val="20"/>
          <w:szCs w:val="20"/>
          <w:color w:val="auto"/>
        </w:rPr>
      </w:pPr>
    </w:p>
    <w:tbl>
      <w:tblPr>
        <w:tblLayout w:type="fixed"/>
        <w:tblInd w:w="1120" w:type="dxa"/>
        <w:tblCellMar>
          <w:top w:w="0" w:type="dxa"/>
          <w:left w:w="0" w:type="dxa"/>
          <w:bottom w:w="0" w:type="dxa"/>
          <w:right w:w="0" w:type="dxa"/>
        </w:tblCellMar>
      </w:tblPr>
      <w:tr>
        <w:trPr>
          <w:trHeight w:val="212"/>
        </w:trPr>
        <w:tc>
          <w:tcPr>
            <w:tcW w:w="5900" w:type="dxa"/>
            <w:vAlign w:val="bottom"/>
          </w:tcPr>
          <w:p>
            <w:pPr>
              <w:spacing w:after="0"/>
              <w:rPr>
                <w:sz w:val="18"/>
                <w:szCs w:val="18"/>
                <w:color w:val="auto"/>
              </w:rPr>
            </w:pPr>
          </w:p>
        </w:tc>
        <w:tc>
          <w:tcPr>
            <w:tcW w:w="162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80" w:type="dxa"/>
            <w:vAlign w:val="bottom"/>
          </w:tcPr>
          <w:p>
            <w:pPr>
              <w:spacing w:after="0"/>
              <w:rPr>
                <w:sz w:val="18"/>
                <w:szCs w:val="18"/>
                <w:color w:val="auto"/>
              </w:rPr>
            </w:pP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33"/>
        </w:trPr>
        <w:tc>
          <w:tcPr>
            <w:tcW w:w="5900" w:type="dxa"/>
            <w:vAlign w:val="bottom"/>
            <w:tcBorders>
              <w:bottom w:val="single" w:sz="8" w:color="CFF0FC"/>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17"/>
        </w:trPr>
        <w:tc>
          <w:tcPr>
            <w:tcW w:w="5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Long term deposits</w:t>
            </w:r>
          </w:p>
        </w:tc>
        <w:tc>
          <w:tcPr>
            <w:tcW w:w="560" w:type="dxa"/>
            <w:vAlign w:val="bottom"/>
            <w:tcBorders>
              <w:bottom w:val="single" w:sz="8" w:color="CFF0FC"/>
            </w:tcBorders>
            <w:shd w:val="clear" w:color="auto" w:fill="CFF0FC"/>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8,599</w:t>
            </w:r>
          </w:p>
        </w:tc>
        <w:tc>
          <w:tcPr>
            <w:tcW w:w="1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8,686</w:t>
            </w:r>
          </w:p>
        </w:tc>
      </w:tr>
      <w:tr>
        <w:trPr>
          <w:trHeight w:val="210"/>
        </w:trPr>
        <w:tc>
          <w:tcPr>
            <w:tcW w:w="5900" w:type="dxa"/>
            <w:vAlign w:val="bottom"/>
          </w:tcPr>
          <w:p>
            <w:pPr>
              <w:spacing w:after="0"/>
              <w:rPr>
                <w:sz w:val="20"/>
                <w:szCs w:val="20"/>
                <w:color w:val="auto"/>
              </w:rPr>
            </w:pPr>
            <w:r>
              <w:rPr>
                <w:rFonts w:ascii="Times New Roman" w:cs="Times New Roman" w:eastAsia="Times New Roman" w:hAnsi="Times New Roman"/>
                <w:sz w:val="16"/>
                <w:szCs w:val="16"/>
                <w:color w:val="auto"/>
              </w:rPr>
              <w:t>Investment in affiliates</w:t>
            </w: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775</w:t>
            </w:r>
          </w:p>
        </w:tc>
      </w:tr>
      <w:tr>
        <w:trPr>
          <w:trHeight w:val="33"/>
        </w:trPr>
        <w:tc>
          <w:tcPr>
            <w:tcW w:w="5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43"/>
        </w:trPr>
        <w:tc>
          <w:tcPr>
            <w:tcW w:w="5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Restricted cash</w:t>
            </w:r>
          </w:p>
        </w:tc>
        <w:tc>
          <w:tcPr>
            <w:tcW w:w="56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3,573</w:t>
            </w:r>
          </w:p>
        </w:tc>
        <w:tc>
          <w:tcPr>
            <w:tcW w:w="10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3,573</w:t>
            </w:r>
          </w:p>
        </w:tc>
      </w:tr>
      <w:tr>
        <w:trPr>
          <w:trHeight w:val="204"/>
        </w:trPr>
        <w:tc>
          <w:tcPr>
            <w:tcW w:w="59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Other non-current assets</w:t>
            </w:r>
          </w:p>
        </w:tc>
        <w:tc>
          <w:tcPr>
            <w:tcW w:w="560" w:type="dxa"/>
            <w:vAlign w:val="bottom"/>
            <w:tcBorders>
              <w:top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12,947</w:t>
            </w:r>
          </w:p>
        </w:tc>
        <w:tc>
          <w:tcPr>
            <w:tcW w:w="100" w:type="dxa"/>
            <w:vAlign w:val="bottom"/>
          </w:tcPr>
          <w:p>
            <w:pPr>
              <w:spacing w:after="0"/>
              <w:rPr>
                <w:sz w:val="17"/>
                <w:szCs w:val="17"/>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13,034</w:t>
            </w:r>
          </w:p>
        </w:tc>
      </w:tr>
      <w:tr>
        <w:trPr>
          <w:trHeight w:val="33"/>
        </w:trPr>
        <w:tc>
          <w:tcPr>
            <w:tcW w:w="59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
        </w:trPr>
        <w:tc>
          <w:tcPr>
            <w:tcW w:w="59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ACCRUED EXPENSES AND OTHER CURRENT LIABILITIES</w:t>
      </w:r>
    </w:p>
    <w:p>
      <w:pPr>
        <w:spacing w:after="0" w:line="14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Details of the Company’s accrued expenses and other current liabilities are summarized in the table below:</w:t>
      </w:r>
    </w:p>
    <w:p>
      <w:pPr>
        <w:spacing w:after="0" w:line="201" w:lineRule="exact"/>
        <w:rPr>
          <w:sz w:val="20"/>
          <w:szCs w:val="20"/>
          <w:color w:val="auto"/>
        </w:rPr>
      </w:pPr>
    </w:p>
    <w:tbl>
      <w:tblPr>
        <w:tblLayout w:type="fixed"/>
        <w:tblInd w:w="560" w:type="dxa"/>
        <w:tblCellMar>
          <w:top w:w="0" w:type="dxa"/>
          <w:left w:w="0" w:type="dxa"/>
          <w:bottom w:w="0" w:type="dxa"/>
          <w:right w:w="0" w:type="dxa"/>
        </w:tblCellMar>
      </w:tblPr>
      <w:tr>
        <w:trPr>
          <w:trHeight w:val="212"/>
        </w:trPr>
        <w:tc>
          <w:tcPr>
            <w:tcW w:w="7040" w:type="dxa"/>
            <w:vAlign w:val="bottom"/>
          </w:tcPr>
          <w:p>
            <w:pPr>
              <w:spacing w:after="0"/>
              <w:rPr>
                <w:sz w:val="18"/>
                <w:szCs w:val="18"/>
                <w:color w:val="auto"/>
              </w:rPr>
            </w:pPr>
          </w:p>
        </w:tc>
        <w:tc>
          <w:tcPr>
            <w:tcW w:w="158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33"/>
        </w:trPr>
        <w:tc>
          <w:tcPr>
            <w:tcW w:w="7040" w:type="dxa"/>
            <w:vAlign w:val="bottom"/>
            <w:tcBorders>
              <w:bottom w:val="single" w:sz="8" w:color="CFF0FC"/>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7"/>
        </w:trPr>
        <w:tc>
          <w:tcPr>
            <w:tcW w:w="70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Taxes - property and other</w:t>
            </w:r>
          </w:p>
        </w:tc>
        <w:tc>
          <w:tcPr>
            <w:tcW w:w="540" w:type="dxa"/>
            <w:vAlign w:val="bottom"/>
            <w:tcBorders>
              <w:bottom w:val="single" w:sz="8" w:color="CFF0FC"/>
            </w:tcBorders>
            <w:shd w:val="clear" w:color="auto" w:fill="CFF0FC"/>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4,375</w:t>
            </w:r>
          </w:p>
        </w:tc>
        <w:tc>
          <w:tcPr>
            <w:tcW w:w="8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CFF0FC"/>
            </w:tcBorders>
            <w:shd w:val="clear" w:color="auto" w:fill="CFF0FC"/>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12,067</w:t>
            </w:r>
          </w:p>
        </w:tc>
      </w:tr>
      <w:tr>
        <w:trPr>
          <w:trHeight w:val="210"/>
        </w:trPr>
        <w:tc>
          <w:tcPr>
            <w:tcW w:w="7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accrued expenses</w:t>
            </w:r>
          </w:p>
        </w:tc>
        <w:tc>
          <w:tcPr>
            <w:tcW w:w="5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10,139</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26,323</w:t>
            </w:r>
          </w:p>
        </w:tc>
      </w:tr>
      <w:tr>
        <w:trPr>
          <w:trHeight w:val="33"/>
        </w:trPr>
        <w:tc>
          <w:tcPr>
            <w:tcW w:w="7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3"/>
        </w:trPr>
        <w:tc>
          <w:tcPr>
            <w:tcW w:w="70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Payroll liabilities</w:t>
            </w:r>
          </w:p>
        </w:tc>
        <w:tc>
          <w:tcPr>
            <w:tcW w:w="54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11,418</w:t>
            </w:r>
          </w:p>
        </w:tc>
        <w:tc>
          <w:tcPr>
            <w:tcW w:w="8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13,260</w:t>
            </w:r>
          </w:p>
        </w:tc>
      </w:tr>
      <w:tr>
        <w:trPr>
          <w:trHeight w:val="210"/>
        </w:trPr>
        <w:tc>
          <w:tcPr>
            <w:tcW w:w="7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5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4,630</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7,009</w:t>
            </w:r>
          </w:p>
        </w:tc>
      </w:tr>
      <w:tr>
        <w:trPr>
          <w:trHeight w:val="33"/>
        </w:trPr>
        <w:tc>
          <w:tcPr>
            <w:tcW w:w="7040" w:type="dxa"/>
            <w:vAlign w:val="bottom"/>
            <w:tcBorders>
              <w:bottom w:val="single" w:sz="8" w:color="CFF0FC"/>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2"/>
        </w:trPr>
        <w:tc>
          <w:tcPr>
            <w:tcW w:w="70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Accrued expenses and other current liabilities</w:t>
            </w:r>
          </w:p>
        </w:tc>
        <w:tc>
          <w:tcPr>
            <w:tcW w:w="540" w:type="dxa"/>
            <w:vAlign w:val="bottom"/>
            <w:tcBorders>
              <w:bottom w:val="single" w:sz="8" w:color="CFF0FC"/>
            </w:tcBorders>
            <w:shd w:val="clear" w:color="auto" w:fill="CFF0FC"/>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30,562</w:t>
            </w:r>
          </w:p>
        </w:tc>
        <w:tc>
          <w:tcPr>
            <w:tcW w:w="80" w:type="dxa"/>
            <w:vAlign w:val="bottom"/>
            <w:tcBorders>
              <w:bottom w:val="single" w:sz="8" w:color="CFF0FC"/>
            </w:tcBorders>
            <w:shd w:val="clear" w:color="auto" w:fill="CFF0FC"/>
          </w:tcPr>
          <w:p>
            <w:pPr>
              <w:spacing w:after="0"/>
              <w:rPr>
                <w:sz w:val="22"/>
                <w:szCs w:val="22"/>
                <w:color w:val="auto"/>
              </w:rPr>
            </w:pPr>
          </w:p>
        </w:tc>
        <w:tc>
          <w:tcPr>
            <w:tcW w:w="560" w:type="dxa"/>
            <w:vAlign w:val="bottom"/>
            <w:tcBorders>
              <w:bottom w:val="single" w:sz="8" w:color="CFF0FC"/>
            </w:tcBorders>
            <w:shd w:val="clear" w:color="auto" w:fill="CFF0FC"/>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58,659</w:t>
            </w:r>
          </w:p>
        </w:tc>
      </w:tr>
      <w:tr>
        <w:trPr>
          <w:trHeight w:val="20"/>
        </w:trPr>
        <w:tc>
          <w:tcPr>
            <w:tcW w:w="704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820"/>
        <w:spacing w:after="0" w:line="282" w:lineRule="auto"/>
        <w:rPr>
          <w:sz w:val="20"/>
          <w:szCs w:val="20"/>
          <w:color w:val="auto"/>
        </w:rPr>
      </w:pPr>
      <w:r>
        <w:rPr>
          <w:rFonts w:ascii="Times New Roman" w:cs="Times New Roman" w:eastAsia="Times New Roman" w:hAnsi="Times New Roman"/>
          <w:sz w:val="18"/>
          <w:szCs w:val="18"/>
          <w:color w:val="auto"/>
        </w:rPr>
        <w:t>The change in other accrued expenses includes the resolution of a previously disclosed lawsuit relating to the Green Leaf Transaction, as disclosed in the Company's Form 10-Q for the quarter ended March 31, 2024.</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SHAREHOLDERS’ EQUITY</w:t>
      </w:r>
    </w:p>
    <w:p>
      <w:pPr>
        <w:spacing w:after="0" w:line="16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The Company had the following activity during the three and nine months ended September 30, 2024:</w:t>
      </w:r>
    </w:p>
    <w:p>
      <w:pPr>
        <w:spacing w:after="0" w:line="158" w:lineRule="exact"/>
        <w:rPr>
          <w:sz w:val="20"/>
          <w:szCs w:val="20"/>
          <w:color w:val="auto"/>
        </w:rPr>
      </w:pPr>
    </w:p>
    <w:p>
      <w:pPr>
        <w:ind w:left="2280" w:hanging="1157"/>
        <w:spacing w:after="0" w:line="282" w:lineRule="auto"/>
        <w:tabs>
          <w:tab w:leader="none" w:pos="226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10,079,929 Common Shares upon vesting of Restricted Stock Units (RSUs) during the nine months ended September 30, 2024.</w:t>
      </w:r>
    </w:p>
    <w:p>
      <w:pPr>
        <w:spacing w:after="0" w:line="80" w:lineRule="exact"/>
        <w:rPr>
          <w:rFonts w:ascii="Times New Roman" w:cs="Times New Roman" w:eastAsia="Times New Roman" w:hAnsi="Times New Roman"/>
          <w:sz w:val="18"/>
          <w:szCs w:val="18"/>
          <w:color w:val="auto"/>
        </w:rPr>
      </w:pPr>
    </w:p>
    <w:p>
      <w:pPr>
        <w:ind w:left="2280" w:hanging="1157"/>
        <w:spacing w:after="0" w:line="282" w:lineRule="auto"/>
        <w:tabs>
          <w:tab w:leader="none" w:pos="226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25,845,259 Common Shares in connection with the January 2024 Debt Exchange (as defined below and further detailed in Note 4).</w:t>
      </w:r>
    </w:p>
    <w:p>
      <w:pPr>
        <w:spacing w:after="0" w:line="94" w:lineRule="exact"/>
        <w:rPr>
          <w:rFonts w:ascii="Times New Roman" w:cs="Times New Roman" w:eastAsia="Times New Roman" w:hAnsi="Times New Roman"/>
          <w:sz w:val="18"/>
          <w:szCs w:val="18"/>
          <w:color w:val="auto"/>
        </w:rPr>
      </w:pPr>
    </w:p>
    <w:p>
      <w:pPr>
        <w:ind w:left="2260" w:hanging="1137"/>
        <w:spacing w:after="0"/>
        <w:tabs>
          <w:tab w:leader="none" w:pos="22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655,736 Common Shares in connection with the 2027 Convertible Notes in exchange for principal debt of $200.</w:t>
      </w:r>
    </w:p>
    <w:p>
      <w:pPr>
        <w:sectPr>
          <w:pgSz w:w="11900" w:h="16838" w:orient="portrait"/>
          <w:cols w:equalWidth="0" w:num="1">
            <w:col w:w="11240"/>
          </w:cols>
          <w:pgMar w:left="320" w:top="121" w:right="339" w:bottom="1440" w:gutter="0" w:footer="0" w:header="0"/>
        </w:sect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2260" w:hanging="1137"/>
        <w:spacing w:after="0"/>
        <w:tabs>
          <w:tab w:leader="none" w:pos="22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4,845,359 Common Shares to resolve a lawsuit relating to the Green Leaf Transaction.</w:t>
      </w:r>
    </w:p>
    <w:p>
      <w:pPr>
        <w:spacing w:after="0" w:line="200" w:lineRule="exact"/>
        <w:rPr>
          <w:rFonts w:ascii="Times New Roman" w:cs="Times New Roman" w:eastAsia="Times New Roman" w:hAnsi="Times New Roman"/>
          <w:sz w:val="18"/>
          <w:szCs w:val="18"/>
          <w:color w:val="auto"/>
        </w:rPr>
      </w:pPr>
    </w:p>
    <w:p>
      <w:pPr>
        <w:spacing w:after="0" w:line="23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WARRANTS</w:t>
      </w:r>
    </w:p>
    <w:p>
      <w:pPr>
        <w:spacing w:after="0" w:line="148" w:lineRule="exact"/>
        <w:rPr>
          <w:sz w:val="20"/>
          <w:szCs w:val="20"/>
          <w:color w:val="auto"/>
        </w:rPr>
      </w:pPr>
    </w:p>
    <w:p>
      <w:pPr>
        <w:ind w:left="820"/>
        <w:spacing w:after="0" w:line="282" w:lineRule="auto"/>
        <w:rPr>
          <w:sz w:val="20"/>
          <w:szCs w:val="20"/>
          <w:color w:val="auto"/>
        </w:rPr>
      </w:pPr>
      <w:r>
        <w:rPr>
          <w:rFonts w:ascii="Times New Roman" w:cs="Times New Roman" w:eastAsia="Times New Roman" w:hAnsi="Times New Roman"/>
          <w:sz w:val="18"/>
          <w:szCs w:val="18"/>
          <w:color w:val="auto"/>
        </w:rPr>
        <w:t>As of September 30, 2024 and December 31, 2023, outstanding equity-classified warrants to purchase Common Shares consisted of the following:</w:t>
      </w:r>
    </w:p>
    <w:p>
      <w:pPr>
        <w:spacing w:after="0" w:line="137" w:lineRule="exact"/>
        <w:rPr>
          <w:sz w:val="20"/>
          <w:szCs w:val="20"/>
          <w:color w:val="auto"/>
        </w:rPr>
      </w:pPr>
    </w:p>
    <w:tbl>
      <w:tblPr>
        <w:tblLayout w:type="fixed"/>
        <w:tblInd w:w="1120" w:type="dxa"/>
        <w:tblCellMar>
          <w:top w:w="0" w:type="dxa"/>
          <w:left w:w="0" w:type="dxa"/>
          <w:bottom w:w="0" w:type="dxa"/>
          <w:right w:w="0" w:type="dxa"/>
        </w:tblCellMar>
      </w:tblPr>
      <w:tr>
        <w:trPr>
          <w:trHeight w:val="212"/>
        </w:trPr>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40" w:type="dxa"/>
            <w:vAlign w:val="bottom"/>
            <w:gridSpan w:val="5"/>
          </w:tcPr>
          <w:p>
            <w:pPr>
              <w:ind w:left="84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3060" w:type="dxa"/>
            <w:vAlign w:val="bottom"/>
            <w:gridSpan w:val="4"/>
          </w:tcPr>
          <w:p>
            <w:pPr>
              <w:jc w:val="right"/>
              <w:ind w:right="799"/>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33"/>
        </w:trPr>
        <w:tc>
          <w:tcPr>
            <w:tcW w:w="2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2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Number of Shares</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146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Number of Shares</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vMerge w:val="restart"/>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0" w:type="dxa"/>
            <w:vAlign w:val="bottom"/>
          </w:tcPr>
          <w:p>
            <w:pPr>
              <w:spacing w:after="0"/>
              <w:rPr>
                <w:sz w:val="1"/>
                <w:szCs w:val="1"/>
                <w:color w:val="auto"/>
              </w:rPr>
            </w:pPr>
          </w:p>
        </w:tc>
      </w:tr>
      <w:tr>
        <w:trPr>
          <w:trHeight w:val="176"/>
        </w:trPr>
        <w:tc>
          <w:tcPr>
            <w:tcW w:w="2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Issued and</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146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Issued and</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2800" w:type="dxa"/>
            <w:vAlign w:val="bottom"/>
            <w:gridSpan w:val="2"/>
          </w:tcPr>
          <w:p>
            <w:pPr>
              <w:ind w:left="980"/>
              <w:spacing w:after="0"/>
              <w:rPr>
                <w:sz w:val="20"/>
                <w:szCs w:val="20"/>
                <w:color w:val="auto"/>
              </w:rPr>
            </w:pPr>
            <w:r>
              <w:rPr>
                <w:rFonts w:ascii="Times New Roman" w:cs="Times New Roman" w:eastAsia="Times New Roman" w:hAnsi="Times New Roman"/>
                <w:sz w:val="16"/>
                <w:szCs w:val="16"/>
                <w:b w:val="1"/>
                <w:bCs w:val="1"/>
                <w:color w:val="auto"/>
              </w:rPr>
              <w:t>Expiration</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Exercisable</w:t>
            </w:r>
          </w:p>
        </w:tc>
        <w:tc>
          <w:tcPr>
            <w:tcW w:w="100" w:type="dxa"/>
            <w:vAlign w:val="bottom"/>
          </w:tcPr>
          <w:p>
            <w:pPr>
              <w:spacing w:after="0"/>
              <w:rPr>
                <w:sz w:val="20"/>
                <w:szCs w:val="20"/>
                <w:color w:val="auto"/>
              </w:rPr>
            </w:pPr>
          </w:p>
        </w:tc>
        <w:tc>
          <w:tcPr>
            <w:tcW w:w="158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(Canadian Dollars)</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Exercisable</w:t>
            </w:r>
          </w:p>
        </w:tc>
        <w:tc>
          <w:tcPr>
            <w:tcW w:w="100" w:type="dxa"/>
            <w:vAlign w:val="bottom"/>
          </w:tcPr>
          <w:p>
            <w:pPr>
              <w:spacing w:after="0"/>
              <w:rPr>
                <w:sz w:val="20"/>
                <w:szCs w:val="20"/>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(Canadian Dollars)</w:t>
            </w:r>
          </w:p>
        </w:tc>
        <w:tc>
          <w:tcPr>
            <w:tcW w:w="0" w:type="dxa"/>
            <w:vAlign w:val="bottom"/>
          </w:tcPr>
          <w:p>
            <w:pPr>
              <w:spacing w:after="0"/>
              <w:rPr>
                <w:sz w:val="1"/>
                <w:szCs w:val="1"/>
                <w:color w:val="auto"/>
              </w:rPr>
            </w:pPr>
          </w:p>
        </w:tc>
      </w:tr>
      <w:tr>
        <w:trPr>
          <w:trHeight w:val="223"/>
        </w:trPr>
        <w:tc>
          <w:tcPr>
            <w:tcW w:w="2700" w:type="dxa"/>
            <w:vAlign w:val="bottom"/>
            <w:tcBorders>
              <w:top w:val="single" w:sz="8" w:color="auto"/>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September 21, 2026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6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11,122,105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6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11,122,105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0" w:type="dxa"/>
            <w:vAlign w:val="bottom"/>
          </w:tcPr>
          <w:p>
            <w:pPr>
              <w:spacing w:after="0"/>
              <w:rPr>
                <w:sz w:val="1"/>
                <w:szCs w:val="1"/>
                <w:color w:val="auto"/>
              </w:rPr>
            </w:pPr>
          </w:p>
        </w:tc>
      </w:tr>
      <w:tr>
        <w:trPr>
          <w:trHeight w:val="210"/>
        </w:trPr>
        <w:tc>
          <w:tcPr>
            <w:tcW w:w="28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October 1, 2025</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648,783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8.12</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648,783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8.12</w:t>
            </w:r>
          </w:p>
        </w:tc>
        <w:tc>
          <w:tcPr>
            <w:tcW w:w="0" w:type="dxa"/>
            <w:vAlign w:val="bottom"/>
          </w:tcPr>
          <w:p>
            <w:pPr>
              <w:spacing w:after="0"/>
              <w:rPr>
                <w:sz w:val="1"/>
                <w:szCs w:val="1"/>
                <w:color w:val="auto"/>
              </w:rPr>
            </w:pPr>
          </w:p>
        </w:tc>
      </w:tr>
      <w:tr>
        <w:trPr>
          <w:trHeight w:val="33"/>
        </w:trPr>
        <w:tc>
          <w:tcPr>
            <w:tcW w:w="2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80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April 26, 2024</w:t>
            </w:r>
          </w:p>
        </w:tc>
        <w:tc>
          <w:tcPr>
            <w:tcW w:w="14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5,394,945</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3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10.35</w:t>
            </w:r>
          </w:p>
        </w:tc>
        <w:tc>
          <w:tcPr>
            <w:tcW w:w="0" w:type="dxa"/>
            <w:vAlign w:val="bottom"/>
          </w:tcPr>
          <w:p>
            <w:pPr>
              <w:spacing w:after="0"/>
              <w:rPr>
                <w:sz w:val="1"/>
                <w:szCs w:val="1"/>
                <w:color w:val="auto"/>
              </w:rPr>
            </w:pPr>
          </w:p>
        </w:tc>
      </w:tr>
      <w:tr>
        <w:trPr>
          <w:trHeight w:val="233"/>
        </w:trPr>
        <w:tc>
          <w:tcPr>
            <w:tcW w:w="2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11,770,888</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100" w:type="dxa"/>
            <w:vAlign w:val="bottom"/>
          </w:tcPr>
          <w:p>
            <w:pPr>
              <w:spacing w:after="0"/>
              <w:rPr>
                <w:sz w:val="20"/>
                <w:szCs w:val="20"/>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17,165,833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w:t>
            </w:r>
          </w:p>
        </w:tc>
        <w:tc>
          <w:tcPr>
            <w:tcW w:w="0" w:type="dxa"/>
            <w:vAlign w:val="bottom"/>
          </w:tcPr>
          <w:p>
            <w:pPr>
              <w:spacing w:after="0"/>
              <w:rPr>
                <w:sz w:val="1"/>
                <w:szCs w:val="1"/>
                <w:color w:val="auto"/>
              </w:rPr>
            </w:pPr>
          </w:p>
        </w:tc>
      </w:tr>
      <w:tr>
        <w:trPr>
          <w:trHeight w:val="23"/>
        </w:trPr>
        <w:tc>
          <w:tcPr>
            <w:tcW w:w="2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2430780</wp:posOffset>
            </wp:positionH>
            <wp:positionV relativeFrom="paragraph">
              <wp:posOffset>-1062355</wp:posOffset>
            </wp:positionV>
            <wp:extent cx="60325" cy="402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0325" cy="402590"/>
                    </a:xfrm>
                    <a:prstGeom prst="rect">
                      <a:avLst/>
                    </a:prstGeom>
                    <a:noFill/>
                  </pic:spPr>
                </pic:pic>
              </a:graphicData>
            </a:graphic>
          </wp:anchor>
        </w:drawing>
      </w:r>
    </w:p>
    <w:p>
      <w:pPr>
        <w:spacing w:after="0" w:line="19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Warrant activity for the nine months ended September 30, 2024 and 2023 are summarized in the table below:</w:t>
      </w:r>
    </w:p>
    <w:p>
      <w:pPr>
        <w:spacing w:after="0" w:line="201" w:lineRule="exact"/>
        <w:rPr>
          <w:sz w:val="20"/>
          <w:szCs w:val="20"/>
          <w:color w:val="auto"/>
        </w:rPr>
      </w:pPr>
    </w:p>
    <w:tbl>
      <w:tblPr>
        <w:tblLayout w:type="fixed"/>
        <w:tblInd w:w="7420" w:type="dxa"/>
        <w:tblCellMar>
          <w:top w:w="0" w:type="dxa"/>
          <w:left w:w="0" w:type="dxa"/>
          <w:bottom w:w="0" w:type="dxa"/>
          <w:right w:w="0" w:type="dxa"/>
        </w:tblCellMar>
      </w:tblPr>
      <w:tr>
        <w:trPr>
          <w:trHeight w:val="189"/>
        </w:trPr>
        <w:tc>
          <w:tcPr>
            <w:tcW w:w="1020" w:type="dxa"/>
            <w:vAlign w:val="bottom"/>
            <w:vMerge w:val="restart"/>
          </w:tcPr>
          <w:p>
            <w:pPr>
              <w:jc w:val="center"/>
              <w:ind w:right="199"/>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600" w:type="dxa"/>
            <w:vAlign w:val="bottom"/>
          </w:tcPr>
          <w:p>
            <w:pPr>
              <w:jc w:val="center"/>
              <w:ind w:left="199"/>
              <w:spacing w:after="0"/>
              <w:rPr>
                <w:sz w:val="20"/>
                <w:szCs w:val="20"/>
                <w:color w:val="auto"/>
              </w:rPr>
            </w:pPr>
            <w:r>
              <w:rPr>
                <w:rFonts w:ascii="Times New Roman" w:cs="Times New Roman" w:eastAsia="Times New Roman" w:hAnsi="Times New Roman"/>
                <w:sz w:val="16"/>
                <w:szCs w:val="16"/>
                <w:b w:val="1"/>
                <w:bCs w:val="1"/>
                <w:color w:val="auto"/>
              </w:rPr>
              <w:t>Weighted average</w:t>
            </w:r>
          </w:p>
        </w:tc>
        <w:tc>
          <w:tcPr>
            <w:tcW w:w="0" w:type="dxa"/>
            <w:vAlign w:val="bottom"/>
          </w:tcPr>
          <w:p>
            <w:pPr>
              <w:spacing w:after="0"/>
              <w:rPr>
                <w:sz w:val="1"/>
                <w:szCs w:val="1"/>
                <w:color w:val="auto"/>
              </w:rPr>
            </w:pPr>
          </w:p>
        </w:tc>
      </w:tr>
      <w:tr>
        <w:trPr>
          <w:trHeight w:val="175"/>
        </w:trPr>
        <w:tc>
          <w:tcPr>
            <w:tcW w:w="1020" w:type="dxa"/>
            <w:vAlign w:val="bottom"/>
            <w:vMerge w:val="continue"/>
          </w:tcPr>
          <w:p>
            <w:pPr>
              <w:spacing w:after="0"/>
              <w:rPr>
                <w:sz w:val="15"/>
                <w:szCs w:val="15"/>
                <w:color w:val="auto"/>
              </w:rPr>
            </w:pPr>
          </w:p>
        </w:tc>
        <w:tc>
          <w:tcPr>
            <w:tcW w:w="1600" w:type="dxa"/>
            <w:vAlign w:val="bottom"/>
          </w:tcPr>
          <w:p>
            <w:pPr>
              <w:jc w:val="center"/>
              <w:ind w:left="219"/>
              <w:spacing w:after="0" w:line="175" w:lineRule="exact"/>
              <w:rPr>
                <w:sz w:val="20"/>
                <w:szCs w:val="20"/>
                <w:color w:val="auto"/>
              </w:rPr>
            </w:pPr>
            <w:r>
              <w:rPr>
                <w:rFonts w:ascii="Times New Roman" w:cs="Times New Roman" w:eastAsia="Times New Roman" w:hAnsi="Times New Roman"/>
                <w:sz w:val="16"/>
                <w:szCs w:val="16"/>
                <w:b w:val="1"/>
                <w:bCs w:val="1"/>
                <w:color w:val="auto"/>
              </w:rPr>
              <w:t>exercise price</w:t>
            </w:r>
          </w:p>
        </w:tc>
        <w:tc>
          <w:tcPr>
            <w:tcW w:w="0" w:type="dxa"/>
            <w:vAlign w:val="bottom"/>
          </w:tcPr>
          <w:p>
            <w:pPr>
              <w:spacing w:after="0"/>
              <w:rPr>
                <w:sz w:val="1"/>
                <w:szCs w:val="1"/>
                <w:color w:val="auto"/>
              </w:rPr>
            </w:pPr>
          </w:p>
        </w:tc>
      </w:tr>
      <w:tr>
        <w:trPr>
          <w:trHeight w:val="212"/>
        </w:trPr>
        <w:tc>
          <w:tcPr>
            <w:tcW w:w="1020" w:type="dxa"/>
            <w:vAlign w:val="bottom"/>
          </w:tcPr>
          <w:p>
            <w:pPr>
              <w:jc w:val="center"/>
              <w:ind w:right="199"/>
              <w:spacing w:after="0"/>
              <w:rPr>
                <w:sz w:val="20"/>
                <w:szCs w:val="20"/>
                <w:color w:val="auto"/>
              </w:rPr>
            </w:pPr>
            <w:r>
              <w:rPr>
                <w:rFonts w:ascii="Times New Roman" w:cs="Times New Roman" w:eastAsia="Times New Roman" w:hAnsi="Times New Roman"/>
                <w:sz w:val="16"/>
                <w:szCs w:val="16"/>
                <w:b w:val="1"/>
                <w:bCs w:val="1"/>
                <w:color w:val="auto"/>
                <w:w w:val="98"/>
              </w:rPr>
              <w:t>Warrants</w:t>
            </w:r>
          </w:p>
        </w:tc>
        <w:tc>
          <w:tcPr>
            <w:tcW w:w="1600" w:type="dxa"/>
            <w:vAlign w:val="bottom"/>
          </w:tcPr>
          <w:p>
            <w:pPr>
              <w:jc w:val="center"/>
              <w:ind w:left="199"/>
              <w:spacing w:after="0"/>
              <w:rPr>
                <w:sz w:val="20"/>
                <w:szCs w:val="20"/>
                <w:color w:val="auto"/>
              </w:rPr>
            </w:pPr>
            <w:r>
              <w:rPr>
                <w:rFonts w:ascii="Times New Roman" w:cs="Times New Roman" w:eastAsia="Times New Roman" w:hAnsi="Times New Roman"/>
                <w:sz w:val="16"/>
                <w:szCs w:val="16"/>
                <w:b w:val="1"/>
                <w:bCs w:val="1"/>
                <w:color w:val="auto"/>
              </w:rPr>
              <w:t>(Canadian Dollars)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12065</wp:posOffset>
            </wp:positionV>
            <wp:extent cx="5734685" cy="1803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34685" cy="18034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6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color w:val="auto"/>
        </w:rPr>
        <w:t>Balance as of December 31, 2022</w:t>
      </w:r>
    </w:p>
    <w:p>
      <w:pPr>
        <w:spacing w:after="0" w:line="5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color w:val="auto"/>
        </w:rPr>
        <w:t>Expired</w:t>
      </w:r>
    </w:p>
    <w:p>
      <w:pPr>
        <w:spacing w:after="0" w:line="5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color w:val="auto"/>
        </w:rPr>
        <w:t>Balance as of September 30, 2023</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color w:val="auto"/>
        </w:rPr>
        <w:t>Balance as of December 31, 2023</w:t>
      </w:r>
    </w:p>
    <w:p>
      <w:pPr>
        <w:spacing w:after="0" w:line="5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color w:val="auto"/>
        </w:rPr>
        <w:t>Expired</w:t>
      </w:r>
    </w:p>
    <w:p>
      <w:pPr>
        <w:spacing w:after="0" w:line="5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color w:val="auto"/>
        </w:rPr>
        <w:t>Balance as of September 30, 2024</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4"/>
        </w:trPr>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11,482,766</w:t>
            </w:r>
          </w:p>
        </w:tc>
        <w:tc>
          <w:tcPr>
            <w:tcW w:w="100" w:type="dxa"/>
            <w:vAlign w:val="bottom"/>
          </w:tcPr>
          <w:p>
            <w:pPr>
              <w:spacing w:after="0"/>
              <w:rPr>
                <w:sz w:val="19"/>
                <w:szCs w:val="19"/>
                <w:color w:val="auto"/>
              </w:rPr>
            </w:pPr>
          </w:p>
        </w:tc>
        <w:tc>
          <w:tcPr>
            <w:tcW w:w="580" w:type="dxa"/>
            <w:vAlign w:val="bottom"/>
            <w:tcBorders>
              <w:top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7.22</w:t>
            </w:r>
          </w:p>
        </w:tc>
      </w:tr>
      <w:tr>
        <w:trPr>
          <w:trHeight w:val="256"/>
        </w:trPr>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(5,439,038)</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w:t>
            </w:r>
          </w:p>
        </w:tc>
      </w:tr>
      <w:tr>
        <w:trPr>
          <w:trHeight w:val="33"/>
        </w:trPr>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4"/>
        </w:trPr>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6,043,728</w:t>
            </w:r>
          </w:p>
        </w:tc>
        <w:tc>
          <w:tcPr>
            <w:tcW w:w="100" w:type="dxa"/>
            <w:vAlign w:val="bottom"/>
          </w:tcPr>
          <w:p>
            <w:pPr>
              <w:spacing w:after="0"/>
              <w:rPr>
                <w:sz w:val="17"/>
                <w:szCs w:val="17"/>
                <w:color w:val="auto"/>
              </w:rPr>
            </w:pPr>
          </w:p>
        </w:tc>
        <w:tc>
          <w:tcPr>
            <w:tcW w:w="58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10.11</w:t>
            </w:r>
          </w:p>
        </w:tc>
      </w:tr>
      <w:tr>
        <w:trPr>
          <w:trHeight w:val="33"/>
        </w:trPr>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716"/>
        </w:trPr>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17,165,833</w:t>
            </w:r>
          </w:p>
        </w:tc>
        <w:tc>
          <w:tcPr>
            <w:tcW w:w="100" w:type="dxa"/>
            <w:vAlign w:val="bottom"/>
          </w:tcPr>
          <w:p>
            <w:pPr>
              <w:spacing w:after="0"/>
              <w:rPr>
                <w:sz w:val="24"/>
                <w:szCs w:val="24"/>
                <w:color w:val="auto"/>
              </w:rPr>
            </w:pPr>
          </w:p>
        </w:tc>
        <w:tc>
          <w:tcPr>
            <w:tcW w:w="58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w:t>
            </w:r>
          </w:p>
        </w:tc>
      </w:tr>
      <w:tr>
        <w:trPr>
          <w:trHeight w:val="243"/>
        </w:trPr>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(5,394,945)</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10.35</w:t>
            </w:r>
          </w:p>
        </w:tc>
      </w:tr>
      <w:tr>
        <w:trPr>
          <w:trHeight w:val="33"/>
        </w:trPr>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4"/>
        </w:trPr>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11,770,888</w:t>
            </w:r>
          </w:p>
        </w:tc>
        <w:tc>
          <w:tcPr>
            <w:tcW w:w="100" w:type="dxa"/>
            <w:vAlign w:val="bottom"/>
          </w:tcPr>
          <w:p>
            <w:pPr>
              <w:spacing w:after="0"/>
              <w:rPr>
                <w:sz w:val="17"/>
                <w:szCs w:val="17"/>
                <w:color w:val="auto"/>
              </w:rPr>
            </w:pPr>
          </w:p>
        </w:tc>
        <w:tc>
          <w:tcPr>
            <w:tcW w:w="58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w:t>
            </w:r>
          </w:p>
        </w:tc>
      </w:tr>
      <w:tr>
        <w:trPr>
          <w:trHeight w:val="33"/>
        </w:trPr>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1"/>
        </w:trPr>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-3774440</wp:posOffset>
            </wp:positionH>
            <wp:positionV relativeFrom="paragraph">
              <wp:posOffset>-1028065</wp:posOffset>
            </wp:positionV>
            <wp:extent cx="5734685" cy="1803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34685" cy="180340"/>
                    </a:xfrm>
                    <a:prstGeom prst="rect">
                      <a:avLst/>
                    </a:prstGeom>
                    <a:noFill/>
                  </pic:spPr>
                </pic:pic>
              </a:graphicData>
            </a:graphic>
          </wp:anchor>
        </w:drawing>
        <w:drawing>
          <wp:anchor simplePos="0" relativeHeight="251657728" behindDoc="1" locked="0" layoutInCell="0" allowOverlap="1">
            <wp:simplePos x="0" y="0"/>
            <wp:positionH relativeFrom="column">
              <wp:posOffset>-3774440</wp:posOffset>
            </wp:positionH>
            <wp:positionV relativeFrom="paragraph">
              <wp:posOffset>-350520</wp:posOffset>
            </wp:positionV>
            <wp:extent cx="5734685" cy="1543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34685"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340" w:space="720"/>
            <w:col w:w="4180"/>
          </w:cols>
          <w:pgMar w:left="320" w:top="121" w:right="339" w:bottom="1440" w:gutter="0" w:footer="0" w:header="0"/>
          <w:type w:val="continuous"/>
        </w:sect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LOSS PER SHARE</w:t>
      </w:r>
    </w:p>
    <w:p>
      <w:pPr>
        <w:spacing w:after="0" w:line="14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Basic and diluted net loss per share attributable to the Company was calculated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780" w:type="dxa"/>
            <w:vAlign w:val="bottom"/>
            <w:gridSpan w:val="5"/>
          </w:tcPr>
          <w:p>
            <w:pPr>
              <w:ind w:left="4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80" w:type="dxa"/>
            <w:vAlign w:val="bottom"/>
          </w:tcPr>
          <w:p>
            <w:pPr>
              <w:spacing w:after="0"/>
              <w:rPr>
                <w:sz w:val="18"/>
                <w:szCs w:val="18"/>
                <w:color w:val="auto"/>
              </w:rPr>
            </w:pP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840" w:type="dxa"/>
            <w:vAlign w:val="bottom"/>
          </w:tcPr>
          <w:p>
            <w:pPr>
              <w:spacing w:after="0"/>
              <w:rPr>
                <w:sz w:val="18"/>
                <w:szCs w:val="18"/>
                <w:color w:val="auto"/>
              </w:rPr>
            </w:pPr>
          </w:p>
        </w:tc>
      </w:tr>
      <w:tr>
        <w:trPr>
          <w:trHeight w:val="237"/>
        </w:trPr>
        <w:tc>
          <w:tcPr>
            <w:tcW w:w="5020" w:type="dxa"/>
            <w:vAlign w:val="bottom"/>
          </w:tcPr>
          <w:p>
            <w:pPr>
              <w:spacing w:after="0"/>
              <w:rPr>
                <w:sz w:val="20"/>
                <w:szCs w:val="20"/>
                <w:color w:val="auto"/>
              </w:rPr>
            </w:pPr>
          </w:p>
        </w:tc>
        <w:tc>
          <w:tcPr>
            <w:tcW w:w="1580" w:type="dxa"/>
            <w:vAlign w:val="bottom"/>
            <w:tcBorders>
              <w:top w:val="single" w:sz="8" w:color="auto"/>
            </w:tcBorders>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14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 2023</w:t>
            </w:r>
          </w:p>
        </w:tc>
        <w:tc>
          <w:tcPr>
            <w:tcW w:w="100" w:type="dxa"/>
            <w:vAlign w:val="bottom"/>
          </w:tcPr>
          <w:p>
            <w:pPr>
              <w:spacing w:after="0"/>
              <w:rPr>
                <w:sz w:val="20"/>
                <w:szCs w:val="20"/>
                <w:color w:val="auto"/>
              </w:rPr>
            </w:pPr>
          </w:p>
        </w:tc>
        <w:tc>
          <w:tcPr>
            <w:tcW w:w="1580" w:type="dxa"/>
            <w:vAlign w:val="bottom"/>
            <w:tcBorders>
              <w:top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14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 2023</w:t>
            </w:r>
          </w:p>
        </w:tc>
      </w:tr>
      <w:tr>
        <w:trPr>
          <w:trHeight w:val="206"/>
        </w:trPr>
        <w:tc>
          <w:tcPr>
            <w:tcW w:w="502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Numerator:</w:t>
            </w:r>
          </w:p>
        </w:tc>
        <w:tc>
          <w:tcPr>
            <w:tcW w:w="380" w:type="dxa"/>
            <w:vAlign w:val="bottom"/>
            <w:tcBorders>
              <w:top w:val="single" w:sz="8" w:color="auto"/>
              <w:bottom w:val="single" w:sz="8" w:color="CFF0FC"/>
            </w:tcBorders>
            <w:shd w:val="clear" w:color="auto" w:fill="CFF0FC"/>
          </w:tcPr>
          <w:p>
            <w:pPr>
              <w:spacing w:after="0"/>
              <w:rPr>
                <w:sz w:val="17"/>
                <w:szCs w:val="17"/>
                <w:color w:val="auto"/>
              </w:rPr>
            </w:pPr>
          </w:p>
        </w:tc>
        <w:tc>
          <w:tcPr>
            <w:tcW w:w="1100" w:type="dxa"/>
            <w:vAlign w:val="bottom"/>
            <w:tcBorders>
              <w:top w:val="single" w:sz="8" w:color="auto"/>
              <w:bottom w:val="single" w:sz="8" w:color="CFF0FC"/>
            </w:tcBorders>
            <w:shd w:val="clear" w:color="auto" w:fill="CFF0FC"/>
          </w:tcPr>
          <w:p>
            <w:pPr>
              <w:spacing w:after="0"/>
              <w:rPr>
                <w:sz w:val="17"/>
                <w:szCs w:val="17"/>
                <w:color w:val="auto"/>
              </w:rPr>
            </w:pP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380" w:type="dxa"/>
            <w:vAlign w:val="bottom"/>
            <w:tcBorders>
              <w:top w:val="single" w:sz="8" w:color="auto"/>
              <w:bottom w:val="single" w:sz="8" w:color="CFF0FC"/>
            </w:tcBorders>
            <w:shd w:val="clear" w:color="auto" w:fill="CFF0FC"/>
          </w:tcPr>
          <w:p>
            <w:pPr>
              <w:spacing w:after="0"/>
              <w:rPr>
                <w:sz w:val="17"/>
                <w:szCs w:val="17"/>
                <w:color w:val="auto"/>
              </w:rPr>
            </w:pPr>
          </w:p>
        </w:tc>
        <w:tc>
          <w:tcPr>
            <w:tcW w:w="1100" w:type="dxa"/>
            <w:vAlign w:val="bottom"/>
            <w:tcBorders>
              <w:top w:val="single" w:sz="8" w:color="auto"/>
              <w:bottom w:val="single" w:sz="8" w:color="CFF0FC"/>
            </w:tcBorders>
            <w:shd w:val="clear" w:color="auto" w:fill="CFF0FC"/>
          </w:tcPr>
          <w:p>
            <w:pPr>
              <w:spacing w:after="0"/>
              <w:rPr>
                <w:sz w:val="17"/>
                <w:szCs w:val="17"/>
                <w:color w:val="auto"/>
              </w:rPr>
            </w:pP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380" w:type="dxa"/>
            <w:vAlign w:val="bottom"/>
            <w:tcBorders>
              <w:top w:val="single" w:sz="8" w:color="auto"/>
              <w:bottom w:val="single" w:sz="8" w:color="CFF0FC"/>
            </w:tcBorders>
            <w:shd w:val="clear" w:color="auto" w:fill="CFF0FC"/>
          </w:tcPr>
          <w:p>
            <w:pPr>
              <w:spacing w:after="0"/>
              <w:rPr>
                <w:sz w:val="17"/>
                <w:szCs w:val="17"/>
                <w:color w:val="auto"/>
              </w:rPr>
            </w:pPr>
          </w:p>
        </w:tc>
        <w:tc>
          <w:tcPr>
            <w:tcW w:w="1100" w:type="dxa"/>
            <w:vAlign w:val="bottom"/>
            <w:tcBorders>
              <w:top w:val="single" w:sz="8" w:color="auto"/>
              <w:bottom w:val="single" w:sz="8" w:color="CFF0FC"/>
            </w:tcBorders>
            <w:shd w:val="clear" w:color="auto" w:fill="CFF0FC"/>
          </w:tcPr>
          <w:p>
            <w:pPr>
              <w:spacing w:after="0"/>
              <w:rPr>
                <w:sz w:val="17"/>
                <w:szCs w:val="17"/>
                <w:color w:val="auto"/>
              </w:rPr>
            </w:pP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640" w:type="dxa"/>
            <w:vAlign w:val="bottom"/>
            <w:tcBorders>
              <w:top w:val="single" w:sz="8" w:color="auto"/>
              <w:bottom w:val="single" w:sz="8" w:color="CFF0FC"/>
            </w:tcBorders>
            <w:shd w:val="clear" w:color="auto" w:fill="CFF0FC"/>
          </w:tcPr>
          <w:p>
            <w:pPr>
              <w:spacing w:after="0"/>
              <w:rPr>
                <w:sz w:val="17"/>
                <w:szCs w:val="17"/>
                <w:color w:val="auto"/>
              </w:rPr>
            </w:pPr>
          </w:p>
        </w:tc>
        <w:tc>
          <w:tcPr>
            <w:tcW w:w="840" w:type="dxa"/>
            <w:vAlign w:val="bottom"/>
            <w:tcBorders>
              <w:top w:val="single" w:sz="8" w:color="auto"/>
              <w:bottom w:val="single" w:sz="8" w:color="CFF0FC"/>
            </w:tcBorders>
            <w:shd w:val="clear" w:color="auto" w:fill="CFF0FC"/>
          </w:tcPr>
          <w:p>
            <w:pPr>
              <w:spacing w:after="0"/>
              <w:rPr>
                <w:sz w:val="17"/>
                <w:szCs w:val="17"/>
                <w:color w:val="auto"/>
              </w:rPr>
            </w:pPr>
          </w:p>
        </w:tc>
      </w:tr>
      <w:tr>
        <w:trPr>
          <w:trHeight w:val="210"/>
        </w:trPr>
        <w:tc>
          <w:tcPr>
            <w:tcW w:w="50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loss</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(1,763)</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(36,180)</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(49,974)</w:t>
            </w:r>
          </w:p>
        </w:tc>
        <w:tc>
          <w:tcPr>
            <w:tcW w:w="100" w:type="dxa"/>
            <w:vAlign w:val="bottom"/>
          </w:tcPr>
          <w:p>
            <w:pPr>
              <w:spacing w:after="0"/>
              <w:rPr>
                <w:sz w:val="18"/>
                <w:szCs w:val="18"/>
                <w:color w:val="auto"/>
              </w:rPr>
            </w:pPr>
          </w:p>
        </w:tc>
        <w:tc>
          <w:tcPr>
            <w:tcW w:w="640" w:type="dxa"/>
            <w:vAlign w:val="bottom"/>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(101,789)</w:t>
            </w:r>
          </w:p>
        </w:tc>
      </w:tr>
      <w:tr>
        <w:trPr>
          <w:trHeight w:val="33"/>
        </w:trPr>
        <w:tc>
          <w:tcPr>
            <w:tcW w:w="5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43"/>
        </w:trPr>
        <w:tc>
          <w:tcPr>
            <w:tcW w:w="50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Less: net profit attributable to non-controlling interests</w:t>
            </w:r>
          </w:p>
        </w:tc>
        <w:tc>
          <w:tcPr>
            <w:tcW w:w="38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0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545</w:t>
            </w:r>
          </w:p>
        </w:tc>
        <w:tc>
          <w:tcPr>
            <w:tcW w:w="10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1,300</w:t>
            </w:r>
          </w:p>
        </w:tc>
        <w:tc>
          <w:tcPr>
            <w:tcW w:w="100" w:type="dxa"/>
            <w:vAlign w:val="bottom"/>
            <w:tcBorders>
              <w:bottom w:val="single" w:sz="8" w:color="CFF0FC"/>
            </w:tcBorders>
            <w:shd w:val="clear" w:color="auto" w:fill="CFF0FC"/>
          </w:tcPr>
          <w:p>
            <w:pPr>
              <w:spacing w:after="0"/>
              <w:rPr>
                <w:sz w:val="21"/>
                <w:szCs w:val="21"/>
                <w:color w:val="auto"/>
              </w:rPr>
            </w:pPr>
          </w:p>
        </w:tc>
        <w:tc>
          <w:tcPr>
            <w:tcW w:w="64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1,139</w:t>
            </w:r>
          </w:p>
        </w:tc>
      </w:tr>
      <w:tr>
        <w:trPr>
          <w:trHeight w:val="204"/>
        </w:trPr>
        <w:tc>
          <w:tcPr>
            <w:tcW w:w="50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loss attributable to shareholders</w:t>
            </w:r>
          </w:p>
        </w:tc>
        <w:tc>
          <w:tcPr>
            <w:tcW w:w="38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(1,860)</w:t>
            </w:r>
          </w:p>
        </w:tc>
        <w:tc>
          <w:tcPr>
            <w:tcW w:w="100" w:type="dxa"/>
            <w:vAlign w:val="bottom"/>
          </w:tcPr>
          <w:p>
            <w:pPr>
              <w:spacing w:after="0"/>
              <w:rPr>
                <w:sz w:val="17"/>
                <w:szCs w:val="17"/>
                <w:color w:val="auto"/>
              </w:rPr>
            </w:pPr>
          </w:p>
        </w:tc>
        <w:tc>
          <w:tcPr>
            <w:tcW w:w="38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(36,725)</w:t>
            </w:r>
          </w:p>
        </w:tc>
        <w:tc>
          <w:tcPr>
            <w:tcW w:w="100" w:type="dxa"/>
            <w:vAlign w:val="bottom"/>
          </w:tcPr>
          <w:p>
            <w:pPr>
              <w:spacing w:after="0"/>
              <w:rPr>
                <w:sz w:val="17"/>
                <w:szCs w:val="17"/>
                <w:color w:val="auto"/>
              </w:rPr>
            </w:pPr>
          </w:p>
        </w:tc>
        <w:tc>
          <w:tcPr>
            <w:tcW w:w="38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(51,274)</w:t>
            </w:r>
          </w:p>
        </w:tc>
        <w:tc>
          <w:tcPr>
            <w:tcW w:w="100" w:type="dxa"/>
            <w:vAlign w:val="bottom"/>
          </w:tcPr>
          <w:p>
            <w:pPr>
              <w:spacing w:after="0"/>
              <w:rPr>
                <w:sz w:val="17"/>
                <w:szCs w:val="17"/>
                <w:color w:val="auto"/>
              </w:rPr>
            </w:pPr>
          </w:p>
        </w:tc>
        <w:tc>
          <w:tcPr>
            <w:tcW w:w="640" w:type="dxa"/>
            <w:vAlign w:val="bottom"/>
            <w:tcBorders>
              <w:top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(102,928)</w:t>
            </w:r>
          </w:p>
        </w:tc>
      </w:tr>
      <w:tr>
        <w:trPr>
          <w:trHeight w:val="33"/>
        </w:trPr>
        <w:tc>
          <w:tcPr>
            <w:tcW w:w="50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
        </w:trPr>
        <w:tc>
          <w:tcPr>
            <w:tcW w:w="5020" w:type="dxa"/>
            <w:vAlign w:val="bottom"/>
            <w:tcBorders>
              <w:bottom w:val="single" w:sz="8" w:color="CFF0FC"/>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37"/>
        </w:trPr>
        <w:tc>
          <w:tcPr>
            <w:tcW w:w="502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r>
      <w:tr>
        <w:trPr>
          <w:trHeight w:val="210"/>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Denominator:</w:t>
            </w: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33"/>
        </w:trPr>
        <w:tc>
          <w:tcPr>
            <w:tcW w:w="5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43"/>
        </w:trPr>
        <w:tc>
          <w:tcPr>
            <w:tcW w:w="50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Weighted average shares outstanding - basic and diluted</w:t>
            </w:r>
          </w:p>
        </w:tc>
        <w:tc>
          <w:tcPr>
            <w:tcW w:w="38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470,552,039</w:t>
            </w:r>
          </w:p>
        </w:tc>
        <w:tc>
          <w:tcPr>
            <w:tcW w:w="10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409,113,721</w:t>
            </w:r>
          </w:p>
        </w:tc>
        <w:tc>
          <w:tcPr>
            <w:tcW w:w="10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458,988,976</w:t>
            </w:r>
          </w:p>
        </w:tc>
        <w:tc>
          <w:tcPr>
            <w:tcW w:w="100" w:type="dxa"/>
            <w:vAlign w:val="bottom"/>
            <w:tcBorders>
              <w:bottom w:val="single" w:sz="8" w:color="CFF0FC"/>
            </w:tcBorders>
            <w:shd w:val="clear" w:color="auto" w:fill="CFF0FC"/>
          </w:tcPr>
          <w:p>
            <w:pPr>
              <w:spacing w:after="0"/>
              <w:rPr>
                <w:sz w:val="21"/>
                <w:szCs w:val="21"/>
                <w:color w:val="auto"/>
              </w:rPr>
            </w:pPr>
          </w:p>
        </w:tc>
        <w:tc>
          <w:tcPr>
            <w:tcW w:w="64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405,472,948</w:t>
            </w:r>
          </w:p>
        </w:tc>
      </w:tr>
      <w:tr>
        <w:trPr>
          <w:trHeight w:val="204"/>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per share - basic and diluted</w:t>
            </w:r>
          </w:p>
        </w:tc>
        <w:tc>
          <w:tcPr>
            <w:tcW w:w="38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(0.004)</w:t>
            </w:r>
          </w:p>
        </w:tc>
        <w:tc>
          <w:tcPr>
            <w:tcW w:w="100" w:type="dxa"/>
            <w:vAlign w:val="bottom"/>
          </w:tcPr>
          <w:p>
            <w:pPr>
              <w:spacing w:after="0"/>
              <w:rPr>
                <w:sz w:val="17"/>
                <w:szCs w:val="17"/>
                <w:color w:val="auto"/>
              </w:rPr>
            </w:pPr>
          </w:p>
        </w:tc>
        <w:tc>
          <w:tcPr>
            <w:tcW w:w="38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(0.090)</w:t>
            </w:r>
          </w:p>
        </w:tc>
        <w:tc>
          <w:tcPr>
            <w:tcW w:w="100" w:type="dxa"/>
            <w:vAlign w:val="bottom"/>
          </w:tcPr>
          <w:p>
            <w:pPr>
              <w:spacing w:after="0"/>
              <w:rPr>
                <w:sz w:val="17"/>
                <w:szCs w:val="17"/>
                <w:color w:val="auto"/>
              </w:rPr>
            </w:pPr>
          </w:p>
        </w:tc>
        <w:tc>
          <w:tcPr>
            <w:tcW w:w="38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(0.112)</w:t>
            </w:r>
          </w:p>
        </w:tc>
        <w:tc>
          <w:tcPr>
            <w:tcW w:w="100" w:type="dxa"/>
            <w:vAlign w:val="bottom"/>
          </w:tcPr>
          <w:p>
            <w:pPr>
              <w:spacing w:after="0"/>
              <w:rPr>
                <w:sz w:val="17"/>
                <w:szCs w:val="17"/>
                <w:color w:val="auto"/>
              </w:rPr>
            </w:pPr>
          </w:p>
        </w:tc>
        <w:tc>
          <w:tcPr>
            <w:tcW w:w="640" w:type="dxa"/>
            <w:vAlign w:val="bottom"/>
            <w:tcBorders>
              <w:top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(0.254)</w:t>
            </w:r>
          </w:p>
        </w:tc>
      </w:tr>
      <w:tr>
        <w:trPr>
          <w:trHeight w:val="33"/>
        </w:trPr>
        <w:tc>
          <w:tcPr>
            <w:tcW w:w="50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
        </w:trPr>
        <w:tc>
          <w:tcPr>
            <w:tcW w:w="50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-668020</wp:posOffset>
            </wp:positionV>
            <wp:extent cx="6032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-668020</wp:posOffset>
            </wp:positionV>
            <wp:extent cx="6032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-668020</wp:posOffset>
            </wp:positionV>
            <wp:extent cx="6032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-1319530</wp:posOffset>
            </wp:positionV>
            <wp:extent cx="6032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-1319530</wp:posOffset>
            </wp:positionV>
            <wp:extent cx="6032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-1319530</wp:posOffset>
            </wp:positionV>
            <wp:extent cx="6032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91" w:lineRule="exact"/>
        <w:rPr>
          <w:sz w:val="20"/>
          <w:szCs w:val="20"/>
          <w:color w:val="auto"/>
        </w:rPr>
      </w:pPr>
    </w:p>
    <w:p>
      <w:pPr>
        <w:ind w:left="820" w:right="20"/>
        <w:spacing w:after="0" w:line="282" w:lineRule="auto"/>
        <w:rPr>
          <w:sz w:val="20"/>
          <w:szCs w:val="20"/>
          <w:color w:val="auto"/>
        </w:rPr>
      </w:pPr>
      <w:r>
        <w:rPr>
          <w:rFonts w:ascii="Times New Roman" w:cs="Times New Roman" w:eastAsia="Times New Roman" w:hAnsi="Times New Roman"/>
          <w:sz w:val="18"/>
          <w:szCs w:val="18"/>
          <w:color w:val="auto"/>
        </w:rPr>
        <w:t>Certain share-based equity awards were excluded from the computation of dilutive loss per share because inclusion of these awards would have had an anti-dilutive effect.</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COMMITMENTS AND CONTINGENCIES</w:t>
      </w:r>
    </w:p>
    <w:p>
      <w:pPr>
        <w:spacing w:after="0" w:line="162" w:lineRule="exact"/>
        <w:rPr>
          <w:sz w:val="20"/>
          <w:szCs w:val="20"/>
          <w:color w:val="auto"/>
        </w:rPr>
      </w:pPr>
    </w:p>
    <w:p>
      <w:pPr>
        <w:jc w:val="both"/>
        <w:ind w:left="820"/>
        <w:spacing w:after="0" w:line="256" w:lineRule="auto"/>
        <w:rPr>
          <w:sz w:val="20"/>
          <w:szCs w:val="20"/>
          <w:color w:val="auto"/>
        </w:rPr>
      </w:pPr>
      <w:r>
        <w:rPr>
          <w:rFonts w:ascii="Times New Roman" w:cs="Times New Roman" w:eastAsia="Times New Roman" w:hAnsi="Times New Roman"/>
          <w:sz w:val="18"/>
          <w:szCs w:val="18"/>
          <w:color w:val="auto"/>
        </w:rPr>
        <w:t>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members of its board of directors and senior management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w:t>
      </w:r>
    </w:p>
    <w:p>
      <w:pPr>
        <w:spacing w:after="0" w:line="106" w:lineRule="exact"/>
        <w:rPr>
          <w:sz w:val="20"/>
          <w:szCs w:val="20"/>
          <w:color w:val="auto"/>
        </w:rPr>
      </w:pPr>
    </w:p>
    <w:p>
      <w:pPr>
        <w:jc w:val="both"/>
        <w:ind w:left="820"/>
        <w:spacing w:after="0" w:line="261" w:lineRule="auto"/>
        <w:rPr>
          <w:sz w:val="20"/>
          <w:szCs w:val="20"/>
          <w:color w:val="auto"/>
        </w:rPr>
      </w:pPr>
      <w:r>
        <w:rPr>
          <w:rFonts w:ascii="Times New Roman" w:cs="Times New Roman" w:eastAsia="Times New Roman" w:hAnsi="Times New Roman"/>
          <w:sz w:val="18"/>
          <w:szCs w:val="18"/>
          <w:color w:val="auto"/>
        </w:rPr>
        <w:t>Additionally, the Company may be contingently liable with respect to other claims incidental to the ordinary course of its operations. In the opinion of management, and based on management’s consultation with legal counsel, the ultimate outcome of such other matters will not have a materially adverse effect on the Company. Accordingly, no provision has been made in these consolidated financial statements for losses, if any, which might result from the ultimate disposition of these matters should they arise.</w:t>
      </w:r>
    </w:p>
    <w:p>
      <w:pPr>
        <w:spacing w:after="0" w:line="392" w:lineRule="exact"/>
        <w:rPr>
          <w:sz w:val="20"/>
          <w:szCs w:val="20"/>
          <w:color w:val="auto"/>
        </w:rPr>
      </w:pPr>
    </w:p>
    <w:p>
      <w:pPr>
        <w:ind w:left="820" w:right="5400" w:hanging="812"/>
        <w:spacing w:after="0" w:line="424" w:lineRule="auto"/>
        <w:tabs>
          <w:tab w:leader="none" w:pos="325"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FINANCIAL INSTRUMENTS AND FAIR VALUE MEASUREMENTS </w:t>
      </w:r>
      <w:r>
        <w:rPr>
          <w:rFonts w:ascii="Times New Roman" w:cs="Times New Roman" w:eastAsia="Times New Roman" w:hAnsi="Times New Roman"/>
          <w:sz w:val="18"/>
          <w:szCs w:val="18"/>
          <w:i w:val="1"/>
          <w:iCs w:val="1"/>
          <w:u w:val="single" w:color="auto"/>
          <w:color w:val="auto"/>
        </w:rPr>
        <w:t>Fair Value Measurements</w:t>
      </w:r>
    </w:p>
    <w:p>
      <w:pPr>
        <w:spacing w:after="0" w:line="1" w:lineRule="exact"/>
        <w:rPr>
          <w:rFonts w:ascii="Times New Roman" w:cs="Times New Roman" w:eastAsia="Times New Roman" w:hAnsi="Times New Roman"/>
          <w:sz w:val="18"/>
          <w:szCs w:val="18"/>
          <w:b w:val="1"/>
          <w:bCs w:val="1"/>
          <w:color w:val="auto"/>
        </w:rPr>
      </w:pPr>
    </w:p>
    <w:p>
      <w:pPr>
        <w:ind w:left="8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presents the Company’s financial instruments that are measured at fair value on a recurring basis:</w:t>
      </w:r>
    </w:p>
    <w:p>
      <w:pPr>
        <w:spacing w:after="0" w:line="187" w:lineRule="exact"/>
        <w:rPr>
          <w:sz w:val="20"/>
          <w:szCs w:val="20"/>
          <w:color w:val="auto"/>
        </w:rPr>
      </w:pPr>
    </w:p>
    <w:tbl>
      <w:tblPr>
        <w:tblLayout w:type="fixed"/>
        <w:tblInd w:w="1100" w:type="dxa"/>
        <w:tblCellMar>
          <w:top w:w="0" w:type="dxa"/>
          <w:left w:w="0" w:type="dxa"/>
          <w:bottom w:w="0" w:type="dxa"/>
          <w:right w:w="0" w:type="dxa"/>
        </w:tblCellMar>
      </w:tblPr>
      <w:tr>
        <w:trPr>
          <w:trHeight w:val="212"/>
        </w:trPr>
        <w:tc>
          <w:tcPr>
            <w:tcW w:w="2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300" w:type="dxa"/>
            <w:vAlign w:val="bottom"/>
          </w:tcPr>
          <w:p>
            <w:pPr>
              <w:spacing w:after="0"/>
              <w:rPr>
                <w:sz w:val="18"/>
                <w:szCs w:val="18"/>
                <w:color w:val="auto"/>
              </w:rPr>
            </w:pPr>
          </w:p>
        </w:tc>
        <w:tc>
          <w:tcPr>
            <w:tcW w:w="128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300" w:type="dxa"/>
            <w:vAlign w:val="bottom"/>
          </w:tcPr>
          <w:p>
            <w:pPr>
              <w:spacing w:after="0"/>
              <w:rPr>
                <w:sz w:val="18"/>
                <w:szCs w:val="18"/>
                <w:color w:val="auto"/>
              </w:rPr>
            </w:pPr>
          </w:p>
        </w:tc>
        <w:tc>
          <w:tcPr>
            <w:tcW w:w="128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340" w:type="dxa"/>
            <w:vAlign w:val="bottom"/>
          </w:tcPr>
          <w:p>
            <w:pPr>
              <w:spacing w:after="0"/>
              <w:rPr>
                <w:sz w:val="18"/>
                <w:szCs w:val="18"/>
                <w:color w:val="auto"/>
              </w:rPr>
            </w:pPr>
          </w:p>
        </w:tc>
        <w:tc>
          <w:tcPr>
            <w:tcW w:w="114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33"/>
        </w:trPr>
        <w:tc>
          <w:tcPr>
            <w:tcW w:w="282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2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300" w:type="dxa"/>
            <w:vAlign w:val="bottom"/>
            <w:tcBorders>
              <w:bottom w:val="single" w:sz="8" w:color="CFF0FC"/>
            </w:tcBorders>
            <w:shd w:val="clear" w:color="auto" w:fill="CFF0FC"/>
          </w:tcPr>
          <w:p>
            <w:pPr>
              <w:spacing w:after="0"/>
              <w:rPr>
                <w:sz w:val="17"/>
                <w:szCs w:val="17"/>
                <w:color w:val="auto"/>
              </w:rPr>
            </w:pPr>
          </w:p>
        </w:tc>
        <w:tc>
          <w:tcPr>
            <w:tcW w:w="11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CFF0FC"/>
            </w:tcBorders>
            <w:shd w:val="clear" w:color="auto" w:fill="CFF0FC"/>
          </w:tcPr>
          <w:p>
            <w:pPr>
              <w:spacing w:after="0"/>
              <w:rPr>
                <w:sz w:val="17"/>
                <w:szCs w:val="17"/>
                <w:color w:val="auto"/>
              </w:rPr>
            </w:pPr>
          </w:p>
        </w:tc>
        <w:tc>
          <w:tcPr>
            <w:tcW w:w="11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CFF0FC"/>
            </w:tcBorders>
            <w:shd w:val="clear" w:color="auto" w:fill="CFF0FC"/>
          </w:tcPr>
          <w:p>
            <w:pPr>
              <w:spacing w:after="0"/>
              <w:rPr>
                <w:sz w:val="17"/>
                <w:szCs w:val="17"/>
                <w:color w:val="auto"/>
              </w:rPr>
            </w:pPr>
          </w:p>
        </w:tc>
        <w:tc>
          <w:tcPr>
            <w:tcW w:w="11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CFF0FC"/>
            </w:tcBorders>
            <w:shd w:val="clear" w:color="auto" w:fill="CFF0FC"/>
          </w:tcPr>
          <w:p>
            <w:pPr>
              <w:spacing w:after="0"/>
              <w:rPr>
                <w:sz w:val="17"/>
                <w:szCs w:val="17"/>
                <w:color w:val="auto"/>
              </w:rPr>
            </w:pPr>
          </w:p>
        </w:tc>
        <w:tc>
          <w:tcPr>
            <w:tcW w:w="114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Investment securities</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33,091</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2"/>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2"/>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33,091</w:t>
            </w:r>
          </w:p>
        </w:tc>
        <w:tc>
          <w:tcPr>
            <w:tcW w:w="0" w:type="dxa"/>
            <w:vAlign w:val="bottom"/>
          </w:tcPr>
          <w:p>
            <w:pPr>
              <w:spacing w:after="0"/>
              <w:rPr>
                <w:sz w:val="1"/>
                <w:szCs w:val="1"/>
                <w:color w:val="auto"/>
              </w:rPr>
            </w:pPr>
          </w:p>
        </w:tc>
      </w:tr>
      <w:tr>
        <w:trPr>
          <w:trHeight w:val="33"/>
        </w:trPr>
        <w:tc>
          <w:tcPr>
            <w:tcW w:w="282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2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33,091</w:t>
            </w:r>
          </w:p>
        </w:tc>
        <w:tc>
          <w:tcPr>
            <w:tcW w:w="10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FF0FC"/>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FF0FC"/>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33,091</w:t>
            </w:r>
          </w:p>
        </w:tc>
        <w:tc>
          <w:tcPr>
            <w:tcW w:w="0" w:type="dxa"/>
            <w:vAlign w:val="bottom"/>
          </w:tcPr>
          <w:p>
            <w:pPr>
              <w:spacing w:after="0"/>
              <w:rPr>
                <w:sz w:val="1"/>
                <w:szCs w:val="1"/>
                <w:color w:val="auto"/>
              </w:rPr>
            </w:pPr>
          </w:p>
        </w:tc>
      </w:tr>
      <w:tr>
        <w:trPr>
          <w:trHeight w:val="20"/>
        </w:trPr>
        <w:tc>
          <w:tcPr>
            <w:tcW w:w="2820" w:type="dxa"/>
            <w:vAlign w:val="bottom"/>
            <w:tcBorders>
              <w:top w:val="single" w:sz="8" w:color="CFF0FC"/>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Derivative liability</w:t>
            </w:r>
          </w:p>
        </w:tc>
        <w:tc>
          <w:tcPr>
            <w:tcW w:w="300" w:type="dxa"/>
            <w:vAlign w:val="bottom"/>
            <w:tcBorders>
              <w:top w:val="single" w:sz="8" w:color="CFF0FC"/>
            </w:tcBorders>
          </w:tcPr>
          <w:p>
            <w:pPr>
              <w:spacing w:after="0" w:line="20" w:lineRule="exact"/>
              <w:rPr>
                <w:sz w:val="1"/>
                <w:szCs w:val="1"/>
                <w:color w:val="auto"/>
              </w:rPr>
            </w:pPr>
          </w:p>
        </w:tc>
        <w:tc>
          <w:tcPr>
            <w:tcW w:w="1280" w:type="dxa"/>
            <w:vAlign w:val="bottom"/>
            <w:tcBorders>
              <w:top w:val="single" w:sz="8" w:color="CFF0FC"/>
            </w:tcBorders>
            <w:gridSpan w:val="2"/>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280" w:type="dxa"/>
            <w:vAlign w:val="bottom"/>
            <w:tcBorders>
              <w:top w:val="single" w:sz="8" w:color="CFF0FC"/>
            </w:tcBorders>
            <w:gridSpan w:val="2"/>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1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820" w:type="dxa"/>
            <w:vAlign w:val="bottom"/>
            <w:tcBorders>
              <w:top w:val="single" w:sz="8" w:color="CFF0FC"/>
            </w:tcBorders>
            <w:vMerge w:val="continue"/>
          </w:tcPr>
          <w:p>
            <w:pPr>
              <w:spacing w:after="0"/>
              <w:rPr>
                <w:sz w:val="16"/>
                <w:szCs w:val="16"/>
                <w:color w:val="auto"/>
              </w:rPr>
            </w:pPr>
          </w:p>
        </w:tc>
        <w:tc>
          <w:tcPr>
            <w:tcW w:w="30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30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30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(2,448)</w:t>
            </w:r>
          </w:p>
        </w:tc>
        <w:tc>
          <w:tcPr>
            <w:tcW w:w="100" w:type="dxa"/>
            <w:vAlign w:val="bottom"/>
          </w:tcPr>
          <w:p>
            <w:pPr>
              <w:spacing w:after="0"/>
              <w:rPr>
                <w:sz w:val="16"/>
                <w:szCs w:val="16"/>
                <w:color w:val="auto"/>
              </w:rPr>
            </w:pPr>
          </w:p>
        </w:tc>
        <w:tc>
          <w:tcPr>
            <w:tcW w:w="34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(2,448)</w:t>
            </w:r>
          </w:p>
        </w:tc>
        <w:tc>
          <w:tcPr>
            <w:tcW w:w="0" w:type="dxa"/>
            <w:vAlign w:val="bottom"/>
          </w:tcPr>
          <w:p>
            <w:pPr>
              <w:spacing w:after="0"/>
              <w:rPr>
                <w:sz w:val="1"/>
                <w:szCs w:val="1"/>
                <w:color w:val="auto"/>
              </w:rPr>
            </w:pPr>
          </w:p>
        </w:tc>
      </w:tr>
      <w:tr>
        <w:trPr>
          <w:trHeight w:val="33"/>
        </w:trPr>
        <w:tc>
          <w:tcPr>
            <w:tcW w:w="282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9"/>
        </w:trPr>
        <w:tc>
          <w:tcPr>
            <w:tcW w:w="2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liabilities</w:t>
            </w: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FF0FC"/>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(2,448)</w:t>
            </w:r>
          </w:p>
        </w:tc>
        <w:tc>
          <w:tcPr>
            <w:tcW w:w="10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(2,448)</w:t>
            </w:r>
          </w:p>
        </w:tc>
        <w:tc>
          <w:tcPr>
            <w:tcW w:w="0" w:type="dxa"/>
            <w:vAlign w:val="bottom"/>
          </w:tcPr>
          <w:p>
            <w:pPr>
              <w:spacing w:after="0"/>
              <w:rPr>
                <w:sz w:val="1"/>
                <w:szCs w:val="1"/>
                <w:color w:val="auto"/>
              </w:rPr>
            </w:pPr>
          </w:p>
        </w:tc>
      </w:tr>
      <w:tr>
        <w:trPr>
          <w:trHeight w:val="20"/>
        </w:trPr>
        <w:tc>
          <w:tcPr>
            <w:tcW w:w="28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bottom w:val="single" w:sz="8" w:color="auto"/>
            </w:tcBorders>
          </w:tcPr>
          <w:p>
            <w:pPr>
              <w:spacing w:after="0" w:line="20" w:lineRule="exact"/>
              <w:rPr>
                <w:sz w:val="1"/>
                <w:szCs w:val="1"/>
                <w:color w:val="auto"/>
              </w:rPr>
            </w:pPr>
          </w:p>
        </w:tc>
        <w:tc>
          <w:tcPr>
            <w:tcW w:w="11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bottom w:val="single" w:sz="8" w:color="auto"/>
            </w:tcBorders>
          </w:tcPr>
          <w:p>
            <w:pPr>
              <w:spacing w:after="0" w:line="20" w:lineRule="exact"/>
              <w:rPr>
                <w:sz w:val="1"/>
                <w:szCs w:val="1"/>
                <w:color w:val="auto"/>
              </w:rPr>
            </w:pPr>
          </w:p>
        </w:tc>
        <w:tc>
          <w:tcPr>
            <w:tcW w:w="11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bottom w:val="single" w:sz="8" w:color="auto"/>
            </w:tcBorders>
          </w:tcPr>
          <w:p>
            <w:pPr>
              <w:spacing w:after="0" w:line="20" w:lineRule="exact"/>
              <w:rPr>
                <w:sz w:val="1"/>
                <w:szCs w:val="1"/>
                <w:color w:val="auto"/>
              </w:rPr>
            </w:pPr>
          </w:p>
        </w:tc>
        <w:tc>
          <w:tcPr>
            <w:tcW w:w="11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114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300" w:type="dxa"/>
            <w:vAlign w:val="bottom"/>
            <w:tcBorders>
              <w:bottom w:val="single" w:sz="8" w:color="CFF0FC"/>
            </w:tcBorders>
            <w:shd w:val="clear" w:color="auto" w:fill="CFF0FC"/>
          </w:tcPr>
          <w:p>
            <w:pPr>
              <w:spacing w:after="0"/>
              <w:rPr>
                <w:sz w:val="19"/>
                <w:szCs w:val="19"/>
                <w:color w:val="auto"/>
              </w:rPr>
            </w:pPr>
          </w:p>
        </w:tc>
        <w:tc>
          <w:tcPr>
            <w:tcW w:w="11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spacing w:after="0"/>
              <w:rPr>
                <w:sz w:val="19"/>
                <w:szCs w:val="19"/>
                <w:color w:val="auto"/>
              </w:rPr>
            </w:pPr>
          </w:p>
        </w:tc>
        <w:tc>
          <w:tcPr>
            <w:tcW w:w="11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spacing w:after="0"/>
              <w:rPr>
                <w:sz w:val="19"/>
                <w:szCs w:val="19"/>
                <w:color w:val="auto"/>
              </w:rPr>
            </w:pPr>
          </w:p>
        </w:tc>
        <w:tc>
          <w:tcPr>
            <w:tcW w:w="11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Derivative liability</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2"/>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0" w:type="dxa"/>
            <w:vAlign w:val="bottom"/>
          </w:tcPr>
          <w:p>
            <w:pPr>
              <w:spacing w:after="0"/>
              <w:rPr>
                <w:sz w:val="1"/>
                <w:szCs w:val="1"/>
                <w:color w:val="auto"/>
              </w:rPr>
            </w:pPr>
          </w:p>
        </w:tc>
      </w:tr>
      <w:tr>
        <w:trPr>
          <w:trHeight w:val="237"/>
        </w:trPr>
        <w:tc>
          <w:tcPr>
            <w:tcW w:w="282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liabilities</w:t>
            </w:r>
          </w:p>
        </w:tc>
        <w:tc>
          <w:tcPr>
            <w:tcW w:w="300" w:type="dxa"/>
            <w:vAlign w:val="bottom"/>
            <w:tcBorders>
              <w:top w:val="single" w:sz="8" w:color="auto"/>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300" w:type="dxa"/>
            <w:vAlign w:val="bottom"/>
            <w:tcBorders>
              <w:top w:val="single" w:sz="8" w:color="auto"/>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FF0FC"/>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300" w:type="dxa"/>
            <w:vAlign w:val="bottom"/>
            <w:tcBorders>
              <w:top w:val="single" w:sz="8" w:color="auto"/>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340" w:type="dxa"/>
            <w:vAlign w:val="bottom"/>
            <w:tcBorders>
              <w:top w:val="single" w:sz="8" w:color="auto"/>
              <w:bottom w:val="single" w:sz="8" w:color="auto"/>
            </w:tcBorders>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0" w:type="dxa"/>
            <w:vAlign w:val="bottom"/>
          </w:tcPr>
          <w:p>
            <w:pPr>
              <w:spacing w:after="0"/>
              <w:rPr>
                <w:sz w:val="1"/>
                <w:szCs w:val="1"/>
                <w:color w:val="auto"/>
              </w:rPr>
            </w:pPr>
          </w:p>
        </w:tc>
      </w:tr>
      <w:tr>
        <w:trPr>
          <w:trHeight w:val="20"/>
        </w:trPr>
        <w:tc>
          <w:tcPr>
            <w:tcW w:w="28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bottom w:val="single" w:sz="8" w:color="auto"/>
            </w:tcBorders>
          </w:tcPr>
          <w:p>
            <w:pPr>
              <w:spacing w:after="0" w:line="20" w:lineRule="exact"/>
              <w:rPr>
                <w:sz w:val="1"/>
                <w:szCs w:val="1"/>
                <w:color w:val="auto"/>
              </w:rPr>
            </w:pPr>
          </w:p>
        </w:tc>
        <w:tc>
          <w:tcPr>
            <w:tcW w:w="11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bottom w:val="single" w:sz="8" w:color="auto"/>
            </w:tcBorders>
          </w:tcPr>
          <w:p>
            <w:pPr>
              <w:spacing w:after="0" w:line="20" w:lineRule="exact"/>
              <w:rPr>
                <w:sz w:val="1"/>
                <w:szCs w:val="1"/>
                <w:color w:val="auto"/>
              </w:rPr>
            </w:pPr>
          </w:p>
        </w:tc>
        <w:tc>
          <w:tcPr>
            <w:tcW w:w="11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bottom w:val="single" w:sz="8" w:color="auto"/>
            </w:tcBorders>
          </w:tcPr>
          <w:p>
            <w:pPr>
              <w:spacing w:after="0" w:line="20" w:lineRule="exact"/>
              <w:rPr>
                <w:sz w:val="1"/>
                <w:szCs w:val="1"/>
                <w:color w:val="auto"/>
              </w:rPr>
            </w:pPr>
          </w:p>
        </w:tc>
        <w:tc>
          <w:tcPr>
            <w:tcW w:w="11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114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During the period included in these financial statements, there were no transfers of amounts between levels.</w:t>
      </w:r>
    </w:p>
    <w:p>
      <w:pPr>
        <w:spacing w:after="0" w:line="144"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Level 1 investment securities are stated at observable inputs such as quoted prices in active markets.</w:t>
      </w:r>
    </w:p>
    <w:p>
      <w:pPr>
        <w:spacing w:after="0" w:line="15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The following table summarizes the valuation techniques and key inputs used in the fair value measurement of Level 3 financial instruments:</w:t>
      </w:r>
    </w:p>
    <w:p>
      <w:pPr>
        <w:spacing w:after="0" w:line="192" w:lineRule="exact"/>
        <w:rPr>
          <w:sz w:val="20"/>
          <w:szCs w:val="20"/>
          <w:color w:val="auto"/>
        </w:rPr>
      </w:pPr>
    </w:p>
    <w:tbl>
      <w:tblPr>
        <w:tblLayout w:type="fixed"/>
        <w:tblInd w:w="1100" w:type="dxa"/>
        <w:tblCellMar>
          <w:top w:w="0" w:type="dxa"/>
          <w:left w:w="0" w:type="dxa"/>
          <w:bottom w:w="0" w:type="dxa"/>
          <w:right w:w="0" w:type="dxa"/>
        </w:tblCellMar>
      </w:tblPr>
      <w:tr>
        <w:trPr>
          <w:trHeight w:val="184"/>
        </w:trPr>
        <w:tc>
          <w:tcPr>
            <w:tcW w:w="2180" w:type="dxa"/>
            <w:vAlign w:val="bottom"/>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rPr>
              <w:t>Financial asset/financial</w:t>
            </w:r>
          </w:p>
        </w:tc>
        <w:tc>
          <w:tcPr>
            <w:tcW w:w="2040" w:type="dxa"/>
            <w:vAlign w:val="bottom"/>
            <w:vMerge w:val="restart"/>
          </w:tcPr>
          <w:p>
            <w:pPr>
              <w:ind w:left="420"/>
              <w:spacing w:after="0"/>
              <w:rPr>
                <w:sz w:val="20"/>
                <w:szCs w:val="20"/>
                <w:color w:val="auto"/>
              </w:rPr>
            </w:pPr>
            <w:r>
              <w:rPr>
                <w:rFonts w:ascii="Times New Roman" w:cs="Times New Roman" w:eastAsia="Times New Roman" w:hAnsi="Times New Roman"/>
                <w:sz w:val="16"/>
                <w:szCs w:val="16"/>
                <w:b w:val="1"/>
                <w:bCs w:val="1"/>
                <w:color w:val="auto"/>
              </w:rPr>
              <w:t>Valuation techniques</w:t>
            </w:r>
          </w:p>
        </w:tc>
        <w:tc>
          <w:tcPr>
            <w:tcW w:w="2100" w:type="dxa"/>
            <w:vAlign w:val="bottom"/>
          </w:tcPr>
          <w:p>
            <w:pPr>
              <w:jc w:val="center"/>
              <w:ind w:left="99"/>
              <w:spacing w:after="0"/>
              <w:rPr>
                <w:sz w:val="20"/>
                <w:szCs w:val="20"/>
                <w:color w:val="auto"/>
              </w:rPr>
            </w:pPr>
            <w:r>
              <w:rPr>
                <w:rFonts w:ascii="Times New Roman" w:cs="Times New Roman" w:eastAsia="Times New Roman" w:hAnsi="Times New Roman"/>
                <w:sz w:val="16"/>
                <w:szCs w:val="16"/>
                <w:b w:val="1"/>
                <w:bCs w:val="1"/>
                <w:color w:val="auto"/>
              </w:rPr>
              <w:t>Significant unobservable</w:t>
            </w:r>
          </w:p>
        </w:tc>
        <w:tc>
          <w:tcPr>
            <w:tcW w:w="27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Relationship of unobservable</w:t>
            </w:r>
          </w:p>
        </w:tc>
        <w:tc>
          <w:tcPr>
            <w:tcW w:w="0" w:type="dxa"/>
            <w:vAlign w:val="bottom"/>
          </w:tcPr>
          <w:p>
            <w:pPr>
              <w:spacing w:after="0"/>
              <w:rPr>
                <w:sz w:val="1"/>
                <w:szCs w:val="1"/>
                <w:color w:val="auto"/>
              </w:rPr>
            </w:pPr>
          </w:p>
        </w:tc>
      </w:tr>
      <w:tr>
        <w:trPr>
          <w:trHeight w:val="131"/>
        </w:trPr>
        <w:tc>
          <w:tcPr>
            <w:tcW w:w="2180" w:type="dxa"/>
            <w:vAlign w:val="bottom"/>
            <w:vMerge w:val="restart"/>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rPr>
              <w:t>liability</w:t>
            </w:r>
          </w:p>
        </w:tc>
        <w:tc>
          <w:tcPr>
            <w:tcW w:w="2040" w:type="dxa"/>
            <w:vAlign w:val="bottom"/>
            <w:vMerge w:val="continue"/>
          </w:tcPr>
          <w:p>
            <w:pPr>
              <w:spacing w:after="0"/>
              <w:rPr>
                <w:sz w:val="11"/>
                <w:szCs w:val="11"/>
                <w:color w:val="auto"/>
              </w:rPr>
            </w:pPr>
          </w:p>
        </w:tc>
        <w:tc>
          <w:tcPr>
            <w:tcW w:w="2100" w:type="dxa"/>
            <w:vAlign w:val="bottom"/>
            <w:vMerge w:val="restart"/>
          </w:tcPr>
          <w:p>
            <w:pPr>
              <w:jc w:val="center"/>
              <w:ind w:left="99"/>
              <w:spacing w:after="0"/>
              <w:rPr>
                <w:sz w:val="20"/>
                <w:szCs w:val="20"/>
                <w:color w:val="auto"/>
              </w:rPr>
            </w:pPr>
            <w:r>
              <w:rPr>
                <w:rFonts w:ascii="Times New Roman" w:cs="Times New Roman" w:eastAsia="Times New Roman" w:hAnsi="Times New Roman"/>
                <w:sz w:val="16"/>
                <w:szCs w:val="16"/>
                <w:b w:val="1"/>
                <w:bCs w:val="1"/>
                <w:color w:val="auto"/>
              </w:rPr>
              <w:t>inputs</w:t>
            </w:r>
          </w:p>
        </w:tc>
        <w:tc>
          <w:tcPr>
            <w:tcW w:w="27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inputs to fair value</w:t>
            </w:r>
          </w:p>
        </w:tc>
        <w:tc>
          <w:tcPr>
            <w:tcW w:w="0" w:type="dxa"/>
            <w:vAlign w:val="bottom"/>
          </w:tcPr>
          <w:p>
            <w:pPr>
              <w:spacing w:after="0"/>
              <w:rPr>
                <w:sz w:val="1"/>
                <w:szCs w:val="1"/>
                <w:color w:val="auto"/>
              </w:rPr>
            </w:pPr>
          </w:p>
        </w:tc>
      </w:tr>
      <w:tr>
        <w:trPr>
          <w:trHeight w:val="81"/>
        </w:trPr>
        <w:tc>
          <w:tcPr>
            <w:tcW w:w="2180" w:type="dxa"/>
            <w:vAlign w:val="bottom"/>
            <w:vMerge w:val="continue"/>
          </w:tcPr>
          <w:p>
            <w:pPr>
              <w:spacing w:after="0"/>
              <w:rPr>
                <w:sz w:val="7"/>
                <w:szCs w:val="7"/>
                <w:color w:val="auto"/>
              </w:rPr>
            </w:pPr>
          </w:p>
        </w:tc>
        <w:tc>
          <w:tcPr>
            <w:tcW w:w="2040" w:type="dxa"/>
            <w:vAlign w:val="bottom"/>
          </w:tcPr>
          <w:p>
            <w:pPr>
              <w:spacing w:after="0"/>
              <w:rPr>
                <w:sz w:val="7"/>
                <w:szCs w:val="7"/>
                <w:color w:val="auto"/>
              </w:rPr>
            </w:pPr>
          </w:p>
        </w:tc>
        <w:tc>
          <w:tcPr>
            <w:tcW w:w="2100" w:type="dxa"/>
            <w:vAlign w:val="bottom"/>
            <w:vMerge w:val="continue"/>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7"/>
        </w:trPr>
        <w:tc>
          <w:tcPr>
            <w:tcW w:w="2180" w:type="dxa"/>
            <w:vAlign w:val="bottom"/>
          </w:tcPr>
          <w:p>
            <w:pPr>
              <w:spacing w:after="0"/>
              <w:rPr>
                <w:sz w:val="4"/>
                <w:szCs w:val="4"/>
                <w:color w:val="auto"/>
              </w:rPr>
            </w:pPr>
          </w:p>
        </w:tc>
        <w:tc>
          <w:tcPr>
            <w:tcW w:w="2040" w:type="dxa"/>
            <w:vAlign w:val="bottom"/>
          </w:tcPr>
          <w:p>
            <w:pPr>
              <w:spacing w:after="0"/>
              <w:rPr>
                <w:sz w:val="4"/>
                <w:szCs w:val="4"/>
                <w:color w:val="auto"/>
              </w:rPr>
            </w:pPr>
          </w:p>
        </w:tc>
        <w:tc>
          <w:tcPr>
            <w:tcW w:w="2100" w:type="dxa"/>
            <w:vAlign w:val="bottom"/>
          </w:tcPr>
          <w:p>
            <w:pPr>
              <w:spacing w:after="0"/>
              <w:rPr>
                <w:sz w:val="4"/>
                <w:szCs w:val="4"/>
                <w:color w:val="auto"/>
              </w:rPr>
            </w:pPr>
          </w:p>
        </w:tc>
        <w:tc>
          <w:tcPr>
            <w:tcW w:w="2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180" w:type="dxa"/>
            <w:vAlign w:val="bottom"/>
            <w:shd w:val="clear" w:color="auto" w:fill="CFF0FC"/>
          </w:tcPr>
          <w:p>
            <w:pPr>
              <w:ind w:left="60"/>
              <w:spacing w:after="0" w:line="175" w:lineRule="exact"/>
              <w:rPr>
                <w:sz w:val="20"/>
                <w:szCs w:val="20"/>
                <w:color w:val="auto"/>
              </w:rPr>
            </w:pPr>
            <w:r>
              <w:rPr>
                <w:rFonts w:ascii="Times New Roman" w:cs="Times New Roman" w:eastAsia="Times New Roman" w:hAnsi="Times New Roman"/>
                <w:sz w:val="16"/>
                <w:szCs w:val="16"/>
                <w:color w:val="auto"/>
              </w:rPr>
              <w:t>Derivative liability</w:t>
            </w:r>
          </w:p>
        </w:tc>
        <w:tc>
          <w:tcPr>
            <w:tcW w:w="2040" w:type="dxa"/>
            <w:vAlign w:val="bottom"/>
            <w:shd w:val="clear" w:color="auto" w:fill="CFF0FC"/>
          </w:tcPr>
          <w:p>
            <w:pPr>
              <w:ind w:left="180"/>
              <w:spacing w:after="0" w:line="175" w:lineRule="exact"/>
              <w:rPr>
                <w:sz w:val="20"/>
                <w:szCs w:val="20"/>
                <w:color w:val="auto"/>
              </w:rPr>
            </w:pPr>
            <w:r>
              <w:rPr>
                <w:rFonts w:ascii="Times New Roman" w:cs="Times New Roman" w:eastAsia="Times New Roman" w:hAnsi="Times New Roman"/>
                <w:sz w:val="16"/>
                <w:szCs w:val="16"/>
                <w:color w:val="auto"/>
              </w:rPr>
              <w:t>Market approach</w:t>
            </w:r>
          </w:p>
        </w:tc>
        <w:tc>
          <w:tcPr>
            <w:tcW w:w="2100" w:type="dxa"/>
            <w:vAlign w:val="bottom"/>
            <w:shd w:val="clear" w:color="auto" w:fill="CFF0FC"/>
          </w:tcPr>
          <w:p>
            <w:pPr>
              <w:ind w:left="160"/>
              <w:spacing w:after="0" w:line="175" w:lineRule="exact"/>
              <w:rPr>
                <w:sz w:val="20"/>
                <w:szCs w:val="20"/>
                <w:color w:val="auto"/>
              </w:rPr>
            </w:pPr>
            <w:r>
              <w:rPr>
                <w:rFonts w:ascii="Times New Roman" w:cs="Times New Roman" w:eastAsia="Times New Roman" w:hAnsi="Times New Roman"/>
                <w:sz w:val="16"/>
                <w:szCs w:val="16"/>
                <w:color w:val="auto"/>
              </w:rPr>
              <w:t>Conversion Period</w:t>
            </w:r>
          </w:p>
        </w:tc>
        <w:tc>
          <w:tcPr>
            <w:tcW w:w="2740" w:type="dxa"/>
            <w:vAlign w:val="bottom"/>
            <w:shd w:val="clear" w:color="auto" w:fill="CFF0FC"/>
          </w:tcPr>
          <w:p>
            <w:pPr>
              <w:ind w:left="120"/>
              <w:spacing w:after="0" w:line="175" w:lineRule="exact"/>
              <w:rPr>
                <w:sz w:val="20"/>
                <w:szCs w:val="20"/>
                <w:color w:val="auto"/>
              </w:rPr>
            </w:pPr>
            <w:r>
              <w:rPr>
                <w:rFonts w:ascii="Times New Roman" w:cs="Times New Roman" w:eastAsia="Times New Roman" w:hAnsi="Times New Roman"/>
                <w:sz w:val="16"/>
                <w:szCs w:val="16"/>
                <w:color w:val="auto"/>
              </w:rPr>
              <w:t>Increase or decrease in conversion</w:t>
            </w:r>
          </w:p>
        </w:tc>
        <w:tc>
          <w:tcPr>
            <w:tcW w:w="0" w:type="dxa"/>
            <w:vAlign w:val="bottom"/>
          </w:tcPr>
          <w:p>
            <w:pPr>
              <w:spacing w:after="0"/>
              <w:rPr>
                <w:sz w:val="1"/>
                <w:szCs w:val="1"/>
                <w:color w:val="auto"/>
              </w:rPr>
            </w:pPr>
          </w:p>
        </w:tc>
      </w:tr>
      <w:tr>
        <w:trPr>
          <w:trHeight w:val="189"/>
        </w:trPr>
        <w:tc>
          <w:tcPr>
            <w:tcW w:w="2180" w:type="dxa"/>
            <w:vAlign w:val="bottom"/>
            <w:shd w:val="clear" w:color="auto" w:fill="CFF0FC"/>
          </w:tcPr>
          <w:p>
            <w:pPr>
              <w:spacing w:after="0"/>
              <w:rPr>
                <w:sz w:val="16"/>
                <w:szCs w:val="16"/>
                <w:color w:val="auto"/>
              </w:rPr>
            </w:pPr>
          </w:p>
        </w:tc>
        <w:tc>
          <w:tcPr>
            <w:tcW w:w="2040" w:type="dxa"/>
            <w:vAlign w:val="bottom"/>
            <w:shd w:val="clear" w:color="auto" w:fill="CFF0FC"/>
          </w:tcPr>
          <w:p>
            <w:pPr>
              <w:spacing w:after="0"/>
              <w:rPr>
                <w:sz w:val="16"/>
                <w:szCs w:val="16"/>
                <w:color w:val="auto"/>
              </w:rPr>
            </w:pPr>
          </w:p>
        </w:tc>
        <w:tc>
          <w:tcPr>
            <w:tcW w:w="2100" w:type="dxa"/>
            <w:vAlign w:val="bottom"/>
            <w:shd w:val="clear" w:color="auto" w:fill="CFF0FC"/>
          </w:tcPr>
          <w:p>
            <w:pPr>
              <w:spacing w:after="0"/>
              <w:rPr>
                <w:sz w:val="16"/>
                <w:szCs w:val="16"/>
                <w:color w:val="auto"/>
              </w:rPr>
            </w:pPr>
          </w:p>
        </w:tc>
        <w:tc>
          <w:tcPr>
            <w:tcW w:w="2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period will result in an increase or</w:t>
            </w:r>
          </w:p>
        </w:tc>
        <w:tc>
          <w:tcPr>
            <w:tcW w:w="0" w:type="dxa"/>
            <w:vAlign w:val="bottom"/>
          </w:tcPr>
          <w:p>
            <w:pPr>
              <w:spacing w:after="0"/>
              <w:rPr>
                <w:sz w:val="1"/>
                <w:szCs w:val="1"/>
                <w:color w:val="auto"/>
              </w:rPr>
            </w:pPr>
          </w:p>
        </w:tc>
      </w:tr>
      <w:tr>
        <w:trPr>
          <w:trHeight w:val="210"/>
        </w:trPr>
        <w:tc>
          <w:tcPr>
            <w:tcW w:w="2180" w:type="dxa"/>
            <w:vAlign w:val="bottom"/>
            <w:shd w:val="clear" w:color="auto" w:fill="CFF0FC"/>
          </w:tcPr>
          <w:p>
            <w:pPr>
              <w:spacing w:after="0"/>
              <w:rPr>
                <w:sz w:val="18"/>
                <w:szCs w:val="18"/>
                <w:color w:val="auto"/>
              </w:rPr>
            </w:pPr>
          </w:p>
        </w:tc>
        <w:tc>
          <w:tcPr>
            <w:tcW w:w="2040" w:type="dxa"/>
            <w:vAlign w:val="bottom"/>
            <w:shd w:val="clear" w:color="auto" w:fill="CFF0FC"/>
          </w:tcPr>
          <w:p>
            <w:pPr>
              <w:spacing w:after="0"/>
              <w:rPr>
                <w:sz w:val="18"/>
                <w:szCs w:val="18"/>
                <w:color w:val="auto"/>
              </w:rPr>
            </w:pPr>
          </w:p>
        </w:tc>
        <w:tc>
          <w:tcPr>
            <w:tcW w:w="2100" w:type="dxa"/>
            <w:vAlign w:val="bottom"/>
            <w:shd w:val="clear" w:color="auto" w:fill="CFF0FC"/>
          </w:tcPr>
          <w:p>
            <w:pPr>
              <w:spacing w:after="0"/>
              <w:rPr>
                <w:sz w:val="18"/>
                <w:szCs w:val="18"/>
                <w:color w:val="auto"/>
              </w:rPr>
            </w:pPr>
          </w:p>
        </w:tc>
        <w:tc>
          <w:tcPr>
            <w:tcW w:w="2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decrease in fair value</w:t>
            </w:r>
          </w:p>
        </w:tc>
        <w:tc>
          <w:tcPr>
            <w:tcW w:w="0" w:type="dxa"/>
            <w:vAlign w:val="bottom"/>
          </w:tcPr>
          <w:p>
            <w:pPr>
              <w:spacing w:after="0"/>
              <w:rPr>
                <w:sz w:val="1"/>
                <w:szCs w:val="1"/>
                <w:color w:val="auto"/>
              </w:rPr>
            </w:pPr>
          </w:p>
        </w:tc>
      </w:tr>
      <w:tr>
        <w:trPr>
          <w:trHeight w:val="33"/>
        </w:trPr>
        <w:tc>
          <w:tcPr>
            <w:tcW w:w="2180" w:type="dxa"/>
            <w:vAlign w:val="bottom"/>
            <w:shd w:val="clear" w:color="auto" w:fill="CFF0FC"/>
          </w:tcPr>
          <w:p>
            <w:pPr>
              <w:spacing w:after="0"/>
              <w:rPr>
                <w:sz w:val="2"/>
                <w:szCs w:val="2"/>
                <w:color w:val="auto"/>
              </w:rPr>
            </w:pPr>
          </w:p>
        </w:tc>
        <w:tc>
          <w:tcPr>
            <w:tcW w:w="2040" w:type="dxa"/>
            <w:vAlign w:val="bottom"/>
            <w:shd w:val="clear" w:color="auto" w:fill="CFF0FC"/>
          </w:tcPr>
          <w:p>
            <w:pPr>
              <w:spacing w:after="0"/>
              <w:rPr>
                <w:sz w:val="2"/>
                <w:szCs w:val="2"/>
                <w:color w:val="auto"/>
              </w:rPr>
            </w:pPr>
          </w:p>
        </w:tc>
        <w:tc>
          <w:tcPr>
            <w:tcW w:w="2100" w:type="dxa"/>
            <w:vAlign w:val="bottom"/>
            <w:shd w:val="clear" w:color="auto" w:fill="CFF0FC"/>
          </w:tcPr>
          <w:p>
            <w:pPr>
              <w:spacing w:after="0"/>
              <w:rPr>
                <w:sz w:val="2"/>
                <w:szCs w:val="2"/>
                <w:color w:val="auto"/>
              </w:rPr>
            </w:pPr>
          </w:p>
        </w:tc>
        <w:tc>
          <w:tcPr>
            <w:tcW w:w="274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820"/>
        <w:spacing w:after="0" w:line="258" w:lineRule="auto"/>
        <w:rPr>
          <w:sz w:val="20"/>
          <w:szCs w:val="20"/>
          <w:color w:val="auto"/>
        </w:rPr>
      </w:pPr>
      <w:r>
        <w:rPr>
          <w:rFonts w:ascii="Times New Roman" w:cs="Times New Roman" w:eastAsia="Times New Roman" w:hAnsi="Times New Roman"/>
          <w:sz w:val="18"/>
          <w:szCs w:val="18"/>
          <w:color w:val="auto"/>
        </w:rPr>
        <w:t>There has been no change in the valuation methodology for the three and nine months ended September 30, 2024. The carrying amounts of cash and restricted cash, accounts receivable, other current assets, accounts payable, accrued expenses, other current liabilities, the current portion of long-term debt, and lease liability as of September 30, 2024 and December 31, 2023 approximate their fair values because of the short-term nature of these items and are not included in the table above. The Company’s other long-term liabilities and long-term debt approximate fair value due to the market rate of interest used on initial recognition.</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820"/>
        <w:spacing w:after="0" w:line="259" w:lineRule="auto"/>
        <w:rPr>
          <w:sz w:val="20"/>
          <w:szCs w:val="20"/>
          <w:color w:val="auto"/>
        </w:rPr>
      </w:pPr>
      <w:r>
        <w:rPr>
          <w:rFonts w:ascii="Times New Roman" w:cs="Times New Roman" w:eastAsia="Times New Roman" w:hAnsi="Times New Roman"/>
          <w:sz w:val="18"/>
          <w:szCs w:val="18"/>
          <w:color w:val="auto"/>
        </w:rPr>
        <w:t>In addition to the disclosures for assets and liabilities required to be measured at fair value at the balance sheet date, companies are required to disclose the estimated fair values of all financial instruments, even if they are not presented at their fair value on the consolidated balance sheet. The fair values of financial instruments are estimates based upon market conditions and perceived risks as of September 30, 2024 and December 31, 2023. These estimates require management's judgment and may not be indicative of the future fair values of the assets and liabilities.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GOODWILL AND INTANGIBLE ASSETS</w:t>
      </w:r>
    </w:p>
    <w:p>
      <w:pPr>
        <w:spacing w:after="0" w:line="14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Goodwill and intangible assets consist of the following:</w:t>
      </w:r>
    </w:p>
    <w:p>
      <w:pPr>
        <w:spacing w:after="0" w:line="201" w:lineRule="exact"/>
        <w:rPr>
          <w:sz w:val="20"/>
          <w:szCs w:val="20"/>
          <w:color w:val="auto"/>
        </w:rPr>
      </w:pPr>
    </w:p>
    <w:tbl>
      <w:tblPr>
        <w:tblLayout w:type="fixed"/>
        <w:tblInd w:w="1560" w:type="dxa"/>
        <w:tblCellMar>
          <w:top w:w="0" w:type="dxa"/>
          <w:left w:w="0" w:type="dxa"/>
          <w:bottom w:w="0" w:type="dxa"/>
          <w:right w:w="0" w:type="dxa"/>
        </w:tblCellMar>
      </w:tblPr>
      <w:tr>
        <w:trPr>
          <w:trHeight w:val="212"/>
        </w:trPr>
        <w:tc>
          <w:tcPr>
            <w:tcW w:w="5040" w:type="dxa"/>
            <w:vAlign w:val="bottom"/>
          </w:tcPr>
          <w:p>
            <w:pPr>
              <w:spacing w:after="0"/>
              <w:rPr>
                <w:sz w:val="18"/>
                <w:szCs w:val="18"/>
                <w:color w:val="auto"/>
              </w:rPr>
            </w:pPr>
          </w:p>
        </w:tc>
        <w:tc>
          <w:tcPr>
            <w:tcW w:w="158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100" w:type="dxa"/>
            <w:vAlign w:val="bottom"/>
          </w:tcPr>
          <w:p>
            <w:pPr>
              <w:spacing w:after="0"/>
              <w:rPr>
                <w:sz w:val="18"/>
                <w:szCs w:val="18"/>
                <w:color w:val="auto"/>
              </w:rPr>
            </w:pP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33"/>
        </w:trPr>
        <w:tc>
          <w:tcPr>
            <w:tcW w:w="5040" w:type="dxa"/>
            <w:vAlign w:val="bottom"/>
            <w:tcBorders>
              <w:bottom w:val="single" w:sz="8" w:color="CFF0FC"/>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16"/>
        </w:trPr>
        <w:tc>
          <w:tcPr>
            <w:tcW w:w="50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460" w:type="dxa"/>
            <w:vAlign w:val="bottom"/>
            <w:tcBorders>
              <w:bottom w:val="single" w:sz="8" w:color="CFF0FC"/>
            </w:tcBorders>
            <w:shd w:val="clear" w:color="auto" w:fill="CFF0FC"/>
          </w:tcPr>
          <w:p>
            <w:pPr>
              <w:jc w:val="right"/>
              <w:ind w:right="29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19,274</w:t>
            </w:r>
          </w:p>
        </w:tc>
      </w:tr>
      <w:tr>
        <w:trPr>
          <w:trHeight w:val="210"/>
        </w:trPr>
        <w:tc>
          <w:tcPr>
            <w:tcW w:w="5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accumulated impairment on goodwill</w:t>
            </w:r>
          </w:p>
        </w:tc>
        <w:tc>
          <w:tcPr>
            <w:tcW w:w="4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(19,274)</w:t>
            </w:r>
          </w:p>
        </w:tc>
      </w:tr>
      <w:tr>
        <w:trPr>
          <w:trHeight w:val="33"/>
        </w:trPr>
        <w:tc>
          <w:tcPr>
            <w:tcW w:w="5040" w:type="dxa"/>
            <w:vAlign w:val="bottom"/>
            <w:tcBorders>
              <w:bottom w:val="single" w:sz="8" w:color="CFF0FC"/>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9"/>
        </w:trPr>
        <w:tc>
          <w:tcPr>
            <w:tcW w:w="50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goodwill, net</w:t>
            </w:r>
          </w:p>
        </w:tc>
        <w:tc>
          <w:tcPr>
            <w:tcW w:w="460" w:type="dxa"/>
            <w:vAlign w:val="bottom"/>
            <w:tcBorders>
              <w:bottom w:val="single" w:sz="8" w:color="auto"/>
            </w:tcBorders>
            <w:shd w:val="clear" w:color="auto" w:fill="CFF0FC"/>
          </w:tcPr>
          <w:p>
            <w:pPr>
              <w:spacing w:after="0"/>
              <w:rPr>
                <w:sz w:val="22"/>
                <w:szCs w:val="22"/>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auto"/>
            </w:tcBorders>
            <w:shd w:val="clear" w:color="auto" w:fill="CFF0FC"/>
          </w:tcPr>
          <w:p>
            <w:pPr>
              <w:spacing w:after="0"/>
              <w:rPr>
                <w:sz w:val="22"/>
                <w:szCs w:val="22"/>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504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CFF0FC"/>
              <w:bottom w:val="single" w:sz="8" w:color="auto"/>
            </w:tcBorders>
          </w:tcPr>
          <w:p>
            <w:pPr>
              <w:spacing w:after="0" w:line="20" w:lineRule="exact"/>
              <w:rPr>
                <w:sz w:val="1"/>
                <w:szCs w:val="1"/>
                <w:color w:val="auto"/>
              </w:rPr>
            </w:pPr>
          </w:p>
        </w:tc>
        <w:tc>
          <w:tcPr>
            <w:tcW w:w="104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bottom w:val="single" w:sz="8" w:color="auto"/>
            </w:tcBorders>
          </w:tcPr>
          <w:p>
            <w:pPr>
              <w:spacing w:after="0" w:line="20" w:lineRule="exact"/>
              <w:rPr>
                <w:sz w:val="1"/>
                <w:szCs w:val="1"/>
                <w:color w:val="auto"/>
              </w:rPr>
            </w:pPr>
          </w:p>
        </w:tc>
        <w:tc>
          <w:tcPr>
            <w:tcW w:w="1420" w:type="dxa"/>
            <w:vAlign w:val="bottom"/>
            <w:tcBorders>
              <w:top w:val="single" w:sz="8" w:color="CFF0FC"/>
              <w:bottom w:val="single" w:sz="8" w:color="auto"/>
            </w:tcBorders>
          </w:tcPr>
          <w:p>
            <w:pPr>
              <w:spacing w:after="0" w:line="20" w:lineRule="exact"/>
              <w:rPr>
                <w:sz w:val="1"/>
                <w:szCs w:val="1"/>
                <w:color w:val="auto"/>
              </w:rPr>
            </w:pPr>
          </w:p>
        </w:tc>
      </w:tr>
      <w:tr>
        <w:trPr>
          <w:trHeight w:val="220"/>
        </w:trPr>
        <w:tc>
          <w:tcPr>
            <w:tcW w:w="50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3"/>
        </w:trPr>
        <w:tc>
          <w:tcPr>
            <w:tcW w:w="50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Licenses</w:t>
            </w:r>
          </w:p>
        </w:tc>
        <w:tc>
          <w:tcPr>
            <w:tcW w:w="46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127,236</w:t>
            </w:r>
          </w:p>
        </w:tc>
        <w:tc>
          <w:tcPr>
            <w:tcW w:w="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108,700</w:t>
            </w:r>
          </w:p>
        </w:tc>
      </w:tr>
      <w:tr>
        <w:trPr>
          <w:trHeight w:val="210"/>
        </w:trPr>
        <w:tc>
          <w:tcPr>
            <w:tcW w:w="5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Trademarks</w:t>
            </w: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24,881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45,936</w:t>
            </w:r>
          </w:p>
        </w:tc>
      </w:tr>
      <w:tr>
        <w:trPr>
          <w:trHeight w:val="33"/>
        </w:trPr>
        <w:tc>
          <w:tcPr>
            <w:tcW w:w="5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43"/>
        </w:trPr>
        <w:tc>
          <w:tcPr>
            <w:tcW w:w="50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Customer relationships</w:t>
            </w:r>
          </w:p>
        </w:tc>
        <w:tc>
          <w:tcPr>
            <w:tcW w:w="46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15,264</w:t>
            </w:r>
          </w:p>
        </w:tc>
        <w:tc>
          <w:tcPr>
            <w:tcW w:w="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15,263</w:t>
            </w:r>
          </w:p>
        </w:tc>
      </w:tr>
      <w:tr>
        <w:trPr>
          <w:trHeight w:val="204"/>
        </w:trPr>
        <w:tc>
          <w:tcPr>
            <w:tcW w:w="5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intangible assets</w:t>
            </w:r>
          </w:p>
        </w:tc>
        <w:tc>
          <w:tcPr>
            <w:tcW w:w="4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167,381</w:t>
            </w: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169,899</w:t>
            </w:r>
          </w:p>
        </w:tc>
      </w:tr>
      <w:tr>
        <w:trPr>
          <w:trHeight w:val="33"/>
        </w:trPr>
        <w:tc>
          <w:tcPr>
            <w:tcW w:w="5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43"/>
        </w:trPr>
        <w:tc>
          <w:tcPr>
            <w:tcW w:w="50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Less: accumulated amortization</w:t>
            </w:r>
          </w:p>
        </w:tc>
        <w:tc>
          <w:tcPr>
            <w:tcW w:w="46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(101,107)</w:t>
            </w:r>
          </w:p>
        </w:tc>
        <w:tc>
          <w:tcPr>
            <w:tcW w:w="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(93,132)</w:t>
            </w:r>
          </w:p>
        </w:tc>
      </w:tr>
      <w:tr>
        <w:trPr>
          <w:trHeight w:val="234"/>
        </w:trPr>
        <w:tc>
          <w:tcPr>
            <w:tcW w:w="5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intangible assets, net</w:t>
            </w:r>
          </w:p>
        </w:tc>
        <w:tc>
          <w:tcPr>
            <w:tcW w:w="46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66,274</w:t>
            </w: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76,767</w:t>
            </w:r>
          </w:p>
        </w:tc>
      </w:tr>
      <w:tr>
        <w:trPr>
          <w:trHeight w:val="23"/>
        </w:trPr>
        <w:tc>
          <w:tcPr>
            <w:tcW w:w="50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-1165225</wp:posOffset>
            </wp:positionV>
            <wp:extent cx="6032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-1328420</wp:posOffset>
            </wp:positionV>
            <wp:extent cx="6032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-1645285</wp:posOffset>
            </wp:positionV>
            <wp:extent cx="6032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9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Amortization expense for the three and nine months ended September 30, 2024 and 2023 are as follows:</w:t>
      </w:r>
    </w:p>
    <w:p>
      <w:pPr>
        <w:spacing w:after="0" w:line="201" w:lineRule="exact"/>
        <w:rPr>
          <w:sz w:val="20"/>
          <w:szCs w:val="20"/>
          <w:color w:val="auto"/>
        </w:rPr>
      </w:pPr>
    </w:p>
    <w:tbl>
      <w:tblPr>
        <w:tblLayout w:type="fixed"/>
        <w:tblInd w:w="720" w:type="dxa"/>
        <w:tblCellMar>
          <w:top w:w="0" w:type="dxa"/>
          <w:left w:w="0" w:type="dxa"/>
          <w:bottom w:w="0" w:type="dxa"/>
          <w:right w:w="0" w:type="dxa"/>
        </w:tblCellMar>
      </w:tblPr>
      <w:tr>
        <w:trPr>
          <w:trHeight w:val="212"/>
        </w:trPr>
        <w:tc>
          <w:tcPr>
            <w:tcW w:w="3640" w:type="dxa"/>
            <w:vAlign w:val="bottom"/>
          </w:tcPr>
          <w:p>
            <w:pPr>
              <w:spacing w:after="0"/>
              <w:rPr>
                <w:sz w:val="18"/>
                <w:szCs w:val="18"/>
                <w:color w:val="auto"/>
              </w:rPr>
            </w:pPr>
          </w:p>
        </w:tc>
        <w:tc>
          <w:tcPr>
            <w:tcW w:w="3040" w:type="dxa"/>
            <w:vAlign w:val="bottom"/>
            <w:gridSpan w:val="3"/>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80" w:type="dxa"/>
            <w:vAlign w:val="bottom"/>
          </w:tcPr>
          <w:p>
            <w:pPr>
              <w:spacing w:after="0"/>
              <w:rPr>
                <w:sz w:val="18"/>
                <w:szCs w:val="18"/>
                <w:color w:val="auto"/>
              </w:rPr>
            </w:pPr>
          </w:p>
        </w:tc>
        <w:tc>
          <w:tcPr>
            <w:tcW w:w="3060" w:type="dxa"/>
            <w:vAlign w:val="bottom"/>
            <w:gridSpan w:val="3"/>
          </w:tcPr>
          <w:p>
            <w:pPr>
              <w:jc w:val="right"/>
              <w:ind w:right="779"/>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33"/>
        </w:trPr>
        <w:tc>
          <w:tcPr>
            <w:tcW w:w="3640" w:type="dxa"/>
            <w:vAlign w:val="bottom"/>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6"/>
        </w:trPr>
        <w:tc>
          <w:tcPr>
            <w:tcW w:w="3640" w:type="dxa"/>
            <w:vAlign w:val="bottom"/>
          </w:tcPr>
          <w:p>
            <w:pPr>
              <w:spacing w:after="0"/>
              <w:rPr>
                <w:sz w:val="17"/>
                <w:szCs w:val="17"/>
                <w:color w:val="auto"/>
              </w:rPr>
            </w:pPr>
          </w:p>
        </w:tc>
        <w:tc>
          <w:tcPr>
            <w:tcW w:w="15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 2023</w:t>
            </w:r>
          </w:p>
        </w:tc>
        <w:tc>
          <w:tcPr>
            <w:tcW w:w="80" w:type="dxa"/>
            <w:vAlign w:val="bottom"/>
          </w:tcPr>
          <w:p>
            <w:pPr>
              <w:spacing w:after="0"/>
              <w:rPr>
                <w:sz w:val="17"/>
                <w:szCs w:val="17"/>
                <w:color w:val="auto"/>
              </w:rPr>
            </w:pP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 2023</w:t>
            </w:r>
          </w:p>
        </w:tc>
      </w:tr>
      <w:tr>
        <w:trPr>
          <w:trHeight w:val="31"/>
        </w:trPr>
        <w:tc>
          <w:tcPr>
            <w:tcW w:w="3640" w:type="dxa"/>
            <w:vAlign w:val="bottom"/>
            <w:tcBorders>
              <w:bottom w:val="single" w:sz="8" w:color="CFF0FC"/>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4"/>
        </w:trPr>
        <w:tc>
          <w:tcPr>
            <w:tcW w:w="3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Amortization expense</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2,759</w:t>
            </w:r>
          </w:p>
        </w:tc>
        <w:tc>
          <w:tcPr>
            <w:tcW w:w="10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4,577</w:t>
            </w:r>
          </w:p>
        </w:tc>
        <w:tc>
          <w:tcPr>
            <w:tcW w:w="80" w:type="dxa"/>
            <w:vAlign w:val="bottom"/>
          </w:tcPr>
          <w:p>
            <w:pPr>
              <w:spacing w:after="0"/>
              <w:rPr>
                <w:sz w:val="17"/>
                <w:szCs w:val="17"/>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8,924</w:t>
            </w:r>
          </w:p>
        </w:tc>
        <w:tc>
          <w:tcPr>
            <w:tcW w:w="10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14,031</w:t>
            </w:r>
          </w:p>
        </w:tc>
      </w:tr>
      <w:tr>
        <w:trPr>
          <w:trHeight w:val="33"/>
        </w:trPr>
        <w:tc>
          <w:tcPr>
            <w:tcW w:w="3640" w:type="dxa"/>
            <w:vAlign w:val="bottom"/>
            <w:shd w:val="clear" w:color="auto" w:fill="CFF0FC"/>
          </w:tcPr>
          <w:p>
            <w:pPr>
              <w:spacing w:after="0"/>
              <w:rPr>
                <w:sz w:val="2"/>
                <w:szCs w:val="2"/>
                <w:color w:val="auto"/>
              </w:rPr>
            </w:pPr>
          </w:p>
        </w:tc>
        <w:tc>
          <w:tcPr>
            <w:tcW w:w="146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480" w:type="dxa"/>
            <w:vAlign w:val="bottom"/>
            <w:shd w:val="clear" w:color="auto" w:fill="CFF0FC"/>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480" w:type="dxa"/>
            <w:vAlign w:val="bottom"/>
            <w:shd w:val="clear" w:color="auto" w:fill="CFF0FC"/>
          </w:tcPr>
          <w:p>
            <w:pPr>
              <w:spacing w:after="0"/>
              <w:rPr>
                <w:sz w:val="2"/>
                <w:szCs w:val="2"/>
                <w:color w:val="auto"/>
              </w:rPr>
            </w:pPr>
          </w:p>
        </w:tc>
      </w:tr>
    </w:tbl>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SELLING, GENERAL AND ADMINISTRATIVE EXPENSES</w:t>
      </w:r>
    </w:p>
    <w:p>
      <w:pPr>
        <w:spacing w:after="0" w:line="14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Selling, general and administrative expenses are summarized in the table below:</w:t>
      </w:r>
    </w:p>
    <w:p>
      <w:pPr>
        <w:spacing w:after="0" w:line="201" w:lineRule="exact"/>
        <w:rPr>
          <w:sz w:val="20"/>
          <w:szCs w:val="20"/>
          <w:color w:val="auto"/>
        </w:rPr>
      </w:pPr>
    </w:p>
    <w:tbl>
      <w:tblPr>
        <w:tblLayout w:type="fixed"/>
        <w:tblInd w:w="1100" w:type="dxa"/>
        <w:tblCellMar>
          <w:top w:w="0" w:type="dxa"/>
          <w:left w:w="0" w:type="dxa"/>
          <w:bottom w:w="0" w:type="dxa"/>
          <w:right w:w="0" w:type="dxa"/>
        </w:tblCellMar>
      </w:tblPr>
      <w:tr>
        <w:trPr>
          <w:trHeight w:val="212"/>
        </w:trPr>
        <w:tc>
          <w:tcPr>
            <w:tcW w:w="2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940" w:type="dxa"/>
            <w:vAlign w:val="bottom"/>
            <w:gridSpan w:val="3"/>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60" w:type="dxa"/>
            <w:vAlign w:val="bottom"/>
            <w:gridSpan w:val="3"/>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820" w:type="dxa"/>
            <w:vAlign w:val="bottom"/>
          </w:tcPr>
          <w:p>
            <w:pPr>
              <w:spacing w:after="0"/>
              <w:rPr>
                <w:sz w:val="2"/>
                <w:szCs w:val="2"/>
                <w:color w:val="auto"/>
              </w:rPr>
            </w:pPr>
          </w:p>
        </w:tc>
        <w:tc>
          <w:tcPr>
            <w:tcW w:w="1580" w:type="dxa"/>
            <w:vAlign w:val="bottom"/>
            <w:gridSpan w:val="3"/>
          </w:tcPr>
          <w:p>
            <w:pPr>
              <w:spacing w:after="0"/>
              <w:rPr>
                <w:sz w:val="2"/>
                <w:szCs w:val="2"/>
                <w:color w:val="auto"/>
              </w:rPr>
            </w:pPr>
          </w:p>
        </w:tc>
        <w:tc>
          <w:tcPr>
            <w:tcW w:w="1580" w:type="dxa"/>
            <w:vAlign w:val="bottom"/>
            <w:gridSpan w:val="3"/>
          </w:tcPr>
          <w:p>
            <w:pPr>
              <w:spacing w:after="0"/>
              <w:rPr>
                <w:sz w:val="2"/>
                <w:szCs w:val="2"/>
                <w:color w:val="auto"/>
              </w:rPr>
            </w:pPr>
          </w:p>
        </w:tc>
        <w:tc>
          <w:tcPr>
            <w:tcW w:w="1580" w:type="dxa"/>
            <w:vAlign w:val="bottom"/>
            <w:gridSpan w:val="3"/>
          </w:tcPr>
          <w:p>
            <w:pPr>
              <w:spacing w:after="0"/>
              <w:rPr>
                <w:sz w:val="2"/>
                <w:szCs w:val="2"/>
                <w:color w:val="auto"/>
              </w:rPr>
            </w:pPr>
          </w:p>
        </w:tc>
        <w:tc>
          <w:tcPr>
            <w:tcW w:w="14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2820" w:type="dxa"/>
            <w:vAlign w:val="bottom"/>
          </w:tcPr>
          <w:p>
            <w:pPr>
              <w:spacing w:after="0"/>
              <w:rPr>
                <w:sz w:val="17"/>
                <w:szCs w:val="17"/>
                <w:color w:val="auto"/>
              </w:rPr>
            </w:pPr>
          </w:p>
        </w:tc>
        <w:tc>
          <w:tcPr>
            <w:tcW w:w="1580" w:type="dxa"/>
            <w:vAlign w:val="bottom"/>
            <w:tcBorders>
              <w:top w:val="single" w:sz="8" w:color="auto"/>
            </w:tcBorders>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14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 2023</w:t>
            </w:r>
          </w:p>
        </w:tc>
        <w:tc>
          <w:tcPr>
            <w:tcW w:w="100" w:type="dxa"/>
            <w:vAlign w:val="bottom"/>
          </w:tcPr>
          <w:p>
            <w:pPr>
              <w:spacing w:after="0"/>
              <w:rPr>
                <w:sz w:val="17"/>
                <w:szCs w:val="17"/>
                <w:color w:val="auto"/>
              </w:rPr>
            </w:pPr>
          </w:p>
        </w:tc>
        <w:tc>
          <w:tcPr>
            <w:tcW w:w="1580" w:type="dxa"/>
            <w:vAlign w:val="bottom"/>
            <w:tcBorders>
              <w:top w:val="single" w:sz="8" w:color="auto"/>
            </w:tcBorders>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14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 2023</w:t>
            </w:r>
          </w:p>
        </w:tc>
        <w:tc>
          <w:tcPr>
            <w:tcW w:w="0" w:type="dxa"/>
            <w:vAlign w:val="bottom"/>
          </w:tcPr>
          <w:p>
            <w:pPr>
              <w:spacing w:after="0"/>
              <w:rPr>
                <w:sz w:val="1"/>
                <w:szCs w:val="1"/>
                <w:color w:val="auto"/>
              </w:rPr>
            </w:pPr>
          </w:p>
        </w:tc>
      </w:tr>
      <w:tr>
        <w:trPr>
          <w:trHeight w:val="31"/>
        </w:trPr>
        <w:tc>
          <w:tcPr>
            <w:tcW w:w="2820" w:type="dxa"/>
            <w:vAlign w:val="bottom"/>
            <w:tcBorders>
              <w:bottom w:val="single" w:sz="8" w:color="CFF0FC"/>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Salaries and benefits</w:t>
            </w:r>
          </w:p>
        </w:tc>
        <w:tc>
          <w:tcPr>
            <w:tcW w:w="460" w:type="dxa"/>
            <w:vAlign w:val="bottom"/>
            <w:tcBorders>
              <w:bottom w:val="single" w:sz="8" w:color="CFF0FC"/>
            </w:tcBorders>
            <w:shd w:val="clear" w:color="auto" w:fill="CFF0FC"/>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22,705</w:t>
            </w:r>
          </w:p>
        </w:tc>
        <w:tc>
          <w:tcPr>
            <w:tcW w:w="10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CFF0FC"/>
            </w:tcBorders>
            <w:shd w:val="clear" w:color="auto" w:fill="CFF0FC"/>
          </w:tcPr>
          <w:p>
            <w:pPr>
              <w:jc w:val="right"/>
              <w:ind w:right="63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29,603</w:t>
            </w:r>
          </w:p>
        </w:tc>
        <w:tc>
          <w:tcPr>
            <w:tcW w:w="10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CFF0FC"/>
            </w:tcBorders>
            <w:shd w:val="clear" w:color="auto" w:fill="CFF0FC"/>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61,841</w:t>
            </w:r>
          </w:p>
        </w:tc>
        <w:tc>
          <w:tcPr>
            <w:tcW w:w="10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CFF0FC"/>
            </w:tcBorders>
            <w:shd w:val="clear" w:color="auto" w:fill="CFF0FC"/>
          </w:tcPr>
          <w:p>
            <w:pPr>
              <w:jc w:val="right"/>
              <w:ind w:right="57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83,360</w:t>
            </w:r>
          </w:p>
        </w:tc>
        <w:tc>
          <w:tcPr>
            <w:tcW w:w="0" w:type="dxa"/>
            <w:vAlign w:val="bottom"/>
          </w:tcPr>
          <w:p>
            <w:pPr>
              <w:spacing w:after="0"/>
              <w:rPr>
                <w:sz w:val="1"/>
                <w:szCs w:val="1"/>
                <w:color w:val="auto"/>
              </w:rPr>
            </w:pPr>
          </w:p>
        </w:tc>
      </w:tr>
      <w:tr>
        <w:trPr>
          <w:trHeight w:val="210"/>
        </w:trPr>
        <w:tc>
          <w:tcPr>
            <w:tcW w:w="2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Professional fees</w:t>
            </w: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3,489</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3,806</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8,437</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9,943</w:t>
            </w:r>
          </w:p>
        </w:tc>
        <w:tc>
          <w:tcPr>
            <w:tcW w:w="0" w:type="dxa"/>
            <w:vAlign w:val="bottom"/>
          </w:tcPr>
          <w:p>
            <w:pPr>
              <w:spacing w:after="0"/>
              <w:rPr>
                <w:sz w:val="1"/>
                <w:szCs w:val="1"/>
                <w:color w:val="auto"/>
              </w:rPr>
            </w:pPr>
          </w:p>
        </w:tc>
      </w:tr>
      <w:tr>
        <w:trPr>
          <w:trHeight w:val="33"/>
        </w:trPr>
        <w:tc>
          <w:tcPr>
            <w:tcW w:w="28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46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6,013</w:t>
            </w:r>
          </w:p>
        </w:tc>
        <w:tc>
          <w:tcPr>
            <w:tcW w:w="10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CFF0FC"/>
            </w:tcBorders>
            <w:shd w:val="clear" w:color="auto" w:fill="CFF0FC"/>
          </w:tcPr>
          <w:p>
            <w:pPr>
              <w:spacing w:after="0"/>
              <w:rPr>
                <w:sz w:val="19"/>
                <w:szCs w:val="19"/>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9,716</w:t>
            </w:r>
          </w:p>
        </w:tc>
        <w:tc>
          <w:tcPr>
            <w:tcW w:w="10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19,778</w:t>
            </w:r>
          </w:p>
        </w:tc>
        <w:tc>
          <w:tcPr>
            <w:tcW w:w="10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26,768</w:t>
            </w:r>
          </w:p>
        </w:tc>
        <w:tc>
          <w:tcPr>
            <w:tcW w:w="0" w:type="dxa"/>
            <w:vAlign w:val="bottom"/>
          </w:tcPr>
          <w:p>
            <w:pPr>
              <w:spacing w:after="0"/>
              <w:rPr>
                <w:sz w:val="1"/>
                <w:szCs w:val="1"/>
                <w:color w:val="auto"/>
              </w:rPr>
            </w:pPr>
          </w:p>
        </w:tc>
      </w:tr>
      <w:tr>
        <w:trPr>
          <w:trHeight w:val="210"/>
        </w:trPr>
        <w:tc>
          <w:tcPr>
            <w:tcW w:w="2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facilities costs</w:t>
            </w: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10,331</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10,207</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32,001</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31,282</w:t>
            </w:r>
          </w:p>
        </w:tc>
        <w:tc>
          <w:tcPr>
            <w:tcW w:w="0" w:type="dxa"/>
            <w:vAlign w:val="bottom"/>
          </w:tcPr>
          <w:p>
            <w:pPr>
              <w:spacing w:after="0"/>
              <w:rPr>
                <w:sz w:val="1"/>
                <w:szCs w:val="1"/>
                <w:color w:val="auto"/>
              </w:rPr>
            </w:pPr>
          </w:p>
        </w:tc>
      </w:tr>
      <w:tr>
        <w:trPr>
          <w:trHeight w:val="33"/>
        </w:trPr>
        <w:tc>
          <w:tcPr>
            <w:tcW w:w="28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Operating office and general expenses</w:t>
            </w:r>
          </w:p>
        </w:tc>
        <w:tc>
          <w:tcPr>
            <w:tcW w:w="46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5,132</w:t>
            </w:r>
          </w:p>
        </w:tc>
        <w:tc>
          <w:tcPr>
            <w:tcW w:w="10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CFF0FC"/>
            </w:tcBorders>
            <w:shd w:val="clear" w:color="auto" w:fill="CFF0FC"/>
          </w:tcPr>
          <w:p>
            <w:pPr>
              <w:spacing w:after="0"/>
              <w:rPr>
                <w:sz w:val="19"/>
                <w:szCs w:val="19"/>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1,911</w:t>
            </w:r>
          </w:p>
        </w:tc>
        <w:tc>
          <w:tcPr>
            <w:tcW w:w="10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15,839</w:t>
            </w:r>
          </w:p>
        </w:tc>
        <w:tc>
          <w:tcPr>
            <w:tcW w:w="10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5,949</w:t>
            </w:r>
          </w:p>
        </w:tc>
        <w:tc>
          <w:tcPr>
            <w:tcW w:w="0" w:type="dxa"/>
            <w:vAlign w:val="bottom"/>
          </w:tcPr>
          <w:p>
            <w:pPr>
              <w:spacing w:after="0"/>
              <w:rPr>
                <w:sz w:val="1"/>
                <w:szCs w:val="1"/>
                <w:color w:val="auto"/>
              </w:rPr>
            </w:pPr>
          </w:p>
        </w:tc>
      </w:tr>
      <w:tr>
        <w:trPr>
          <w:trHeight w:val="210"/>
        </w:trPr>
        <w:tc>
          <w:tcPr>
            <w:tcW w:w="2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Advertising and promotion</w:t>
            </w: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502</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974</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2,309</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4,144</w:t>
            </w:r>
          </w:p>
        </w:tc>
        <w:tc>
          <w:tcPr>
            <w:tcW w:w="0" w:type="dxa"/>
            <w:vAlign w:val="bottom"/>
          </w:tcPr>
          <w:p>
            <w:pPr>
              <w:spacing w:after="0"/>
              <w:rPr>
                <w:sz w:val="1"/>
                <w:szCs w:val="1"/>
                <w:color w:val="auto"/>
              </w:rPr>
            </w:pPr>
          </w:p>
        </w:tc>
      </w:tr>
      <w:tr>
        <w:trPr>
          <w:trHeight w:val="33"/>
        </w:trPr>
        <w:tc>
          <w:tcPr>
            <w:tcW w:w="28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fees and expenses</w:t>
            </w:r>
          </w:p>
        </w:tc>
        <w:tc>
          <w:tcPr>
            <w:tcW w:w="46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1,143</w:t>
            </w:r>
          </w:p>
        </w:tc>
        <w:tc>
          <w:tcPr>
            <w:tcW w:w="10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CFF0FC"/>
            </w:tcBorders>
            <w:shd w:val="clear" w:color="auto" w:fill="CFF0FC"/>
          </w:tcPr>
          <w:p>
            <w:pPr>
              <w:spacing w:after="0"/>
              <w:rPr>
                <w:sz w:val="21"/>
                <w:szCs w:val="21"/>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255</w:t>
            </w:r>
          </w:p>
        </w:tc>
        <w:tc>
          <w:tcPr>
            <w:tcW w:w="10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2,429</w:t>
            </w:r>
          </w:p>
        </w:tc>
        <w:tc>
          <w:tcPr>
            <w:tcW w:w="10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bottom w:val="single" w:sz="8" w:color="CFF0FC"/>
            </w:tcBorders>
            <w:shd w:val="clear" w:color="auto" w:fill="CFF0FC"/>
          </w:tcPr>
          <w:p>
            <w:pPr>
              <w:spacing w:after="0"/>
              <w:rPr>
                <w:sz w:val="21"/>
                <w:szCs w:val="21"/>
                <w:color w:val="auto"/>
              </w:rPr>
            </w:pPr>
          </w:p>
        </w:tc>
        <w:tc>
          <w:tcPr>
            <w:tcW w:w="7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2,449</w:t>
            </w:r>
          </w:p>
        </w:tc>
        <w:tc>
          <w:tcPr>
            <w:tcW w:w="0" w:type="dxa"/>
            <w:vAlign w:val="bottom"/>
          </w:tcPr>
          <w:p>
            <w:pPr>
              <w:spacing w:after="0"/>
              <w:rPr>
                <w:sz w:val="1"/>
                <w:szCs w:val="1"/>
                <w:color w:val="auto"/>
              </w:rPr>
            </w:pPr>
          </w:p>
        </w:tc>
      </w:tr>
      <w:tr>
        <w:trPr>
          <w:trHeight w:val="167"/>
        </w:trPr>
        <w:tc>
          <w:tcPr>
            <w:tcW w:w="2820" w:type="dxa"/>
            <w:vAlign w:val="bottom"/>
          </w:tcPr>
          <w:p>
            <w:pPr>
              <w:ind w:left="20"/>
              <w:spacing w:after="0" w:line="167" w:lineRule="exact"/>
              <w:rPr>
                <w:sz w:val="20"/>
                <w:szCs w:val="20"/>
                <w:color w:val="auto"/>
              </w:rPr>
            </w:pPr>
            <w:r>
              <w:rPr>
                <w:rFonts w:ascii="Times New Roman" w:cs="Times New Roman" w:eastAsia="Times New Roman" w:hAnsi="Times New Roman"/>
                <w:sz w:val="16"/>
                <w:szCs w:val="16"/>
                <w:b w:val="1"/>
                <w:bCs w:val="1"/>
                <w:color w:val="auto"/>
              </w:rPr>
              <w:t>Total selling, general and administrative</w:t>
            </w:r>
          </w:p>
        </w:tc>
        <w:tc>
          <w:tcPr>
            <w:tcW w:w="460" w:type="dxa"/>
            <w:vAlign w:val="bottom"/>
            <w:tcBorders>
              <w:top w:val="single" w:sz="8" w:color="auto"/>
            </w:tcBorders>
            <w:vMerge w:val="restart"/>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49,315</w:t>
            </w:r>
          </w:p>
        </w:tc>
        <w:tc>
          <w:tcPr>
            <w:tcW w:w="100" w:type="dxa"/>
            <w:vAlign w:val="bottom"/>
          </w:tcPr>
          <w:p>
            <w:pPr>
              <w:spacing w:after="0"/>
              <w:rPr>
                <w:sz w:val="14"/>
                <w:szCs w:val="14"/>
                <w:color w:val="auto"/>
              </w:rPr>
            </w:pPr>
          </w:p>
        </w:tc>
        <w:tc>
          <w:tcPr>
            <w:tcW w:w="820" w:type="dxa"/>
            <w:vAlign w:val="bottom"/>
            <w:tcBorders>
              <w:top w:val="single" w:sz="8" w:color="auto"/>
            </w:tcBorders>
            <w:vMerge w:val="restart"/>
          </w:tcPr>
          <w:p>
            <w:pPr>
              <w:jc w:val="right"/>
              <w:ind w:right="63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56,472</w:t>
            </w:r>
          </w:p>
        </w:tc>
        <w:tc>
          <w:tcPr>
            <w:tcW w:w="100" w:type="dxa"/>
            <w:vAlign w:val="bottom"/>
          </w:tcPr>
          <w:p>
            <w:pPr>
              <w:spacing w:after="0"/>
              <w:rPr>
                <w:sz w:val="14"/>
                <w:szCs w:val="14"/>
                <w:color w:val="auto"/>
              </w:rPr>
            </w:pPr>
          </w:p>
        </w:tc>
        <w:tc>
          <w:tcPr>
            <w:tcW w:w="480" w:type="dxa"/>
            <w:vAlign w:val="bottom"/>
            <w:tcBorders>
              <w:top w:val="single" w:sz="8" w:color="auto"/>
            </w:tcBorders>
            <w:vMerge w:val="restart"/>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142,634</w:t>
            </w:r>
          </w:p>
        </w:tc>
        <w:tc>
          <w:tcPr>
            <w:tcW w:w="100" w:type="dxa"/>
            <w:vAlign w:val="bottom"/>
          </w:tcPr>
          <w:p>
            <w:pPr>
              <w:spacing w:after="0"/>
              <w:rPr>
                <w:sz w:val="14"/>
                <w:szCs w:val="14"/>
                <w:color w:val="auto"/>
              </w:rPr>
            </w:pPr>
          </w:p>
        </w:tc>
        <w:tc>
          <w:tcPr>
            <w:tcW w:w="760" w:type="dxa"/>
            <w:vAlign w:val="bottom"/>
            <w:tcBorders>
              <w:top w:val="single" w:sz="8" w:color="auto"/>
            </w:tcBorders>
            <w:vMerge w:val="restart"/>
          </w:tcPr>
          <w:p>
            <w:pPr>
              <w:jc w:val="right"/>
              <w:ind w:right="57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163,895</w:t>
            </w:r>
          </w:p>
        </w:tc>
        <w:tc>
          <w:tcPr>
            <w:tcW w:w="0" w:type="dxa"/>
            <w:vAlign w:val="bottom"/>
          </w:tcPr>
          <w:p>
            <w:pPr>
              <w:spacing w:after="0"/>
              <w:rPr>
                <w:sz w:val="1"/>
                <w:szCs w:val="1"/>
                <w:color w:val="auto"/>
              </w:rPr>
            </w:pPr>
          </w:p>
        </w:tc>
      </w:tr>
      <w:tr>
        <w:trPr>
          <w:trHeight w:val="210"/>
        </w:trPr>
        <w:tc>
          <w:tcPr>
            <w:tcW w:w="2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460" w:type="dxa"/>
            <w:vAlign w:val="bottom"/>
            <w:tcBorders>
              <w:bottom w:val="single" w:sz="8" w:color="auto"/>
            </w:tcBorders>
            <w:vMerge w:val="continue"/>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bottom w:val="single" w:sz="8" w:color="auto"/>
            </w:tcBorders>
            <w:vMerge w:val="continue"/>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OTHER (INCOME) EXPENSE, NET</w:t>
      </w:r>
    </w:p>
    <w:p>
      <w:pPr>
        <w:spacing w:after="0" w:line="16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Other expense, net is summarized in the table below:</w:t>
      </w:r>
    </w:p>
    <w:p>
      <w:pPr>
        <w:spacing w:after="0" w:line="187" w:lineRule="exact"/>
        <w:rPr>
          <w:sz w:val="20"/>
          <w:szCs w:val="20"/>
          <w:color w:val="auto"/>
        </w:rPr>
      </w:pPr>
    </w:p>
    <w:tbl>
      <w:tblPr>
        <w:tblLayout w:type="fixed"/>
        <w:tblInd w:w="1100" w:type="dxa"/>
        <w:tblCellMar>
          <w:top w:w="0" w:type="dxa"/>
          <w:left w:w="0" w:type="dxa"/>
          <w:bottom w:w="0" w:type="dxa"/>
          <w:right w:w="0" w:type="dxa"/>
        </w:tblCellMar>
      </w:tblPr>
      <w:tr>
        <w:trPr>
          <w:trHeight w:val="215"/>
        </w:trPr>
        <w:tc>
          <w:tcPr>
            <w:tcW w:w="28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3"/>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6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3"/>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6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820" w:type="dxa"/>
            <w:vAlign w:val="bottom"/>
          </w:tcPr>
          <w:p>
            <w:pPr>
              <w:spacing w:after="0"/>
              <w:rPr>
                <w:sz w:val="18"/>
                <w:szCs w:val="18"/>
                <w:color w:val="auto"/>
              </w:rPr>
            </w:pPr>
          </w:p>
        </w:tc>
        <w:tc>
          <w:tcPr>
            <w:tcW w:w="158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 2023</w:t>
            </w:r>
          </w:p>
        </w:tc>
        <w:tc>
          <w:tcPr>
            <w:tcW w:w="100" w:type="dxa"/>
            <w:vAlign w:val="bottom"/>
          </w:tcPr>
          <w:p>
            <w:pPr>
              <w:spacing w:after="0"/>
              <w:rPr>
                <w:sz w:val="18"/>
                <w:szCs w:val="18"/>
                <w:color w:val="auto"/>
              </w:rPr>
            </w:pPr>
          </w:p>
        </w:tc>
        <w:tc>
          <w:tcPr>
            <w:tcW w:w="158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 2023</w:t>
            </w:r>
          </w:p>
        </w:tc>
        <w:tc>
          <w:tcPr>
            <w:tcW w:w="0" w:type="dxa"/>
            <w:vAlign w:val="bottom"/>
          </w:tcPr>
          <w:p>
            <w:pPr>
              <w:spacing w:after="0"/>
              <w:rPr>
                <w:sz w:val="1"/>
                <w:szCs w:val="1"/>
                <w:color w:val="auto"/>
              </w:rPr>
            </w:pPr>
          </w:p>
        </w:tc>
      </w:tr>
      <w:tr>
        <w:trPr>
          <w:trHeight w:val="31"/>
        </w:trPr>
        <w:tc>
          <w:tcPr>
            <w:tcW w:w="2820" w:type="dxa"/>
            <w:vAlign w:val="bottom"/>
            <w:tcBorders>
              <w:bottom w:val="single" w:sz="8" w:color="CFF0FC"/>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820" w:type="dxa"/>
            <w:vAlign w:val="bottom"/>
            <w:shd w:val="clear" w:color="auto" w:fill="CFF0FC"/>
          </w:tcPr>
          <w:p>
            <w:pPr>
              <w:ind w:left="20"/>
              <w:spacing w:after="0" w:line="169" w:lineRule="exact"/>
              <w:rPr>
                <w:sz w:val="20"/>
                <w:szCs w:val="20"/>
                <w:color w:val="auto"/>
              </w:rPr>
            </w:pPr>
            <w:r>
              <w:rPr>
                <w:rFonts w:ascii="Times New Roman" w:cs="Times New Roman" w:eastAsia="Times New Roman" w:hAnsi="Times New Roman"/>
                <w:sz w:val="16"/>
                <w:szCs w:val="16"/>
                <w:color w:val="auto"/>
              </w:rPr>
              <w:t>Change in fair value of the derivative</w:t>
            </w:r>
          </w:p>
        </w:tc>
        <w:tc>
          <w:tcPr>
            <w:tcW w:w="460" w:type="dxa"/>
            <w:vAlign w:val="bottom"/>
            <w:vMerge w:val="restart"/>
            <w:shd w:val="clear" w:color="auto" w:fill="CFF0FC"/>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vMerge w:val="restart"/>
            <w:shd w:val="clear" w:color="auto" w:fill="CFF0FC"/>
          </w:tcPr>
          <w:p>
            <w:pPr>
              <w:jc w:val="right"/>
              <w:ind w:right="69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shd w:val="clear" w:color="auto" w:fill="CFF0FC"/>
          </w:tcPr>
          <w:p>
            <w:pPr>
              <w:spacing w:after="0"/>
              <w:rPr>
                <w:sz w:val="14"/>
                <w:szCs w:val="14"/>
                <w:color w:val="auto"/>
              </w:rPr>
            </w:pPr>
          </w:p>
        </w:tc>
        <w:tc>
          <w:tcPr>
            <w:tcW w:w="480" w:type="dxa"/>
            <w:vAlign w:val="bottom"/>
            <w:vMerge w:val="restart"/>
            <w:shd w:val="clear" w:color="auto" w:fill="CFF0FC"/>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2,329</w:t>
            </w:r>
          </w:p>
        </w:tc>
        <w:tc>
          <w:tcPr>
            <w:tcW w:w="100" w:type="dxa"/>
            <w:vAlign w:val="bottom"/>
            <w:shd w:val="clear" w:color="auto" w:fill="CFF0FC"/>
          </w:tcPr>
          <w:p>
            <w:pPr>
              <w:spacing w:after="0"/>
              <w:rPr>
                <w:sz w:val="14"/>
                <w:szCs w:val="14"/>
                <w:color w:val="auto"/>
              </w:rPr>
            </w:pPr>
          </w:p>
        </w:tc>
        <w:tc>
          <w:tcPr>
            <w:tcW w:w="800" w:type="dxa"/>
            <w:vAlign w:val="bottom"/>
            <w:vMerge w:val="restart"/>
            <w:shd w:val="clear" w:color="auto" w:fill="CFF0FC"/>
          </w:tcPr>
          <w:p>
            <w:pPr>
              <w:jc w:val="right"/>
              <w:ind w:right="6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0" w:type="dxa"/>
            <w:vAlign w:val="bottom"/>
          </w:tcPr>
          <w:p>
            <w:pPr>
              <w:spacing w:after="0"/>
              <w:rPr>
                <w:sz w:val="1"/>
                <w:szCs w:val="1"/>
                <w:color w:val="auto"/>
              </w:rPr>
            </w:pPr>
          </w:p>
        </w:tc>
      </w:tr>
      <w:tr>
        <w:trPr>
          <w:trHeight w:val="230"/>
        </w:trPr>
        <w:tc>
          <w:tcPr>
            <w:tcW w:w="2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liability</w:t>
            </w:r>
          </w:p>
        </w:tc>
        <w:tc>
          <w:tcPr>
            <w:tcW w:w="460" w:type="dxa"/>
            <w:vAlign w:val="bottom"/>
            <w:vMerge w:val="continue"/>
            <w:shd w:val="clear" w:color="auto" w:fill="CFF0FC"/>
          </w:tcPr>
          <w:p>
            <w:pPr>
              <w:spacing w:after="0"/>
              <w:rPr>
                <w:sz w:val="19"/>
                <w:szCs w:val="19"/>
                <w:color w:val="auto"/>
              </w:rPr>
            </w:pPr>
          </w:p>
        </w:tc>
        <w:tc>
          <w:tcPr>
            <w:tcW w:w="1120" w:type="dxa"/>
            <w:vAlign w:val="bottom"/>
            <w:gridSpan w:val="2"/>
            <w:vMerge w:val="continue"/>
            <w:shd w:val="clear" w:color="auto" w:fill="CFF0FC"/>
          </w:tcPr>
          <w:p>
            <w:pPr>
              <w:spacing w:after="0"/>
              <w:rPr>
                <w:sz w:val="19"/>
                <w:szCs w:val="19"/>
                <w:color w:val="auto"/>
              </w:rPr>
            </w:pPr>
          </w:p>
        </w:tc>
        <w:tc>
          <w:tcPr>
            <w:tcW w:w="880" w:type="dxa"/>
            <w:vAlign w:val="bottom"/>
            <w:vMerge w:val="continue"/>
            <w:shd w:val="clear" w:color="auto" w:fill="CFF0FC"/>
          </w:tcPr>
          <w:p>
            <w:pPr>
              <w:spacing w:after="0"/>
              <w:rPr>
                <w:sz w:val="19"/>
                <w:szCs w:val="19"/>
                <w:color w:val="auto"/>
              </w:rPr>
            </w:pPr>
          </w:p>
        </w:tc>
        <w:tc>
          <w:tcPr>
            <w:tcW w:w="600" w:type="dxa"/>
            <w:vAlign w:val="bottom"/>
            <w:vMerge w:val="continue"/>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80" w:type="dxa"/>
            <w:vAlign w:val="bottom"/>
            <w:vMerge w:val="continue"/>
            <w:shd w:val="clear" w:color="auto" w:fill="CFF0FC"/>
          </w:tcPr>
          <w:p>
            <w:pPr>
              <w:spacing w:after="0"/>
              <w:rPr>
                <w:sz w:val="19"/>
                <w:szCs w:val="19"/>
                <w:color w:val="auto"/>
              </w:rPr>
            </w:pPr>
          </w:p>
        </w:tc>
        <w:tc>
          <w:tcPr>
            <w:tcW w:w="1000" w:type="dxa"/>
            <w:vAlign w:val="bottom"/>
            <w:vMerge w:val="continue"/>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vMerge w:val="continue"/>
            <w:shd w:val="clear" w:color="auto" w:fill="CFF0FC"/>
          </w:tcPr>
          <w:p>
            <w:pPr>
              <w:spacing w:after="0"/>
              <w:rPr>
                <w:sz w:val="19"/>
                <w:szCs w:val="19"/>
                <w:color w:val="auto"/>
              </w:rPr>
            </w:pPr>
          </w:p>
        </w:tc>
        <w:tc>
          <w:tcPr>
            <w:tcW w:w="680" w:type="dxa"/>
            <w:vAlign w:val="bottom"/>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 in fair value of investments</w:t>
            </w: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4,195</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4,195</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28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Restructuring expense</w:t>
            </w:r>
          </w:p>
        </w:tc>
        <w:tc>
          <w:tcPr>
            <w:tcW w:w="46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1,207</w:t>
            </w:r>
          </w:p>
        </w:tc>
        <w:tc>
          <w:tcPr>
            <w:tcW w:w="10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568</w:t>
            </w:r>
          </w:p>
        </w:tc>
        <w:tc>
          <w:tcPr>
            <w:tcW w:w="10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5,749</w:t>
            </w:r>
          </w:p>
        </w:tc>
        <w:tc>
          <w:tcPr>
            <w:tcW w:w="10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CFF0FC"/>
            </w:tcBorders>
            <w:shd w:val="clear" w:color="auto" w:fill="CFF0FC"/>
          </w:tcPr>
          <w:p>
            <w:pPr>
              <w:spacing w:after="0"/>
              <w:rPr>
                <w:sz w:val="19"/>
                <w:szCs w:val="19"/>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3,812</w:t>
            </w:r>
          </w:p>
        </w:tc>
        <w:tc>
          <w:tcPr>
            <w:tcW w:w="0" w:type="dxa"/>
            <w:vAlign w:val="bottom"/>
          </w:tcPr>
          <w:p>
            <w:pPr>
              <w:spacing w:after="0"/>
              <w:rPr>
                <w:sz w:val="1"/>
                <w:szCs w:val="1"/>
                <w:color w:val="auto"/>
              </w:rPr>
            </w:pPr>
          </w:p>
        </w:tc>
      </w:tr>
      <w:tr>
        <w:trPr>
          <w:trHeight w:val="210"/>
        </w:trPr>
        <w:tc>
          <w:tcPr>
            <w:tcW w:w="2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(1,191)</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(2,185)</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0" w:type="dxa"/>
            <w:vAlign w:val="bottom"/>
          </w:tcPr>
          <w:p>
            <w:pPr>
              <w:spacing w:after="0"/>
              <w:rPr>
                <w:sz w:val="1"/>
                <w:szCs w:val="1"/>
                <w:color w:val="auto"/>
              </w:rPr>
            </w:pPr>
          </w:p>
        </w:tc>
      </w:tr>
      <w:tr>
        <w:trPr>
          <w:trHeight w:val="33"/>
        </w:trPr>
        <w:tc>
          <w:tcPr>
            <w:tcW w:w="28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Adjustment for Held-For-Sale</w:t>
            </w:r>
          </w:p>
        </w:tc>
        <w:tc>
          <w:tcPr>
            <w:tcW w:w="46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16,420</w:t>
            </w:r>
          </w:p>
        </w:tc>
        <w:tc>
          <w:tcPr>
            <w:tcW w:w="10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16,420</w:t>
            </w:r>
          </w:p>
        </w:tc>
        <w:tc>
          <w:tcPr>
            <w:tcW w:w="10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CFF0FC"/>
            </w:tcBorders>
            <w:shd w:val="clear" w:color="auto" w:fill="CFF0FC"/>
          </w:tcPr>
          <w:p>
            <w:pPr>
              <w:spacing w:after="0"/>
              <w:rPr>
                <w:sz w:val="19"/>
                <w:szCs w:val="19"/>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2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(Gain) /loss on disposal</w:t>
            </w: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(56,865)</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(56,241)</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11,562</w:t>
            </w:r>
          </w:p>
        </w:tc>
        <w:tc>
          <w:tcPr>
            <w:tcW w:w="0" w:type="dxa"/>
            <w:vAlign w:val="bottom"/>
          </w:tcPr>
          <w:p>
            <w:pPr>
              <w:spacing w:after="0"/>
              <w:rPr>
                <w:sz w:val="1"/>
                <w:szCs w:val="1"/>
                <w:color w:val="auto"/>
              </w:rPr>
            </w:pPr>
          </w:p>
        </w:tc>
      </w:tr>
      <w:tr>
        <w:trPr>
          <w:trHeight w:val="33"/>
        </w:trPr>
        <w:tc>
          <w:tcPr>
            <w:tcW w:w="28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Rental income</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(2,344)</w:t>
            </w:r>
          </w:p>
        </w:tc>
        <w:tc>
          <w:tcPr>
            <w:tcW w:w="0" w:type="dxa"/>
            <w:vAlign w:val="bottom"/>
          </w:tcPr>
          <w:p>
            <w:pPr>
              <w:spacing w:after="0"/>
              <w:rPr>
                <w:sz w:val="1"/>
                <w:szCs w:val="1"/>
                <w:color w:val="auto"/>
              </w:rPr>
            </w:pPr>
          </w:p>
        </w:tc>
      </w:tr>
      <w:tr>
        <w:trPr>
          <w:trHeight w:val="207"/>
        </w:trPr>
        <w:tc>
          <w:tcPr>
            <w:tcW w:w="2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other (income) expense, net</w:t>
            </w:r>
          </w:p>
        </w:tc>
        <w:tc>
          <w:tcPr>
            <w:tcW w:w="46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(36,295)</w:t>
            </w:r>
          </w:p>
        </w:tc>
        <w:tc>
          <w:tcPr>
            <w:tcW w:w="100" w:type="dxa"/>
            <w:vAlign w:val="bottom"/>
          </w:tcPr>
          <w:p>
            <w:pPr>
              <w:spacing w:after="0"/>
              <w:rPr>
                <w:sz w:val="17"/>
                <w:szCs w:val="17"/>
                <w:color w:val="auto"/>
              </w:rPr>
            </w:pPr>
          </w:p>
        </w:tc>
        <w:tc>
          <w:tcPr>
            <w:tcW w:w="880" w:type="dxa"/>
            <w:vAlign w:val="bottom"/>
            <w:tcBorders>
              <w:top w:val="single" w:sz="8" w:color="auto"/>
              <w:bottom w:val="single" w:sz="8" w:color="auto"/>
            </w:tcBorders>
          </w:tcPr>
          <w:p>
            <w:pPr>
              <w:jc w:val="right"/>
              <w:ind w:right="69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tcPr>
          <w:p>
            <w:pPr>
              <w:spacing w:after="0"/>
              <w:rPr>
                <w:sz w:val="17"/>
                <w:szCs w:val="17"/>
                <w:color w:val="auto"/>
              </w:rPr>
            </w:pPr>
          </w:p>
        </w:tc>
        <w:tc>
          <w:tcPr>
            <w:tcW w:w="48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(29,909)</w:t>
            </w:r>
          </w:p>
        </w:tc>
        <w:tc>
          <w:tcPr>
            <w:tcW w:w="100" w:type="dxa"/>
            <w:vAlign w:val="bottom"/>
          </w:tcPr>
          <w:p>
            <w:pPr>
              <w:spacing w:after="0"/>
              <w:rPr>
                <w:sz w:val="17"/>
                <w:szCs w:val="17"/>
                <w:color w:val="auto"/>
              </w:rPr>
            </w:pPr>
          </w:p>
        </w:tc>
        <w:tc>
          <w:tcPr>
            <w:tcW w:w="800" w:type="dxa"/>
            <w:vAlign w:val="bottom"/>
            <w:tcBorders>
              <w:top w:val="single" w:sz="8" w:color="auto"/>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12,992</w:t>
            </w:r>
          </w:p>
        </w:tc>
        <w:tc>
          <w:tcPr>
            <w:tcW w:w="0" w:type="dxa"/>
            <w:vAlign w:val="bottom"/>
          </w:tcPr>
          <w:p>
            <w:pPr>
              <w:spacing w:after="0"/>
              <w:rPr>
                <w:sz w:val="1"/>
                <w:szCs w:val="1"/>
                <w:color w:val="auto"/>
              </w:rPr>
            </w:pPr>
          </w:p>
        </w:tc>
      </w:tr>
      <w:tr>
        <w:trPr>
          <w:trHeight w:val="23"/>
        </w:trPr>
        <w:tc>
          <w:tcPr>
            <w:tcW w:w="28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-1370965</wp:posOffset>
            </wp:positionV>
            <wp:extent cx="6032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-1370965</wp:posOffset>
            </wp:positionV>
            <wp:extent cx="5969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-1370965</wp:posOffset>
            </wp:positionV>
            <wp:extent cx="6032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5" w:lineRule="exact"/>
        <w:rPr>
          <w:sz w:val="20"/>
          <w:szCs w:val="20"/>
          <w:color w:val="auto"/>
        </w:rPr>
      </w:pPr>
    </w:p>
    <w:p>
      <w:pPr>
        <w:jc w:val="both"/>
        <w:ind w:left="820"/>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2024 and 2023 the Company recorded $5,749 and $3,812 in restructuring expense. As of September 30, 2024. the balance outstanding on the Company’s restructuring reserve was $3,207.</w:t>
      </w:r>
    </w:p>
    <w:p>
      <w:pPr>
        <w:spacing w:after="0" w:line="71" w:lineRule="exact"/>
        <w:rPr>
          <w:sz w:val="20"/>
          <w:szCs w:val="20"/>
          <w:color w:val="auto"/>
        </w:rPr>
      </w:pPr>
    </w:p>
    <w:p>
      <w:pPr>
        <w:jc w:val="both"/>
        <w:ind w:left="820" w:right="20"/>
        <w:spacing w:after="0" w:line="270" w:lineRule="auto"/>
        <w:rPr>
          <w:sz w:val="20"/>
          <w:szCs w:val="20"/>
          <w:color w:val="auto"/>
        </w:rPr>
      </w:pPr>
      <w:r>
        <w:rPr>
          <w:rFonts w:ascii="Times New Roman" w:cs="Times New Roman" w:eastAsia="Times New Roman" w:hAnsi="Times New Roman"/>
          <w:sz w:val="22"/>
          <w:szCs w:val="22"/>
          <w:color w:val="008080"/>
        </w:rPr>
        <w:t>(</w:t>
      </w:r>
      <w:r>
        <w:rPr>
          <w:rFonts w:ascii="Times New Roman" w:cs="Times New Roman" w:eastAsia="Times New Roman" w:hAnsi="Times New Roman"/>
          <w:sz w:val="17"/>
          <w:szCs w:val="17"/>
          <w:color w:val="000000"/>
        </w:rPr>
        <w:t>Gain)/Loss on disposal arose on the Divestitures of Arizona and Eastern Virginia, as delineated in Note 17 below, and is stated net of any gains</w:t>
      </w:r>
      <w:r>
        <w:rPr>
          <w:rFonts w:ascii="Times New Roman" w:cs="Times New Roman" w:eastAsia="Times New Roman" w:hAnsi="Times New Roman"/>
          <w:sz w:val="22"/>
          <w:szCs w:val="22"/>
          <w:color w:val="008080"/>
        </w:rPr>
        <w:t xml:space="preserve"> </w:t>
      </w:r>
      <w:r>
        <w:rPr>
          <w:rFonts w:ascii="Times New Roman" w:cs="Times New Roman" w:eastAsia="Times New Roman" w:hAnsi="Times New Roman"/>
          <w:sz w:val="17"/>
          <w:szCs w:val="17"/>
          <w:color w:val="000000"/>
        </w:rPr>
        <w:t>and losses attributable to Minority Investors.</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DIVESTITURE</w:t>
      </w:r>
    </w:p>
    <w:p>
      <w:pPr>
        <w:spacing w:after="0" w:line="160"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i w:val="1"/>
          <w:iCs w:val="1"/>
          <w:color w:val="auto"/>
        </w:rPr>
        <w:t>Utah Business Divestiture</w:t>
      </w:r>
    </w:p>
    <w:p>
      <w:pPr>
        <w:spacing w:after="0" w:line="146" w:lineRule="exact"/>
        <w:rPr>
          <w:sz w:val="20"/>
          <w:szCs w:val="20"/>
          <w:color w:val="auto"/>
        </w:rPr>
      </w:pPr>
    </w:p>
    <w:p>
      <w:pPr>
        <w:jc w:val="both"/>
        <w:ind w:left="820"/>
        <w:spacing w:after="0" w:line="261" w:lineRule="auto"/>
        <w:rPr>
          <w:sz w:val="20"/>
          <w:szCs w:val="20"/>
          <w:color w:val="auto"/>
        </w:rPr>
      </w:pPr>
      <w:r>
        <w:rPr>
          <w:rFonts w:ascii="Times New Roman" w:cs="Times New Roman" w:eastAsia="Times New Roman" w:hAnsi="Times New Roman"/>
          <w:sz w:val="18"/>
          <w:szCs w:val="18"/>
          <w:color w:val="auto"/>
        </w:rPr>
        <w:t>On October 6, 2023, the Company entered into a definitive agreement, subject to closing conditions, to dispose of its Utah operations (the “Utah Business”) which are considered non-core and comprised of one dispensary and one cultivation facility. The Utah Business was divested for gross proceeds of approximately $6.5 million, with approximately $3.9 million due on closing of the transaction, and a $2.6 million Seller note payable to the Company not later than July 2025. The sale of the Utah assets was completed on March 7, 2024.</w:t>
      </w:r>
    </w:p>
    <w:p>
      <w:pPr>
        <w:spacing w:after="0" w:line="110"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i w:val="1"/>
          <w:iCs w:val="1"/>
          <w:color w:val="auto"/>
        </w:rPr>
        <w:t>Arizona Divestiture</w:t>
      </w:r>
    </w:p>
    <w:p>
      <w:pPr>
        <w:spacing w:after="0" w:line="160" w:lineRule="exact"/>
        <w:rPr>
          <w:sz w:val="20"/>
          <w:szCs w:val="20"/>
          <w:color w:val="auto"/>
        </w:rPr>
      </w:pPr>
    </w:p>
    <w:p>
      <w:pPr>
        <w:jc w:val="both"/>
        <w:ind w:left="820"/>
        <w:spacing w:after="0" w:line="266" w:lineRule="auto"/>
        <w:rPr>
          <w:sz w:val="20"/>
          <w:szCs w:val="20"/>
          <w:color w:val="auto"/>
        </w:rPr>
      </w:pPr>
      <w:r>
        <w:rPr>
          <w:rFonts w:ascii="Times New Roman" w:cs="Times New Roman" w:eastAsia="Times New Roman" w:hAnsi="Times New Roman"/>
          <w:sz w:val="18"/>
          <w:szCs w:val="18"/>
          <w:color w:val="auto"/>
        </w:rPr>
        <w:t>On July 29, 2024, the Company entered into definitive agreements, subject to closing conditions, to dispose of its Arizona operations (the "Arizona Business") which are comprised of two dispensaries and one cultivation / manufacturing facility. The Arizona Business is being divested for gross proceeds of $15 million, with approximately all $15 million which was received on signing of the definitive agreement.</w:t>
      </w:r>
    </w:p>
    <w:p>
      <w:pPr>
        <w:spacing w:after="0" w:line="9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i w:val="1"/>
          <w:iCs w:val="1"/>
          <w:color w:val="auto"/>
        </w:rPr>
        <w:t>Eastern Virginia Divestiture</w:t>
      </w:r>
    </w:p>
    <w:p>
      <w:pPr>
        <w:spacing w:after="0" w:line="160" w:lineRule="exact"/>
        <w:rPr>
          <w:sz w:val="20"/>
          <w:szCs w:val="20"/>
          <w:color w:val="auto"/>
        </w:rPr>
      </w:pPr>
    </w:p>
    <w:p>
      <w:pPr>
        <w:jc w:val="both"/>
        <w:ind w:left="820"/>
        <w:spacing w:after="0" w:line="281" w:lineRule="auto"/>
        <w:rPr>
          <w:sz w:val="20"/>
          <w:szCs w:val="20"/>
          <w:color w:val="auto"/>
        </w:rPr>
      </w:pPr>
      <w:r>
        <w:rPr>
          <w:rFonts w:ascii="Times New Roman" w:cs="Times New Roman" w:eastAsia="Times New Roman" w:hAnsi="Times New Roman"/>
          <w:sz w:val="17"/>
          <w:szCs w:val="17"/>
          <w:color w:val="auto"/>
        </w:rPr>
        <w:t>On July 29, 2024, the Company entered into a definitive agreement, subject to closing conditions, to dispose of a portion of its Virginia operations (the "East Virginia Business") which are comprised of six dispensaries and one cultivation / manufacturing facility. The East Virginia Business is being divested for gross proceeds of $90 million, consisting of approximately $20 million in cash, $40 million of equity in the Buyer, Verano Holdings Corp., due on closing of the transaction, and a $30 million seller note payable to the Company over a 14 month period.</w:t>
      </w:r>
    </w:p>
    <w:p>
      <w:pPr>
        <w:spacing w:after="0" w:line="9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i w:val="1"/>
          <w:iCs w:val="1"/>
          <w:color w:val="auto"/>
        </w:rPr>
        <w:t>Florida Business Divestiture</w:t>
      </w:r>
    </w:p>
    <w:p>
      <w:pPr>
        <w:spacing w:after="0" w:line="146" w:lineRule="exact"/>
        <w:rPr>
          <w:sz w:val="20"/>
          <w:szCs w:val="20"/>
          <w:color w:val="auto"/>
        </w:rPr>
      </w:pPr>
    </w:p>
    <w:p>
      <w:pPr>
        <w:ind w:left="820" w:right="400"/>
        <w:spacing w:after="0" w:line="261" w:lineRule="auto"/>
        <w:rPr>
          <w:sz w:val="20"/>
          <w:szCs w:val="20"/>
          <w:color w:val="auto"/>
        </w:rPr>
      </w:pPr>
      <w:r>
        <w:rPr>
          <w:rFonts w:ascii="Times New Roman" w:cs="Times New Roman" w:eastAsia="Times New Roman" w:hAnsi="Times New Roman"/>
          <w:sz w:val="18"/>
          <w:szCs w:val="18"/>
          <w:color w:val="auto"/>
        </w:rPr>
        <w:t>On August 21,2024 and August 22, 2024, the Company entered into definitive agreements, subject to closing conditions, to dispose, of its Florida operations (the "Florida Business") which are comprised of fourteen dispensaries and three cultivation / manufacturing facility. The Florida Business is being divested for gross proceeds of $16.4 million, consisting of approximately $14.4 million in cash, $2 million of promissory note payable to the Company over a one year period.</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ind w:left="820" w:right="20"/>
        <w:spacing w:after="0" w:line="282" w:lineRule="auto"/>
        <w:rPr>
          <w:sz w:val="20"/>
          <w:szCs w:val="20"/>
          <w:color w:val="auto"/>
        </w:rPr>
      </w:pPr>
      <w:r>
        <w:rPr>
          <w:rFonts w:ascii="Times New Roman" w:cs="Times New Roman" w:eastAsia="Times New Roman" w:hAnsi="Times New Roman"/>
          <w:sz w:val="18"/>
          <w:szCs w:val="18"/>
          <w:color w:val="auto"/>
        </w:rPr>
        <w:t>As of September 30, 2024, no assets or liabilities of the disposed-of business remained on our consolidated balance sheets. The table below summarizes the operating results of the disposed of business for the three and nine months ended September 30, 2024, and 2023:</w:t>
      </w:r>
    </w:p>
    <w:p>
      <w:pPr>
        <w:spacing w:after="0" w:line="137" w:lineRule="exact"/>
        <w:rPr>
          <w:sz w:val="20"/>
          <w:szCs w:val="20"/>
          <w:color w:val="auto"/>
        </w:rPr>
      </w:pPr>
    </w:p>
    <w:tbl>
      <w:tblPr>
        <w:tblLayout w:type="fixed"/>
        <w:tblInd w:w="1110" w:type="dxa"/>
        <w:tblCellMar>
          <w:top w:w="0" w:type="dxa"/>
          <w:left w:w="0" w:type="dxa"/>
          <w:bottom w:w="0" w:type="dxa"/>
          <w:right w:w="0" w:type="dxa"/>
        </w:tblCellMar>
      </w:tblPr>
      <w:tr>
        <w:trPr>
          <w:trHeight w:val="212"/>
        </w:trPr>
        <w:tc>
          <w:tcPr>
            <w:tcW w:w="3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60" w:type="dxa"/>
            <w:vAlign w:val="bottom"/>
            <w:gridSpan w:val="2"/>
          </w:tcPr>
          <w:p>
            <w:pPr>
              <w:jc w:val="right"/>
              <w:ind w:right="13"/>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40" w:type="dxa"/>
            <w:vAlign w:val="bottom"/>
            <w:gridSpan w:val="2"/>
          </w:tcPr>
          <w:p>
            <w:pPr>
              <w:jc w:val="right"/>
              <w:ind w:right="53"/>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720" w:type="dxa"/>
            <w:vAlign w:val="bottom"/>
          </w:tcPr>
          <w:p>
            <w:pPr>
              <w:spacing w:after="0"/>
              <w:rPr>
                <w:sz w:val="18"/>
                <w:szCs w:val="18"/>
                <w:color w:val="auto"/>
              </w:rPr>
            </w:pPr>
          </w:p>
        </w:tc>
      </w:tr>
      <w:tr>
        <w:trPr>
          <w:trHeight w:val="33"/>
        </w:trPr>
        <w:tc>
          <w:tcPr>
            <w:tcW w:w="30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r>
      <w:tr>
        <w:trPr>
          <w:trHeight w:val="206"/>
        </w:trPr>
        <w:tc>
          <w:tcPr>
            <w:tcW w:w="3040" w:type="dxa"/>
            <w:vAlign w:val="bottom"/>
            <w:tcBorders>
              <w:left w:val="single" w:sz="8" w:color="auto"/>
              <w:right w:val="single" w:sz="8" w:color="auto"/>
            </w:tcBorders>
          </w:tcPr>
          <w:p>
            <w:pPr>
              <w:spacing w:after="0"/>
              <w:rPr>
                <w:sz w:val="17"/>
                <w:szCs w:val="17"/>
                <w:color w:val="auto"/>
              </w:rPr>
            </w:pPr>
          </w:p>
        </w:tc>
        <w:tc>
          <w:tcPr>
            <w:tcW w:w="150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150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 2023</w:t>
            </w:r>
          </w:p>
        </w:tc>
        <w:tc>
          <w:tcPr>
            <w:tcW w:w="1520" w:type="dxa"/>
            <w:vAlign w:val="bottom"/>
            <w:tcBorders>
              <w:right w:val="single" w:sz="8" w:color="auto"/>
            </w:tcBorders>
            <w:gridSpan w:val="2"/>
          </w:tcPr>
          <w:p>
            <w:pPr>
              <w:jc w:val="right"/>
              <w:ind w:right="13"/>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150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 2023</w:t>
            </w:r>
          </w:p>
        </w:tc>
      </w:tr>
      <w:tr>
        <w:trPr>
          <w:trHeight w:val="31"/>
        </w:trPr>
        <w:tc>
          <w:tcPr>
            <w:tcW w:w="3040" w:type="dxa"/>
            <w:vAlign w:val="bottom"/>
            <w:tcBorders>
              <w:left w:val="single" w:sz="8" w:color="auto"/>
              <w:bottom w:val="single" w:sz="8" w:color="auto"/>
              <w:right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r>
      <w:tr>
        <w:trPr>
          <w:trHeight w:val="243"/>
        </w:trPr>
        <w:tc>
          <w:tcPr>
            <w:tcW w:w="304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Revenue</w:t>
            </w: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14,323</w:t>
            </w:r>
          </w:p>
        </w:tc>
        <w:tc>
          <w:tcPr>
            <w:tcW w:w="800" w:type="dxa"/>
            <w:vAlign w:val="bottom"/>
            <w:tcBorders>
              <w:bottom w:val="single" w:sz="8" w:color="auto"/>
            </w:tcBorders>
            <w:shd w:val="clear" w:color="auto" w:fill="CCEEFF"/>
          </w:tcPr>
          <w:p>
            <w:pPr>
              <w:jc w:val="right"/>
              <w:ind w:right="613"/>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24,838</w:t>
            </w:r>
          </w:p>
        </w:tc>
        <w:tc>
          <w:tcPr>
            <w:tcW w:w="460" w:type="dxa"/>
            <w:vAlign w:val="bottom"/>
            <w:tcBorders>
              <w:bottom w:val="single" w:sz="8" w:color="auto"/>
            </w:tcBorders>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right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61,372</w:t>
            </w:r>
          </w:p>
        </w:tc>
        <w:tc>
          <w:tcPr>
            <w:tcW w:w="780" w:type="dxa"/>
            <w:vAlign w:val="bottom"/>
            <w:tcBorders>
              <w:bottom w:val="single" w:sz="8" w:color="auto"/>
            </w:tcBorders>
            <w:shd w:val="clear" w:color="auto" w:fill="CCEEFF"/>
          </w:tcPr>
          <w:p>
            <w:pPr>
              <w:jc w:val="right"/>
              <w:ind w:right="593"/>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74,011</w:t>
            </w:r>
          </w:p>
        </w:tc>
      </w:tr>
      <w:tr>
        <w:trPr>
          <w:trHeight w:val="250"/>
        </w:trPr>
        <w:tc>
          <w:tcPr>
            <w:tcW w:w="30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Expenses</w:t>
            </w:r>
          </w:p>
        </w:tc>
        <w:tc>
          <w:tcPr>
            <w:tcW w:w="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16,899</w:t>
            </w:r>
          </w:p>
        </w:tc>
        <w:tc>
          <w:tcPr>
            <w:tcW w:w="80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30,631</w:t>
            </w:r>
          </w:p>
        </w:tc>
        <w:tc>
          <w:tcPr>
            <w:tcW w:w="46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right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67,561</w:t>
            </w:r>
          </w:p>
        </w:tc>
        <w:tc>
          <w:tcPr>
            <w:tcW w:w="78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86,183</w:t>
            </w:r>
          </w:p>
        </w:tc>
      </w:tr>
    </w:tbl>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SUBSEQUENT EVENTS</w:t>
      </w:r>
    </w:p>
    <w:p>
      <w:pPr>
        <w:spacing w:after="0" w:line="148" w:lineRule="exact"/>
        <w:rPr>
          <w:sz w:val="20"/>
          <w:szCs w:val="20"/>
          <w:color w:val="auto"/>
        </w:rPr>
      </w:pPr>
    </w:p>
    <w:p>
      <w:pPr>
        <w:jc w:val="both"/>
        <w:ind w:left="820"/>
        <w:spacing w:after="0" w:line="266" w:lineRule="auto"/>
        <w:rPr>
          <w:sz w:val="20"/>
          <w:szCs w:val="20"/>
          <w:color w:val="auto"/>
        </w:rPr>
      </w:pPr>
      <w:r>
        <w:rPr>
          <w:rFonts w:ascii="Times New Roman" w:cs="Times New Roman" w:eastAsia="Times New Roman" w:hAnsi="Times New Roman"/>
          <w:sz w:val="18"/>
          <w:szCs w:val="18"/>
          <w:color w:val="auto"/>
        </w:rPr>
        <w:t>On October 1, 2024, the Company entered into a definitive agreement, subject to closing conditions, to dispose of a vertically-integrated Florida paper license for gross proceeds of $7.5 million cash. On completion of this transaction and the divestitures of the Florida Business and the Lakeland Business, the Company will have exited its entire Florida operations.</w:t>
      </w:r>
    </w:p>
    <w:p>
      <w:pPr>
        <w:spacing w:after="0" w:line="189" w:lineRule="exact"/>
        <w:rPr>
          <w:sz w:val="20"/>
          <w:szCs w:val="20"/>
          <w:color w:val="auto"/>
        </w:rPr>
      </w:pPr>
    </w:p>
    <w:p>
      <w:pPr>
        <w:jc w:val="both"/>
        <w:ind w:left="820"/>
        <w:spacing w:after="0" w:line="245" w:lineRule="auto"/>
        <w:rPr>
          <w:sz w:val="20"/>
          <w:szCs w:val="20"/>
          <w:color w:val="auto"/>
        </w:rPr>
      </w:pPr>
      <w:r>
        <w:rPr>
          <w:rFonts w:ascii="Times New Roman" w:cs="Times New Roman" w:eastAsia="Times New Roman" w:hAnsi="Times New Roman"/>
          <w:sz w:val="18"/>
          <w:szCs w:val="18"/>
          <w:color w:val="auto"/>
        </w:rPr>
        <w:t>On October 9, 2024, the Company completed an orderly transition of the Company’s independent registered public accounting firm with Davidson &amp; Company LLP (“Davidson”) being dismissed, following its resignation as of that same day, and the Board approving, on the recommendation of the Audit Committee, the appointment of PKF O’Connor Davies, LLP (“PKF”) as the Company’s new independent registered public accounting firm for the fiscal year ending December 31, 2024, effective October 9, 2024.</w:t>
      </w:r>
    </w:p>
    <w:p>
      <w:pPr>
        <w:spacing w:after="0" w:line="208" w:lineRule="exact"/>
        <w:rPr>
          <w:sz w:val="20"/>
          <w:szCs w:val="20"/>
          <w:color w:val="auto"/>
        </w:rPr>
      </w:pPr>
    </w:p>
    <w:p>
      <w:pPr>
        <w:jc w:val="both"/>
        <w:ind w:left="820"/>
        <w:spacing w:after="0" w:line="266" w:lineRule="auto"/>
        <w:rPr>
          <w:sz w:val="20"/>
          <w:szCs w:val="20"/>
          <w:color w:val="auto"/>
        </w:rPr>
      </w:pPr>
      <w:r>
        <w:rPr>
          <w:rFonts w:ascii="Times New Roman" w:cs="Times New Roman" w:eastAsia="Times New Roman" w:hAnsi="Times New Roman"/>
          <w:sz w:val="18"/>
          <w:szCs w:val="18"/>
          <w:color w:val="auto"/>
        </w:rPr>
        <w:t>Further to the previous announcements and Note 17 above, effective November 6, 2024 the Company closed one of its Florida transactions, covering 14 retail locations and 2 cultivation facilities for gross proceeds of $5 million, $2 million of which will be in a promissory note.</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4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This management’s discussion and analysis (“MD&amp;A”) of the financial condition and results of operations of The Cannabist Company Holdings Inc. (“The Cannabist Company”, the “Company”, “us”, “our” or “we”) is supplemental to, and should be read in conjunction with, The Cannabist Company's unaudited condensed consolidated interim financial statements and the accompanying notes for the three and nine months ended September 30, 2024 and 2023. Except for historical information, the discussion in this section contains forward-looking statements that involve risks and uncertainties. Future results could differ materially from those discussed below for many reasons, including the risks described in “Disclosure Regarding Forward-Looking Statements,” “Item 1A-Risk Factors” and elsewhere in the Company’s 2023 Form 10-K filed with the SEC on March 13, 2024 and subsequent securities filings.</w:t>
      </w:r>
    </w:p>
    <w:p>
      <w:pPr>
        <w:spacing w:after="0" w:line="11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The Cannabist Company's financial statements are prepared in accordance with generally accepted accounting principles in the United States of America (“US GAAP”). Financial information presented in this MD&amp;A is presented in thousands of United States dollars (“$” or “US$”), unless otherwise indicated.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THE CANNABIST COMPANY</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principal business activity is the production and sale of cannabis. We strive to be the premier provider of cannabis-related products in each of the markets in which we operate. Our mission is to improve lives by providing cannabis-based health and wellness solutions through community partnerships, research, education, and the responsible use of our products as a natural means to improve the quality of life of our patients and customers.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CANNABIST COMPANY OBJECTIVES AND FACTORS AFFECTING OUR PERFORMANCE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one of the largest fully integrated operators in the cannabis industry, our strategy to grow our business is comprised of the following key components:</w:t>
      </w:r>
    </w:p>
    <w:p>
      <w:pPr>
        <w:sectPr>
          <w:pgSz w:w="11900" w:h="16838" w:orient="portrait"/>
          <w:cols w:equalWidth="0" w:num="1">
            <w:col w:w="11240"/>
          </w:cols>
          <w:pgMar w:left="320" w:top="121" w:right="339" w:bottom="1440" w:gutter="0" w:footer="0" w:header="0"/>
        </w:sectPr>
      </w:pPr>
    </w:p>
    <w:p>
      <w:pPr>
        <w:spacing w:after="0" w:line="144"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Expansion and development within and outside our current markets</w:t>
      </w:r>
    </w:p>
    <w:p>
      <w:pPr>
        <w:spacing w:after="0" w:line="169" w:lineRule="exact"/>
        <w:rPr>
          <w:sz w:val="20"/>
          <w:szCs w:val="20"/>
          <w:color w:val="auto"/>
        </w:rPr>
      </w:pPr>
    </w:p>
    <w:p>
      <w:pPr>
        <w:sectPr>
          <w:pgSz w:w="11900" w:h="16838" w:orient="portrait"/>
          <w:cols w:equalWidth="0" w:num="2">
            <w:col w:w="1880" w:space="720"/>
            <w:col w:w="8640"/>
          </w:cols>
          <w:pgMar w:left="320" w:top="121" w:right="339" w:bottom="1440" w:gutter="0" w:footer="0" w:header="0"/>
          <w:type w:val="continuous"/>
        </w:sectPr>
      </w:pPr>
    </w:p>
    <w:p>
      <w:pPr>
        <w:ind w:left="82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Patient and customer-centric, leveraging health and wellness focus</w:t>
      </w:r>
    </w:p>
    <w:p>
      <w:pPr>
        <w:spacing w:after="0" w:line="169" w:lineRule="exact"/>
        <w:rPr>
          <w:sz w:val="20"/>
          <w:szCs w:val="20"/>
          <w:color w:val="auto"/>
        </w:rPr>
      </w:pPr>
    </w:p>
    <w:p>
      <w:pPr>
        <w:sectPr>
          <w:pgSz w:w="11900" w:h="16838" w:orient="portrait"/>
          <w:cols w:equalWidth="0" w:num="2">
            <w:col w:w="1880" w:space="720"/>
            <w:col w:w="8640"/>
          </w:cols>
          <w:pgMar w:left="320" w:top="121" w:right="339" w:bottom="1440" w:gutter="0" w:footer="0" w:header="0"/>
          <w:type w:val="continuous"/>
        </w:sectPr>
      </w:pPr>
    </w:p>
    <w:p>
      <w:pPr>
        <w:ind w:left="82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jc w:val="center"/>
        <w:ind w:right="1800"/>
        <w:spacing w:after="0"/>
        <w:rPr>
          <w:sz w:val="20"/>
          <w:szCs w:val="20"/>
          <w:color w:val="auto"/>
        </w:rPr>
      </w:pPr>
      <w:r>
        <w:rPr>
          <w:rFonts w:ascii="Times New Roman" w:cs="Times New Roman" w:eastAsia="Times New Roman" w:hAnsi="Times New Roman"/>
          <w:sz w:val="17"/>
          <w:szCs w:val="17"/>
          <w:color w:val="auto"/>
        </w:rPr>
        <w:t>Consistency and quality of proprietary product portfolio, including branded consumer products</w:t>
      </w:r>
    </w:p>
    <w:p>
      <w:pPr>
        <w:spacing w:after="0" w:line="156" w:lineRule="exact"/>
        <w:rPr>
          <w:sz w:val="20"/>
          <w:szCs w:val="20"/>
          <w:color w:val="auto"/>
        </w:rPr>
      </w:pPr>
    </w:p>
    <w:p>
      <w:pPr>
        <w:sectPr>
          <w:pgSz w:w="11900" w:h="16838" w:orient="portrait"/>
          <w:cols w:equalWidth="0" w:num="2">
            <w:col w:w="1880" w:space="720"/>
            <w:col w:w="8640"/>
          </w:cols>
          <w:pgMar w:left="320" w:top="121" w:right="339" w:bottom="1440" w:gutter="0" w:footer="0" w:header="0"/>
          <w:type w:val="continuous"/>
        </w:sectPr>
      </w:pPr>
    </w:p>
    <w:p>
      <w:pPr>
        <w:ind w:left="82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Intellectual property and data-driven innovation</w:t>
      </w:r>
    </w:p>
    <w:p>
      <w:pPr>
        <w:spacing w:after="0" w:line="169" w:lineRule="exact"/>
        <w:rPr>
          <w:sz w:val="20"/>
          <w:szCs w:val="20"/>
          <w:color w:val="auto"/>
        </w:rPr>
      </w:pPr>
    </w:p>
    <w:p>
      <w:pPr>
        <w:sectPr>
          <w:pgSz w:w="11900" w:h="16838" w:orient="portrait"/>
          <w:cols w:equalWidth="0" w:num="2">
            <w:col w:w="1880" w:space="720"/>
            <w:col w:w="8640"/>
          </w:cols>
          <w:pgMar w:left="320" w:top="121" w:right="339" w:bottom="1440" w:gutter="0" w:footer="0" w:header="0"/>
          <w:type w:val="continuous"/>
        </w:sect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performance and future success are dependent on several factors. These factors are also subject to inherent risks and challenges, some of which are discussed below.</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Branding</w:t>
      </w:r>
    </w:p>
    <w:p>
      <w:pPr>
        <w:spacing w:after="0" w:line="14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established a national branding strategy across each of the jurisdictions in which we operate. Maintaining and growing our brand appeal is critical to our continued success. Effective September 2023, the Company changed its name from “Columbia Care Inc.” to “The Cannabist Company Holdings Inc.” reflecting the Company's "Cannabist" national retail brand that was established in 2021.</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Regulation</w:t>
      </w:r>
    </w:p>
    <w:p>
      <w:pPr>
        <w:spacing w:after="0" w:line="15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subject to the local and federal laws in the jurisdictions in which we operate. We hold all required licenses for the production and distribution of our products in the jurisdictions in which we operate and continuously monitor changes in laws, regulations, treaties and agreements.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Product Innovation and Consumer Trends</w:t>
      </w:r>
    </w:p>
    <w:p>
      <w:pPr>
        <w:spacing w:after="0" w:line="1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business is subject to changing consumer trends and preferences, which is dependent, in part, on continued consumer interest in new products. The success of new product offerings, depends upon a number of factors, including our ability to (i) accurately anticipate customer needs; (ii) develop new products that meet these needs; (iii) successfully commercialize new products; (iv) price products competitively; (v) produce and deliver products in sufficient volumes and on a timely basis; and (vi) differentiate product offerings from those of competitors.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Growth and Profitability Strategies</w:t>
      </w:r>
    </w:p>
    <w:p>
      <w:pPr>
        <w:spacing w:after="0" w:line="1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 successful history of growing revenue and we believe we have a strong strategy aimed at increasing profitability. Our future depends, in part, on our ability to implement our strategy including (i) product innovations; (ii) penetration of current and new markets; (iii) growth of wholesale revenue through third party retailers and distributors; (iv)</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future development of e-commerce and home delivery distribution capabilities; (v) expansion of our cultivation and manufacturing capacity; and (vi) controlling costs. Our ability to implement this strategy depends, among other things, on our ability to develop new products that appeal to consumers, maintain and expand brand loyalty, maintain and improve product quality and brand recognition, maintain and improve competitive position in our current markets, and identify and successfully enter and market products in new geographic areas and segments.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SELECTED FINANCIAL INFORMATION</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tables set forth selected consolidated financial information derived from our unaudited condensed consolidated interim financial statements and the respective accompanying notes prepared in accordance with U.S. GAAP.</w:t>
      </w:r>
    </w:p>
    <w:p>
      <w:pPr>
        <w:spacing w:after="0" w:line="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periods discussed herein, our accounting policies have remained consistent. The selected and summarized consolidated financial information below may not be indicative of our future performance.</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 of Operations: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4"/>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4"/>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ind w:left="20"/>
              <w:spacing w:after="0" w:line="158" w:lineRule="exact"/>
              <w:rPr>
                <w:sz w:val="20"/>
                <w:szCs w:val="20"/>
                <w:color w:val="auto"/>
              </w:rPr>
            </w:pPr>
            <w:r>
              <w:rPr>
                <w:rFonts w:ascii="Times New Roman" w:cs="Times New Roman" w:eastAsia="Times New Roman" w:hAnsi="Times New Roman"/>
                <w:sz w:val="16"/>
                <w:szCs w:val="16"/>
                <w:b w:val="1"/>
                <w:bCs w:val="1"/>
                <w:color w:val="auto"/>
              </w:rPr>
              <w:t>September</w:t>
            </w:r>
          </w:p>
        </w:tc>
        <w:tc>
          <w:tcPr>
            <w:tcW w:w="120" w:type="dxa"/>
            <w:vAlign w:val="bottom"/>
          </w:tcPr>
          <w:p>
            <w:pPr>
              <w:spacing w:after="0"/>
              <w:rPr>
                <w:sz w:val="13"/>
                <w:szCs w:val="13"/>
                <w:color w:val="auto"/>
              </w:rPr>
            </w:pPr>
          </w:p>
        </w:tc>
        <w:tc>
          <w:tcPr>
            <w:tcW w:w="880" w:type="dxa"/>
            <w:vAlign w:val="bottom"/>
          </w:tcPr>
          <w:p>
            <w:pPr>
              <w:jc w:val="right"/>
              <w:ind w:right="39"/>
              <w:spacing w:after="0" w:line="158" w:lineRule="exact"/>
              <w:rPr>
                <w:sz w:val="20"/>
                <w:szCs w:val="20"/>
                <w:color w:val="auto"/>
              </w:rPr>
            </w:pPr>
            <w:r>
              <w:rPr>
                <w:rFonts w:ascii="Times New Roman" w:cs="Times New Roman" w:eastAsia="Times New Roman" w:hAnsi="Times New Roman"/>
                <w:sz w:val="16"/>
                <w:szCs w:val="16"/>
                <w:b w:val="1"/>
                <w:bCs w:val="1"/>
                <w:color w:val="auto"/>
              </w:rPr>
              <w:t>September</w:t>
            </w: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8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spacing w:after="0" w:line="158" w:lineRule="exact"/>
              <w:rPr>
                <w:sz w:val="20"/>
                <w:szCs w:val="20"/>
                <w:color w:val="auto"/>
              </w:rPr>
            </w:pPr>
            <w:r>
              <w:rPr>
                <w:rFonts w:ascii="Times New Roman" w:cs="Times New Roman" w:eastAsia="Times New Roman" w:hAnsi="Times New Roman"/>
                <w:sz w:val="16"/>
                <w:szCs w:val="16"/>
                <w:b w:val="1"/>
                <w:bCs w:val="1"/>
                <w:color w:val="auto"/>
              </w:rPr>
              <w:t>September</w:t>
            </w:r>
          </w:p>
        </w:tc>
        <w:tc>
          <w:tcPr>
            <w:tcW w:w="100" w:type="dxa"/>
            <w:vAlign w:val="bottom"/>
          </w:tcPr>
          <w:p>
            <w:pPr>
              <w:spacing w:after="0"/>
              <w:rPr>
                <w:sz w:val="13"/>
                <w:szCs w:val="13"/>
                <w:color w:val="auto"/>
              </w:rPr>
            </w:pPr>
          </w:p>
        </w:tc>
        <w:tc>
          <w:tcPr>
            <w:tcW w:w="880" w:type="dxa"/>
            <w:vAlign w:val="bottom"/>
          </w:tcPr>
          <w:p>
            <w:pPr>
              <w:jc w:val="right"/>
              <w:ind w:right="39"/>
              <w:spacing w:after="0" w:line="158" w:lineRule="exact"/>
              <w:rPr>
                <w:sz w:val="20"/>
                <w:szCs w:val="20"/>
                <w:color w:val="auto"/>
              </w:rPr>
            </w:pPr>
            <w:r>
              <w:rPr>
                <w:rFonts w:ascii="Times New Roman" w:cs="Times New Roman" w:eastAsia="Times New Roman" w:hAnsi="Times New Roman"/>
                <w:sz w:val="16"/>
                <w:szCs w:val="16"/>
                <w:b w:val="1"/>
                <w:bCs w:val="1"/>
                <w:color w:val="auto"/>
              </w:rPr>
              <w:t>September</w:t>
            </w: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30, 2024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30, 2023</w:t>
            </w:r>
          </w:p>
        </w:tc>
        <w:tc>
          <w:tcPr>
            <w:tcW w:w="240" w:type="dxa"/>
            <w:vAlign w:val="bottom"/>
            <w:gridSpan w:val="2"/>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30, 2024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30, 2023</w:t>
            </w:r>
          </w:p>
        </w:tc>
        <w:tc>
          <w:tcPr>
            <w:tcW w:w="240" w:type="dxa"/>
            <w:vAlign w:val="bottom"/>
            <w:gridSpan w:val="2"/>
            <w:vMerge w:val="continue"/>
          </w:tcPr>
          <w:p>
            <w:pPr>
              <w:spacing w:after="0"/>
              <w:rPr>
                <w:sz w:val="18"/>
                <w:szCs w:val="18"/>
                <w:color w:val="auto"/>
              </w:rPr>
            </w:pPr>
          </w:p>
        </w:tc>
        <w:tc>
          <w:tcPr>
            <w:tcW w:w="6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22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114,783</w:t>
            </w:r>
          </w:p>
        </w:tc>
        <w:tc>
          <w:tcPr>
            <w:tcW w:w="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129,183</w:t>
            </w:r>
          </w:p>
        </w:tc>
        <w:tc>
          <w:tcPr>
            <w:tcW w:w="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(14,400)</w:t>
            </w:r>
          </w:p>
        </w:tc>
        <w:tc>
          <w:tcPr>
            <w:tcW w:w="80" w:type="dxa"/>
            <w:vAlign w:val="bottom"/>
            <w:tcBorders>
              <w:top w:val="single" w:sz="8" w:color="CFF0FC"/>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80" w:type="dxa"/>
            <w:vAlign w:val="bottom"/>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362,584</w:t>
            </w: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382,962</w:t>
            </w:r>
          </w:p>
        </w:tc>
        <w:tc>
          <w:tcPr>
            <w:tcW w:w="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(20,378)</w:t>
            </w:r>
          </w:p>
        </w:tc>
        <w:tc>
          <w:tcPr>
            <w:tcW w:w="80" w:type="dxa"/>
            <w:vAlign w:val="bottom"/>
            <w:tcBorders>
              <w:top w:val="single" w:sz="8" w:color="CFF0FC"/>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162"/>
        </w:trPr>
        <w:tc>
          <w:tcPr>
            <w:tcW w:w="22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Cost of sales related to inventory</w:t>
            </w:r>
          </w:p>
        </w:tc>
        <w:tc>
          <w:tcPr>
            <w:tcW w:w="10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(70,973)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(92,041)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21,068</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(228,185)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(246,617)</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18,432</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13"/>
        </w:trPr>
        <w:tc>
          <w:tcPr>
            <w:tcW w:w="2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production</w:t>
            </w:r>
          </w:p>
        </w:tc>
        <w:tc>
          <w:tcPr>
            <w:tcW w:w="10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22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43,810</w:t>
            </w:r>
          </w:p>
        </w:tc>
        <w:tc>
          <w:tcPr>
            <w:tcW w:w="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37,142</w:t>
            </w:r>
          </w:p>
        </w:tc>
        <w:tc>
          <w:tcPr>
            <w:tcW w:w="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6,668</w:t>
            </w:r>
          </w:p>
        </w:tc>
        <w:tc>
          <w:tcPr>
            <w:tcW w:w="80" w:type="dxa"/>
            <w:vAlign w:val="bottom"/>
            <w:tcBorders>
              <w:top w:val="single" w:sz="8" w:color="CFF0FC"/>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18 %</w:t>
            </w:r>
          </w:p>
        </w:tc>
        <w:tc>
          <w:tcPr>
            <w:tcW w:w="80" w:type="dxa"/>
            <w:vAlign w:val="bottom"/>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134,399</w:t>
            </w: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136,345</w:t>
            </w:r>
          </w:p>
        </w:tc>
        <w:tc>
          <w:tcPr>
            <w:tcW w:w="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(1,946)</w:t>
            </w:r>
          </w:p>
        </w:tc>
        <w:tc>
          <w:tcPr>
            <w:tcW w:w="80" w:type="dxa"/>
            <w:vAlign w:val="bottom"/>
            <w:tcBorders>
              <w:top w:val="single" w:sz="8" w:color="CFF0FC"/>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3"/>
        </w:trPr>
        <w:tc>
          <w:tcPr>
            <w:tcW w:w="2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Fixed asset impairment</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80" w:type="dxa"/>
            <w:vAlign w:val="bottom"/>
            <w:shd w:val="clear" w:color="auto" w:fill="CFF0FC"/>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80" w:type="dxa"/>
            <w:vAlign w:val="bottom"/>
            <w:shd w:val="clear" w:color="auto" w:fill="CFF0FC"/>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65"/>
        </w:trPr>
        <w:tc>
          <w:tcPr>
            <w:tcW w:w="2220" w:type="dxa"/>
            <w:vAlign w:val="bottom"/>
            <w:shd w:val="clear" w:color="auto" w:fill="CFF0FC"/>
          </w:tcPr>
          <w:p>
            <w:pPr>
              <w:ind w:left="20"/>
              <w:spacing w:after="0" w:line="165" w:lineRule="exact"/>
              <w:rPr>
                <w:sz w:val="20"/>
                <w:szCs w:val="20"/>
                <w:color w:val="auto"/>
              </w:rPr>
            </w:pPr>
            <w:r>
              <w:rPr>
                <w:rFonts w:ascii="Times New Roman" w:cs="Times New Roman" w:eastAsia="Times New Roman" w:hAnsi="Times New Roman"/>
                <w:sz w:val="16"/>
                <w:szCs w:val="16"/>
                <w:color w:val="auto"/>
              </w:rPr>
              <w:t>Selling, general and</w:t>
            </w:r>
          </w:p>
        </w:tc>
        <w:tc>
          <w:tcPr>
            <w:tcW w:w="100" w:type="dxa"/>
            <w:vAlign w:val="bottom"/>
            <w:shd w:val="clear" w:color="auto" w:fill="CFF0FC"/>
          </w:tcPr>
          <w:p>
            <w:pPr>
              <w:spacing w:after="0"/>
              <w:rPr>
                <w:sz w:val="14"/>
                <w:szCs w:val="14"/>
                <w:color w:val="auto"/>
              </w:rPr>
            </w:pP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(49,315)</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(56,472)</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7,157</w:t>
            </w:r>
          </w:p>
        </w:tc>
        <w:tc>
          <w:tcPr>
            <w:tcW w:w="80" w:type="dxa"/>
            <w:vAlign w:val="bottom"/>
            <w:shd w:val="clear" w:color="auto" w:fill="CFF0FC"/>
          </w:tcPr>
          <w:p>
            <w:pPr>
              <w:spacing w:after="0"/>
              <w:rPr>
                <w:sz w:val="14"/>
                <w:szCs w:val="14"/>
                <w:color w:val="auto"/>
              </w:rPr>
            </w:pP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80" w:type="dxa"/>
            <w:vAlign w:val="bottom"/>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(142,634)</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(163,895)</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21,261</w:t>
            </w:r>
          </w:p>
        </w:tc>
        <w:tc>
          <w:tcPr>
            <w:tcW w:w="80" w:type="dxa"/>
            <w:vAlign w:val="bottom"/>
            <w:shd w:val="clear" w:color="auto" w:fill="CFF0FC"/>
          </w:tcPr>
          <w:p>
            <w:pPr>
              <w:spacing w:after="0"/>
              <w:rPr>
                <w:sz w:val="14"/>
                <w:szCs w:val="14"/>
                <w:color w:val="auto"/>
              </w:rPr>
            </w:pP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16"/>
        </w:trPr>
        <w:tc>
          <w:tcPr>
            <w:tcW w:w="2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administrative expenses</w:t>
            </w:r>
          </w:p>
        </w:tc>
        <w:tc>
          <w:tcPr>
            <w:tcW w:w="10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vMerge w:val="continue"/>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vMerge w:val="continue"/>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vMerge w:val="continue"/>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20" w:type="dxa"/>
            <w:vAlign w:val="bottom"/>
            <w:tcBorders>
              <w:bottom w:val="single" w:sz="8" w:color="auto"/>
            </w:tcBorders>
            <w:vMerge w:val="continue"/>
            <w:shd w:val="clear" w:color="auto" w:fill="CFF0FC"/>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vMerge w:val="continue"/>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vMerge w:val="continue"/>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vMerge w:val="continue"/>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20" w:type="dxa"/>
            <w:vAlign w:val="bottom"/>
            <w:tcBorders>
              <w:bottom w:val="single" w:sz="8" w:color="auto"/>
            </w:tcBorders>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from operations</w:t>
            </w: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(5,626)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(19,330)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13,704</w:t>
            </w: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(8,356)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(27,550)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19,194</w:t>
            </w: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0" w:type="dxa"/>
            <w:vAlign w:val="bottom"/>
          </w:tcPr>
          <w:p>
            <w:pPr>
              <w:spacing w:after="0"/>
              <w:rPr>
                <w:sz w:val="1"/>
                <w:szCs w:val="1"/>
                <w:color w:val="auto"/>
              </w:rPr>
            </w:pPr>
          </w:p>
        </w:tc>
      </w:tr>
      <w:tr>
        <w:trPr>
          <w:trHeight w:val="222"/>
        </w:trPr>
        <w:tc>
          <w:tcPr>
            <w:tcW w:w="2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income / (expense), net</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25,701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(14,553)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40,254</w:t>
            </w:r>
          </w:p>
        </w:tc>
        <w:tc>
          <w:tcPr>
            <w:tcW w:w="80" w:type="dxa"/>
            <w:vAlign w:val="bottom"/>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(54,948)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53,678</w:t>
            </w:r>
          </w:p>
        </w:tc>
        <w:tc>
          <w:tcPr>
            <w:tcW w:w="80" w:type="dxa"/>
            <w:vAlign w:val="bottom"/>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0" w:type="dxa"/>
            <w:vAlign w:val="bottom"/>
          </w:tcPr>
          <w:p>
            <w:pPr>
              <w:spacing w:after="0"/>
              <w:rPr>
                <w:sz w:val="1"/>
                <w:szCs w:val="1"/>
                <w:color w:val="auto"/>
              </w:rPr>
            </w:pPr>
          </w:p>
        </w:tc>
      </w:tr>
      <w:tr>
        <w:trPr>
          <w:trHeight w:val="213"/>
        </w:trPr>
        <w:tc>
          <w:tcPr>
            <w:tcW w:w="222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(21,838)</w:t>
            </w:r>
          </w:p>
        </w:tc>
        <w:tc>
          <w:tcPr>
            <w:tcW w:w="8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(2,297)</w:t>
            </w:r>
          </w:p>
        </w:tc>
        <w:tc>
          <w:tcPr>
            <w:tcW w:w="8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(19,541)</w:t>
            </w:r>
          </w:p>
        </w:tc>
        <w:tc>
          <w:tcPr>
            <w:tcW w:w="80" w:type="dxa"/>
            <w:vAlign w:val="bottom"/>
            <w:tcBorders>
              <w:bottom w:val="single" w:sz="8" w:color="CFF0FC"/>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851 %</w:t>
            </w: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(40,348)</w:t>
            </w:r>
          </w:p>
        </w:tc>
        <w:tc>
          <w:tcPr>
            <w:tcW w:w="8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(19,291)</w:t>
            </w:r>
          </w:p>
        </w:tc>
        <w:tc>
          <w:tcPr>
            <w:tcW w:w="8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(21,057)</w:t>
            </w:r>
          </w:p>
        </w:tc>
        <w:tc>
          <w:tcPr>
            <w:tcW w:w="80" w:type="dxa"/>
            <w:vAlign w:val="bottom"/>
            <w:tcBorders>
              <w:bottom w:val="single" w:sz="8" w:color="CFF0FC"/>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109 %</w:t>
            </w:r>
          </w:p>
        </w:tc>
        <w:tc>
          <w:tcPr>
            <w:tcW w:w="0" w:type="dxa"/>
            <w:vAlign w:val="bottom"/>
          </w:tcPr>
          <w:p>
            <w:pPr>
              <w:spacing w:after="0"/>
              <w:rPr>
                <w:sz w:val="1"/>
                <w:szCs w:val="1"/>
                <w:color w:val="auto"/>
              </w:rPr>
            </w:pPr>
          </w:p>
        </w:tc>
      </w:tr>
      <w:tr>
        <w:trPr>
          <w:trHeight w:val="212"/>
        </w:trPr>
        <w:tc>
          <w:tcPr>
            <w:tcW w:w="2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(1,763)</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(36,180)</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34,417</w:t>
            </w:r>
          </w:p>
        </w:tc>
        <w:tc>
          <w:tcPr>
            <w:tcW w:w="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80" w:type="dxa"/>
            <w:vAlign w:val="bottom"/>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(49,974)</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(101,789)</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51,815</w:t>
            </w:r>
          </w:p>
        </w:tc>
        <w:tc>
          <w:tcPr>
            <w:tcW w:w="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0" w:type="dxa"/>
            <w:vAlign w:val="bottom"/>
          </w:tcPr>
          <w:p>
            <w:pPr>
              <w:spacing w:after="0"/>
              <w:rPr>
                <w:sz w:val="1"/>
                <w:szCs w:val="1"/>
                <w:color w:val="auto"/>
              </w:rPr>
            </w:pPr>
          </w:p>
        </w:tc>
      </w:tr>
      <w:tr>
        <w:trPr>
          <w:trHeight w:val="162"/>
        </w:trPr>
        <w:tc>
          <w:tcPr>
            <w:tcW w:w="22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Net profit attributable to non-</w:t>
            </w:r>
          </w:p>
        </w:tc>
        <w:tc>
          <w:tcPr>
            <w:tcW w:w="10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545</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(448)</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1,300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1,139</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0" w:type="dxa"/>
            <w:vAlign w:val="bottom"/>
          </w:tcPr>
          <w:p>
            <w:pPr>
              <w:spacing w:after="0"/>
              <w:rPr>
                <w:sz w:val="1"/>
                <w:szCs w:val="1"/>
                <w:color w:val="auto"/>
              </w:rPr>
            </w:pPr>
          </w:p>
        </w:tc>
      </w:tr>
      <w:tr>
        <w:trPr>
          <w:trHeight w:val="213"/>
        </w:trPr>
        <w:tc>
          <w:tcPr>
            <w:tcW w:w="222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controlling interests</w:t>
            </w: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vMerge w:val="continue"/>
          </w:tcPr>
          <w:p>
            <w:pPr>
              <w:spacing w:after="0"/>
              <w:rPr>
                <w:sz w:val="18"/>
                <w:szCs w:val="18"/>
                <w:color w:val="auto"/>
              </w:rPr>
            </w:pPr>
          </w:p>
        </w:tc>
        <w:tc>
          <w:tcPr>
            <w:tcW w:w="900" w:type="dxa"/>
            <w:vAlign w:val="bottom"/>
            <w:tcBorders>
              <w:bottom w:val="single" w:sz="8" w:color="CFF0FC"/>
            </w:tcBorders>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vMerge w:val="continue"/>
          </w:tcPr>
          <w:p>
            <w:pPr>
              <w:spacing w:after="0"/>
              <w:rPr>
                <w:sz w:val="18"/>
                <w:szCs w:val="18"/>
                <w:color w:val="auto"/>
              </w:rPr>
            </w:pPr>
          </w:p>
        </w:tc>
        <w:tc>
          <w:tcPr>
            <w:tcW w:w="900" w:type="dxa"/>
            <w:vAlign w:val="bottom"/>
            <w:tcBorders>
              <w:bottom w:val="single" w:sz="8" w:color="CFF0FC"/>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2220" w:type="dxa"/>
            <w:vAlign w:val="bottom"/>
            <w:shd w:val="clear" w:color="auto" w:fill="CFF0FC"/>
          </w:tcPr>
          <w:p>
            <w:pPr>
              <w:ind w:left="20"/>
              <w:spacing w:after="0" w:line="145" w:lineRule="exact"/>
              <w:rPr>
                <w:sz w:val="20"/>
                <w:szCs w:val="20"/>
                <w:color w:val="auto"/>
              </w:rPr>
            </w:pPr>
            <w:r>
              <w:rPr>
                <w:rFonts w:ascii="Times New Roman" w:cs="Times New Roman" w:eastAsia="Times New Roman" w:hAnsi="Times New Roman"/>
                <w:sz w:val="16"/>
                <w:szCs w:val="16"/>
                <w:color w:val="auto"/>
              </w:rPr>
              <w:t>Net loss attributable to The</w:t>
            </w:r>
          </w:p>
        </w:tc>
        <w:tc>
          <w:tcPr>
            <w:tcW w:w="10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220" w:type="dxa"/>
            <w:vAlign w:val="bottom"/>
            <w:shd w:val="clear" w:color="auto" w:fill="CFF0FC"/>
          </w:tcPr>
          <w:p>
            <w:pPr>
              <w:ind w:left="20"/>
              <w:spacing w:after="0" w:line="162" w:lineRule="exact"/>
              <w:rPr>
                <w:sz w:val="20"/>
                <w:szCs w:val="20"/>
                <w:color w:val="auto"/>
              </w:rPr>
            </w:pPr>
            <w:r>
              <w:rPr>
                <w:rFonts w:ascii="Times New Roman" w:cs="Times New Roman" w:eastAsia="Times New Roman" w:hAnsi="Times New Roman"/>
                <w:sz w:val="16"/>
                <w:szCs w:val="16"/>
                <w:color w:val="auto"/>
              </w:rPr>
              <w:t>Cannabist Company Holdings</w:t>
            </w:r>
          </w:p>
        </w:tc>
        <w:tc>
          <w:tcPr>
            <w:tcW w:w="100" w:type="dxa"/>
            <w:vAlign w:val="bottom"/>
            <w:shd w:val="clear" w:color="auto" w:fill="CFF0FC"/>
          </w:tcPr>
          <w:p>
            <w:pPr>
              <w:spacing w:after="0"/>
              <w:rPr>
                <w:sz w:val="14"/>
                <w:szCs w:val="14"/>
                <w:color w:val="auto"/>
              </w:rPr>
            </w:pP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(1,860)</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(36,725)</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34,865</w:t>
            </w:r>
          </w:p>
        </w:tc>
        <w:tc>
          <w:tcPr>
            <w:tcW w:w="9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80" w:type="dxa"/>
            <w:vAlign w:val="bottom"/>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(51,274)</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(102,928)</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51,654</w:t>
            </w:r>
          </w:p>
        </w:tc>
        <w:tc>
          <w:tcPr>
            <w:tcW w:w="9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0" w:type="dxa"/>
            <w:vAlign w:val="bottom"/>
          </w:tcPr>
          <w:p>
            <w:pPr>
              <w:spacing w:after="0"/>
              <w:rPr>
                <w:sz w:val="1"/>
                <w:szCs w:val="1"/>
                <w:color w:val="auto"/>
              </w:rPr>
            </w:pPr>
          </w:p>
        </w:tc>
      </w:tr>
      <w:tr>
        <w:trPr>
          <w:trHeight w:val="249"/>
        </w:trPr>
        <w:tc>
          <w:tcPr>
            <w:tcW w:w="22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Inc.</w:t>
            </w:r>
          </w:p>
        </w:tc>
        <w:tc>
          <w:tcPr>
            <w:tcW w:w="10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vMerge w:val="continue"/>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vMerge w:val="continue"/>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vMerge w:val="continue"/>
            <w:shd w:val="clear" w:color="auto" w:fill="CFF0FC"/>
          </w:tcPr>
          <w:p>
            <w:pPr>
              <w:spacing w:after="0"/>
              <w:rPr>
                <w:sz w:val="21"/>
                <w:szCs w:val="21"/>
                <w:color w:val="auto"/>
              </w:rPr>
            </w:pPr>
          </w:p>
        </w:tc>
        <w:tc>
          <w:tcPr>
            <w:tcW w:w="900" w:type="dxa"/>
            <w:vAlign w:val="bottom"/>
            <w:tcBorders>
              <w:bottom w:val="single" w:sz="8" w:color="CFF0FC"/>
            </w:tcBorders>
            <w:gridSpan w:val="2"/>
            <w:vMerge w:val="continue"/>
            <w:shd w:val="clear" w:color="auto" w:fill="CFF0FC"/>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vMerge w:val="continue"/>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vMerge w:val="continue"/>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vMerge w:val="continue"/>
            <w:shd w:val="clear" w:color="auto" w:fill="CFF0FC"/>
          </w:tcPr>
          <w:p>
            <w:pPr>
              <w:spacing w:after="0"/>
              <w:rPr>
                <w:sz w:val="21"/>
                <w:szCs w:val="21"/>
                <w:color w:val="auto"/>
              </w:rPr>
            </w:pPr>
          </w:p>
        </w:tc>
        <w:tc>
          <w:tcPr>
            <w:tcW w:w="900" w:type="dxa"/>
            <w:vAlign w:val="bottom"/>
            <w:tcBorders>
              <w:bottom w:val="single" w:sz="8" w:color="CFF0FC"/>
            </w:tcBorders>
            <w:gridSpan w:val="2"/>
            <w:vMerge w:val="continue"/>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09"/>
        </w:trPr>
        <w:tc>
          <w:tcPr>
            <w:tcW w:w="2220" w:type="dxa"/>
            <w:vAlign w:val="bottom"/>
          </w:tcPr>
          <w:p>
            <w:pPr>
              <w:ind w:left="20"/>
              <w:spacing w:after="0" w:line="109" w:lineRule="exact"/>
              <w:rPr>
                <w:sz w:val="20"/>
                <w:szCs w:val="20"/>
                <w:color w:val="auto"/>
              </w:rPr>
            </w:pPr>
            <w:r>
              <w:rPr>
                <w:rFonts w:ascii="Times New Roman" w:cs="Times New Roman" w:eastAsia="Times New Roman" w:hAnsi="Times New Roman"/>
                <w:sz w:val="12"/>
                <w:szCs w:val="12"/>
                <w:color w:val="auto"/>
              </w:rPr>
              <w:t>Loss per share attributable to The</w:t>
            </w: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2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Cannabist Company Holdings</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(0.004)</w:t>
            </w:r>
          </w:p>
        </w:tc>
        <w:tc>
          <w:tcPr>
            <w:tcW w:w="8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(0.090)</w:t>
            </w: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0.086</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(0.112)</w:t>
            </w:r>
          </w:p>
        </w:tc>
        <w:tc>
          <w:tcPr>
            <w:tcW w:w="80" w:type="dxa"/>
            <w:vAlign w:val="bottom"/>
          </w:tcPr>
          <w:p>
            <w:pPr>
              <w:spacing w:after="0"/>
              <w:rPr>
                <w:sz w:val="14"/>
                <w:szCs w:val="14"/>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(0.254)</w:t>
            </w: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0.14</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0" w:type="dxa"/>
            <w:vAlign w:val="bottom"/>
          </w:tcPr>
          <w:p>
            <w:pPr>
              <w:spacing w:after="0"/>
              <w:rPr>
                <w:sz w:val="1"/>
                <w:szCs w:val="1"/>
                <w:color w:val="auto"/>
              </w:rPr>
            </w:pPr>
          </w:p>
        </w:tc>
      </w:tr>
      <w:tr>
        <w:trPr>
          <w:trHeight w:val="189"/>
        </w:trPr>
        <w:tc>
          <w:tcPr>
            <w:tcW w:w="2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Inc.—based and diluted</w:t>
            </w:r>
          </w:p>
        </w:tc>
        <w:tc>
          <w:tcPr>
            <w:tcW w:w="10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240" w:type="dxa"/>
            <w:vAlign w:val="bottom"/>
            <w:gridSpan w:val="2"/>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00" w:type="dxa"/>
            <w:vAlign w:val="bottom"/>
            <w:gridSpan w:val="2"/>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240" w:type="dxa"/>
            <w:vAlign w:val="bottom"/>
            <w:gridSpan w:val="2"/>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220" w:type="dxa"/>
            <w:vAlign w:val="bottom"/>
            <w:tcBorders>
              <w:bottom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820" w:type="dxa"/>
            <w:vAlign w:val="bottom"/>
            <w:tcBorders>
              <w:bottom w:val="single" w:sz="8" w:color="CFF0F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820" w:type="dxa"/>
            <w:vAlign w:val="bottom"/>
            <w:tcBorders>
              <w:bottom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220" w:type="dxa"/>
            <w:vAlign w:val="bottom"/>
            <w:shd w:val="clear" w:color="auto" w:fill="CFF0FC"/>
          </w:tcPr>
          <w:p>
            <w:pPr>
              <w:ind w:left="20"/>
              <w:spacing w:after="0" w:line="129" w:lineRule="exact"/>
              <w:rPr>
                <w:sz w:val="20"/>
                <w:szCs w:val="20"/>
                <w:color w:val="auto"/>
              </w:rPr>
            </w:pPr>
            <w:r>
              <w:rPr>
                <w:rFonts w:ascii="Times New Roman" w:cs="Times New Roman" w:eastAsia="Times New Roman" w:hAnsi="Times New Roman"/>
                <w:sz w:val="14"/>
                <w:szCs w:val="14"/>
                <w:color w:val="auto"/>
              </w:rPr>
              <w:t>Weighted average number of</w:t>
            </w:r>
          </w:p>
        </w:tc>
        <w:tc>
          <w:tcPr>
            <w:tcW w:w="10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220" w:type="dxa"/>
            <w:vAlign w:val="bottom"/>
            <w:shd w:val="clear" w:color="auto" w:fill="CFF0FC"/>
          </w:tcPr>
          <w:p>
            <w:pPr>
              <w:ind w:left="20"/>
              <w:spacing w:after="0" w:line="162" w:lineRule="exact"/>
              <w:rPr>
                <w:sz w:val="20"/>
                <w:szCs w:val="20"/>
                <w:color w:val="auto"/>
              </w:rPr>
            </w:pPr>
            <w:r>
              <w:rPr>
                <w:rFonts w:ascii="Times New Roman" w:cs="Times New Roman" w:eastAsia="Times New Roman" w:hAnsi="Times New Roman"/>
                <w:sz w:val="16"/>
                <w:szCs w:val="16"/>
                <w:color w:val="auto"/>
              </w:rPr>
              <w:t>shares outstanding—basic and</w:t>
            </w:r>
          </w:p>
        </w:tc>
        <w:tc>
          <w:tcPr>
            <w:tcW w:w="100" w:type="dxa"/>
            <w:vAlign w:val="bottom"/>
            <w:shd w:val="clear" w:color="auto" w:fill="CFF0FC"/>
          </w:tcPr>
          <w:p>
            <w:pPr>
              <w:spacing w:after="0"/>
              <w:rPr>
                <w:sz w:val="14"/>
                <w:szCs w:val="14"/>
                <w:color w:val="auto"/>
              </w:rPr>
            </w:pP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470,552,039</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7"/>
              </w:rPr>
              <w:t>409,113,721</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7"/>
              </w:rPr>
              <w:t>458,988,976</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405,472,948</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22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diluted</w:t>
            </w:r>
          </w:p>
        </w:tc>
        <w:tc>
          <w:tcPr>
            <w:tcW w:w="10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vMerge w:val="continue"/>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vMerge w:val="continue"/>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60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vMerge w:val="continue"/>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vMerge w:val="continue"/>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6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Summary of Balance Sheet items: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680" w:type="dxa"/>
            <w:vAlign w:val="bottom"/>
            <w:tcBorders>
              <w:bottom w:val="single" w:sz="8" w:color="CFF0FC"/>
            </w:tcBorders>
          </w:tcPr>
          <w:p>
            <w:pPr>
              <w:spacing w:after="0"/>
              <w:rPr>
                <w:sz w:val="19"/>
                <w:szCs w:val="19"/>
                <w:color w:val="auto"/>
              </w:rPr>
            </w:pPr>
          </w:p>
        </w:tc>
        <w:tc>
          <w:tcPr>
            <w:tcW w:w="2880" w:type="dxa"/>
            <w:vAlign w:val="bottom"/>
            <w:tcBorders>
              <w:bottom w:val="single" w:sz="8" w:color="CFF0FC"/>
            </w:tcBorders>
          </w:tcPr>
          <w:p>
            <w:pPr>
              <w:spacing w:after="0"/>
              <w:rPr>
                <w:sz w:val="19"/>
                <w:szCs w:val="19"/>
                <w:color w:val="auto"/>
              </w:rPr>
            </w:pPr>
          </w:p>
        </w:tc>
        <w:tc>
          <w:tcPr>
            <w:tcW w:w="14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80" w:type="dxa"/>
            <w:vAlign w:val="bottom"/>
            <w:tcBorders>
              <w:bottom w:val="single" w:sz="8" w:color="CFF0FC"/>
            </w:tcBorders>
          </w:tcPr>
          <w:p>
            <w:pPr>
              <w:spacing w:after="0"/>
              <w:rPr>
                <w:sz w:val="19"/>
                <w:szCs w:val="19"/>
                <w:color w:val="auto"/>
              </w:rPr>
            </w:pPr>
          </w:p>
        </w:tc>
        <w:tc>
          <w:tcPr>
            <w:tcW w:w="14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680" w:type="dxa"/>
            <w:vAlign w:val="bottom"/>
          </w:tcPr>
          <w:p>
            <w:pPr>
              <w:spacing w:after="0"/>
              <w:rPr>
                <w:sz w:val="19"/>
                <w:szCs w:val="19"/>
                <w:color w:val="auto"/>
              </w:rPr>
            </w:pPr>
          </w:p>
        </w:tc>
      </w:tr>
      <w:tr>
        <w:trPr>
          <w:trHeight w:val="211"/>
        </w:trPr>
        <w:tc>
          <w:tcPr>
            <w:tcW w:w="3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2880" w:type="dxa"/>
            <w:vAlign w:val="bottom"/>
            <w:shd w:val="clear" w:color="auto" w:fill="CFF0FC"/>
          </w:tcPr>
          <w:p>
            <w:pPr>
              <w:spacing w:after="0"/>
              <w:rPr>
                <w:sz w:val="18"/>
                <w:szCs w:val="18"/>
                <w:color w:val="auto"/>
              </w:rPr>
            </w:pPr>
          </w:p>
        </w:tc>
        <w:tc>
          <w:tcPr>
            <w:tcW w:w="480" w:type="dxa"/>
            <w:vAlign w:val="bottom"/>
            <w:shd w:val="clear" w:color="auto" w:fill="CFF0FC"/>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770,702</w:t>
            </w:r>
          </w:p>
        </w:tc>
        <w:tc>
          <w:tcPr>
            <w:tcW w:w="80" w:type="dxa"/>
            <w:vAlign w:val="bottom"/>
            <w:shd w:val="clear" w:color="auto" w:fill="CFF0FC"/>
          </w:tcPr>
          <w:p>
            <w:pPr>
              <w:spacing w:after="0"/>
              <w:rPr>
                <w:sz w:val="18"/>
                <w:szCs w:val="18"/>
                <w:color w:val="auto"/>
              </w:rPr>
            </w:pPr>
          </w:p>
        </w:tc>
        <w:tc>
          <w:tcPr>
            <w:tcW w:w="480" w:type="dxa"/>
            <w:vAlign w:val="bottom"/>
            <w:shd w:val="clear" w:color="auto" w:fill="CFF0FC"/>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823,111</w:t>
            </w:r>
          </w:p>
        </w:tc>
        <w:tc>
          <w:tcPr>
            <w:tcW w:w="1680" w:type="dxa"/>
            <w:vAlign w:val="bottom"/>
          </w:tcPr>
          <w:p>
            <w:pPr>
              <w:spacing w:after="0"/>
              <w:rPr>
                <w:sz w:val="18"/>
                <w:szCs w:val="18"/>
                <w:color w:val="auto"/>
              </w:rPr>
            </w:pPr>
          </w:p>
        </w:tc>
      </w:tr>
      <w:tr>
        <w:trPr>
          <w:trHeight w:val="213"/>
        </w:trPr>
        <w:tc>
          <w:tcPr>
            <w:tcW w:w="3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Liabilities</w:t>
            </w:r>
          </w:p>
        </w:tc>
        <w:tc>
          <w:tcPr>
            <w:tcW w:w="3360" w:type="dxa"/>
            <w:vAlign w:val="bottom"/>
            <w:gridSpan w:val="2"/>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746,699</w:t>
            </w:r>
          </w:p>
        </w:tc>
        <w:tc>
          <w:tcPr>
            <w:tcW w:w="8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757,759</w:t>
            </w:r>
          </w:p>
        </w:tc>
        <w:tc>
          <w:tcPr>
            <w:tcW w:w="1680" w:type="dxa"/>
            <w:vAlign w:val="bottom"/>
          </w:tcPr>
          <w:p>
            <w:pPr>
              <w:spacing w:after="0"/>
              <w:rPr>
                <w:sz w:val="18"/>
                <w:szCs w:val="18"/>
                <w:color w:val="auto"/>
              </w:rPr>
            </w:pPr>
          </w:p>
        </w:tc>
      </w:tr>
      <w:tr>
        <w:trPr>
          <w:trHeight w:val="219"/>
        </w:trPr>
        <w:tc>
          <w:tcPr>
            <w:tcW w:w="3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Long-Term Liabilities</w:t>
            </w:r>
          </w:p>
        </w:tc>
        <w:tc>
          <w:tcPr>
            <w:tcW w:w="3360" w:type="dxa"/>
            <w:vAlign w:val="bottom"/>
            <w:gridSpan w:val="2"/>
            <w:shd w:val="clear" w:color="auto" w:fill="CFF0FC"/>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491,167</w:t>
            </w:r>
          </w:p>
        </w:tc>
        <w:tc>
          <w:tcPr>
            <w:tcW w:w="8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597,715</w:t>
            </w:r>
          </w:p>
        </w:tc>
        <w:tc>
          <w:tcPr>
            <w:tcW w:w="1680" w:type="dxa"/>
            <w:vAlign w:val="bottom"/>
          </w:tcPr>
          <w:p>
            <w:pPr>
              <w:spacing w:after="0"/>
              <w:rPr>
                <w:sz w:val="19"/>
                <w:szCs w:val="19"/>
                <w:color w:val="auto"/>
              </w:rPr>
            </w:pPr>
          </w:p>
        </w:tc>
      </w:tr>
      <w:tr>
        <w:trPr>
          <w:trHeight w:val="210"/>
        </w:trPr>
        <w:tc>
          <w:tcPr>
            <w:tcW w:w="3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Equity</w:t>
            </w:r>
          </w:p>
        </w:tc>
        <w:tc>
          <w:tcPr>
            <w:tcW w:w="3360" w:type="dxa"/>
            <w:vAlign w:val="bottom"/>
            <w:gridSpan w:val="2"/>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24,003</w:t>
            </w:r>
          </w:p>
        </w:tc>
        <w:tc>
          <w:tcPr>
            <w:tcW w:w="8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65,352</w:t>
            </w:r>
          </w:p>
        </w:tc>
        <w:tc>
          <w:tcPr>
            <w:tcW w:w="1680" w:type="dxa"/>
            <w:vAlign w:val="bottom"/>
          </w:tcPr>
          <w:p>
            <w:pPr>
              <w:spacing w:after="0"/>
              <w:rPr>
                <w:sz w:val="18"/>
                <w:szCs w:val="18"/>
                <w:color w:val="auto"/>
              </w:rPr>
            </w:pPr>
          </w:p>
        </w:tc>
      </w:tr>
      <w:tr>
        <w:trPr>
          <w:trHeight w:val="586"/>
        </w:trPr>
        <w:tc>
          <w:tcPr>
            <w:tcW w:w="3680" w:type="dxa"/>
            <w:vAlign w:val="bottom"/>
          </w:tcPr>
          <w:p>
            <w:pPr>
              <w:spacing w:after="0"/>
              <w:rPr>
                <w:sz w:val="24"/>
                <w:szCs w:val="24"/>
                <w:color w:val="auto"/>
              </w:rPr>
            </w:pPr>
          </w:p>
        </w:tc>
        <w:tc>
          <w:tcPr>
            <w:tcW w:w="2880" w:type="dxa"/>
            <w:vAlign w:val="bottom"/>
          </w:tcPr>
          <w:p>
            <w:pPr>
              <w:jc w:val="right"/>
              <w:ind w:right="757"/>
              <w:spacing w:after="0"/>
              <w:rPr>
                <w:sz w:val="20"/>
                <w:szCs w:val="20"/>
                <w:color w:val="auto"/>
              </w:rPr>
            </w:pPr>
            <w:r>
              <w:rPr>
                <w:rFonts w:ascii="Times New Roman" w:cs="Times New Roman" w:eastAsia="Times New Roman" w:hAnsi="Times New Roman"/>
                <w:sz w:val="18"/>
                <w:szCs w:val="18"/>
                <w:color w:val="auto"/>
              </w:rPr>
              <w:t>21</w:t>
            </w: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439"/>
        </w:trPr>
        <w:tc>
          <w:tcPr>
            <w:tcW w:w="3680" w:type="dxa"/>
            <w:vAlign w:val="bottom"/>
            <w:tcBorders>
              <w:bottom w:val="single" w:sz="8" w:color="9A9A9A"/>
            </w:tcBorders>
          </w:tcPr>
          <w:p>
            <w:pPr>
              <w:spacing w:after="0"/>
              <w:rPr>
                <w:sz w:val="24"/>
                <w:szCs w:val="24"/>
                <w:color w:val="auto"/>
              </w:rPr>
            </w:pPr>
          </w:p>
        </w:tc>
        <w:tc>
          <w:tcPr>
            <w:tcW w:w="28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and nine months ended September 30, 2024 and 2023</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three months ended September 30, 2024 and 2023:</w:t>
      </w:r>
    </w:p>
    <w:p>
      <w:pPr>
        <w:spacing w:after="0" w:line="201" w:lineRule="exact"/>
        <w:rPr>
          <w:sz w:val="20"/>
          <w:szCs w:val="20"/>
          <w:color w:val="auto"/>
        </w:rPr>
      </w:pPr>
    </w:p>
    <w:tbl>
      <w:tblPr>
        <w:tblLayout w:type="fixed"/>
        <w:tblInd w:w="1140" w:type="dxa"/>
        <w:tblCellMar>
          <w:top w:w="0" w:type="dxa"/>
          <w:left w:w="0" w:type="dxa"/>
          <w:bottom w:w="0" w:type="dxa"/>
          <w:right w:w="0" w:type="dxa"/>
        </w:tblCellMar>
      </w:tblPr>
      <w:tr>
        <w:trPr>
          <w:trHeight w:val="212"/>
        </w:trPr>
        <w:tc>
          <w:tcPr>
            <w:tcW w:w="3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60" w:type="dxa"/>
            <w:vAlign w:val="bottom"/>
            <w:gridSpan w:val="4"/>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3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jc w:val="right"/>
              <w:ind w:right="99"/>
              <w:spacing w:after="0" w:line="155"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jc w:val="right"/>
              <w:ind w:right="99"/>
              <w:spacing w:after="0" w:line="155"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jc w:val="right"/>
              <w:ind w:right="559"/>
              <w:spacing w:after="0" w:line="155" w:lineRule="exact"/>
              <w:rPr>
                <w:sz w:val="20"/>
                <w:szCs w:val="20"/>
                <w:color w:val="auto"/>
              </w:rPr>
            </w:pPr>
            <w:r>
              <w:rPr>
                <w:rFonts w:ascii="Times New Roman" w:cs="Times New Roman" w:eastAsia="Times New Roman" w:hAnsi="Times New Roman"/>
                <w:sz w:val="16"/>
                <w:szCs w:val="16"/>
                <w:b w:val="1"/>
                <w:bCs w:val="1"/>
                <w:color w:val="auto"/>
              </w:rPr>
              <w:t>$</w:t>
            </w:r>
          </w:p>
        </w:tc>
        <w:tc>
          <w:tcPr>
            <w:tcW w:w="1540" w:type="dxa"/>
            <w:vAlign w:val="bottom"/>
            <w:gridSpan w:val="2"/>
          </w:tcPr>
          <w:p>
            <w:pPr>
              <w:jc w:val="right"/>
              <w:ind w:right="559"/>
              <w:spacing w:after="0" w:line="155" w:lineRule="exact"/>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3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0" w:type="dxa"/>
            <w:vAlign w:val="bottom"/>
          </w:tcPr>
          <w:p>
            <w:pPr>
              <w:spacing w:after="0"/>
              <w:rPr>
                <w:sz w:val="18"/>
                <w:szCs w:val="18"/>
                <w:color w:val="auto"/>
              </w:rPr>
            </w:pPr>
          </w:p>
        </w:tc>
        <w:tc>
          <w:tcPr>
            <w:tcW w:w="1560" w:type="dxa"/>
            <w:vAlign w:val="bottom"/>
            <w:gridSpan w:val="2"/>
          </w:tcPr>
          <w:p>
            <w:pPr>
              <w:ind w:left="4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211"/>
        </w:trPr>
        <w:tc>
          <w:tcPr>
            <w:tcW w:w="310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114,783</w:t>
            </w:r>
          </w:p>
        </w:tc>
        <w:tc>
          <w:tcPr>
            <w:tcW w:w="1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129,183</w:t>
            </w:r>
          </w:p>
        </w:tc>
        <w:tc>
          <w:tcPr>
            <w:tcW w:w="340" w:type="dxa"/>
            <w:vAlign w:val="bottom"/>
            <w:tcBorders>
              <w:top w:val="single" w:sz="8" w:color="auto"/>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(14,400)</w:t>
            </w:r>
          </w:p>
        </w:tc>
        <w:tc>
          <w:tcPr>
            <w:tcW w:w="80" w:type="dxa"/>
            <w:vAlign w:val="bottom"/>
            <w:tcBorders>
              <w:top w:val="single" w:sz="8" w:color="CFF0FC"/>
            </w:tcBorders>
            <w:shd w:val="clear" w:color="auto" w:fill="CFF0FC"/>
          </w:tcPr>
          <w:p>
            <w:pPr>
              <w:spacing w:after="0"/>
              <w:rPr>
                <w:sz w:val="18"/>
                <w:szCs w:val="18"/>
                <w:color w:val="auto"/>
              </w:rPr>
            </w:pPr>
          </w:p>
        </w:tc>
        <w:tc>
          <w:tcPr>
            <w:tcW w:w="1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10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Cost of sales related to inventory production</w:t>
            </w: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(70,973)</w:t>
            </w:r>
          </w:p>
        </w:tc>
        <w:tc>
          <w:tcPr>
            <w:tcW w:w="10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(92,041)</w:t>
            </w:r>
          </w:p>
        </w:tc>
        <w:tc>
          <w:tcPr>
            <w:tcW w:w="10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21,068</w:t>
            </w:r>
          </w:p>
        </w:tc>
        <w:tc>
          <w:tcPr>
            <w:tcW w:w="1540" w:type="dxa"/>
            <w:vAlign w:val="bottom"/>
            <w:tcBorders>
              <w:bottom w:val="single" w:sz="8" w:color="CFF0FC"/>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12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43,810</w:t>
            </w:r>
          </w:p>
        </w:tc>
        <w:tc>
          <w:tcPr>
            <w:tcW w:w="10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37,142</w:t>
            </w:r>
          </w:p>
        </w:tc>
        <w:tc>
          <w:tcPr>
            <w:tcW w:w="10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6,668</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18 %</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Fixed asset impairment</w:t>
            </w:r>
          </w:p>
        </w:tc>
        <w:tc>
          <w:tcPr>
            <w:tcW w:w="1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80" w:type="dxa"/>
            <w:vAlign w:val="bottom"/>
          </w:tcPr>
          <w:p>
            <w:pPr>
              <w:spacing w:after="0"/>
              <w:rPr>
                <w:sz w:val="17"/>
                <w:szCs w:val="17"/>
                <w:color w:val="auto"/>
              </w:rPr>
            </w:pP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19"/>
        </w:trPr>
        <w:tc>
          <w:tcPr>
            <w:tcW w:w="3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2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(49,315)</w:t>
            </w: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(56,472)</w:t>
            </w:r>
          </w:p>
        </w:tc>
        <w:tc>
          <w:tcPr>
            <w:tcW w:w="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7,157</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3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1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(49,436)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(56,472)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7,036</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10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Loss from operations</w:t>
            </w: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(5,626)</w:t>
            </w:r>
          </w:p>
        </w:tc>
        <w:tc>
          <w:tcPr>
            <w:tcW w:w="1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(19,330)</w:t>
            </w:r>
          </w:p>
        </w:tc>
        <w:tc>
          <w:tcPr>
            <w:tcW w:w="10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13,704</w:t>
            </w:r>
          </w:p>
        </w:tc>
        <w:tc>
          <w:tcPr>
            <w:tcW w:w="80" w:type="dxa"/>
            <w:vAlign w:val="bottom"/>
            <w:tcBorders>
              <w:top w:val="single" w:sz="8" w:color="CFF0FC"/>
            </w:tcBorders>
            <w:shd w:val="clear" w:color="auto" w:fill="CFF0FC"/>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10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Other income / (expense), net</w:t>
            </w: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25,701</w:t>
            </w:r>
          </w:p>
        </w:tc>
        <w:tc>
          <w:tcPr>
            <w:tcW w:w="10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(14,553)</w:t>
            </w:r>
          </w:p>
        </w:tc>
        <w:tc>
          <w:tcPr>
            <w:tcW w:w="10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40,254</w:t>
            </w:r>
          </w:p>
        </w:tc>
        <w:tc>
          <w:tcPr>
            <w:tcW w:w="80" w:type="dxa"/>
            <w:vAlign w:val="bottom"/>
            <w:tcBorders>
              <w:bottom w:val="single" w:sz="8" w:color="CFF0FC"/>
            </w:tcBorders>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shd w:val="clear" w:color="auto" w:fill="CFF0FC"/>
              </w:rPr>
              <w:t>Profit /(loss) before provision for income taxes</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20,075</w:t>
            </w:r>
          </w:p>
        </w:tc>
        <w:tc>
          <w:tcPr>
            <w:tcW w:w="100" w:type="dxa"/>
            <w:vAlign w:val="bottom"/>
            <w:shd w:val="clear" w:color="auto" w:fill="CFF0FC"/>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(33,883)</w:t>
            </w:r>
          </w:p>
        </w:tc>
        <w:tc>
          <w:tcPr>
            <w:tcW w:w="100" w:type="dxa"/>
            <w:vAlign w:val="bottom"/>
            <w:shd w:val="clear" w:color="auto" w:fill="CFF0FC"/>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53,958</w:t>
            </w:r>
          </w:p>
        </w:tc>
        <w:tc>
          <w:tcPr>
            <w:tcW w:w="80" w:type="dxa"/>
            <w:vAlign w:val="bottom"/>
            <w:shd w:val="clear" w:color="auto" w:fill="CFF0FC"/>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10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(21,838)</w:t>
            </w:r>
          </w:p>
        </w:tc>
        <w:tc>
          <w:tcPr>
            <w:tcW w:w="10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(2,297)</w:t>
            </w:r>
          </w:p>
        </w:tc>
        <w:tc>
          <w:tcPr>
            <w:tcW w:w="10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(19,541)</w:t>
            </w:r>
          </w:p>
        </w:tc>
        <w:tc>
          <w:tcPr>
            <w:tcW w:w="80" w:type="dxa"/>
            <w:vAlign w:val="bottom"/>
            <w:tcBorders>
              <w:bottom w:val="single" w:sz="8" w:color="CFF0FC"/>
            </w:tcBorders>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851 %</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(1,763)</w:t>
            </w:r>
          </w:p>
        </w:tc>
        <w:tc>
          <w:tcPr>
            <w:tcW w:w="100" w:type="dxa"/>
            <w:vAlign w:val="bottom"/>
            <w:shd w:val="clear" w:color="auto" w:fill="CFF0FC"/>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(36,180)</w:t>
            </w:r>
          </w:p>
        </w:tc>
        <w:tc>
          <w:tcPr>
            <w:tcW w:w="100" w:type="dxa"/>
            <w:vAlign w:val="bottom"/>
            <w:shd w:val="clear" w:color="auto" w:fill="CFF0FC"/>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34,417</w:t>
            </w:r>
          </w:p>
        </w:tc>
        <w:tc>
          <w:tcPr>
            <w:tcW w:w="80" w:type="dxa"/>
            <w:vAlign w:val="bottom"/>
            <w:shd w:val="clear" w:color="auto" w:fill="CFF0FC"/>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1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Net profit attributable to non-controlling</w:t>
            </w:r>
          </w:p>
        </w:tc>
        <w:tc>
          <w:tcPr>
            <w:tcW w:w="12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545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(448)</w:t>
            </w:r>
          </w:p>
        </w:tc>
        <w:tc>
          <w:tcPr>
            <w:tcW w:w="1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310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interests</w:t>
            </w: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540" w:type="dxa"/>
            <w:vAlign w:val="bottom"/>
            <w:tcBorders>
              <w:bottom w:val="single" w:sz="8" w:color="CFF0FC"/>
            </w:tcBorders>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3100" w:type="dxa"/>
            <w:vAlign w:val="bottom"/>
            <w:shd w:val="clear" w:color="auto" w:fill="CFF0FC"/>
          </w:tcPr>
          <w:p>
            <w:pPr>
              <w:ind w:left="20"/>
              <w:spacing w:after="0" w:line="145" w:lineRule="exact"/>
              <w:rPr>
                <w:sz w:val="20"/>
                <w:szCs w:val="20"/>
                <w:color w:val="auto"/>
              </w:rPr>
            </w:pPr>
            <w:r>
              <w:rPr>
                <w:rFonts w:ascii="Times New Roman" w:cs="Times New Roman" w:eastAsia="Times New Roman" w:hAnsi="Times New Roman"/>
                <w:sz w:val="16"/>
                <w:szCs w:val="16"/>
                <w:color w:val="auto"/>
              </w:rPr>
              <w:t>Net loss attributable to The Cannabist</w:t>
            </w: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(1,860)</w:t>
            </w:r>
          </w:p>
        </w:tc>
        <w:tc>
          <w:tcPr>
            <w:tcW w:w="2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(36,725)</w:t>
            </w:r>
          </w:p>
        </w:tc>
        <w:tc>
          <w:tcPr>
            <w:tcW w:w="34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34,865</w:t>
            </w:r>
          </w:p>
        </w:tc>
        <w:tc>
          <w:tcPr>
            <w:tcW w:w="15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Company Holdings Inc.</w:t>
            </w:r>
          </w:p>
        </w:tc>
        <w:tc>
          <w:tcPr>
            <w:tcW w:w="120" w:type="dxa"/>
            <w:vAlign w:val="bottom"/>
            <w:vMerge w:val="continue"/>
            <w:shd w:val="clear" w:color="auto" w:fill="CFF0FC"/>
          </w:tcPr>
          <w:p>
            <w:pPr>
              <w:spacing w:after="0"/>
              <w:rPr>
                <w:sz w:val="18"/>
                <w:szCs w:val="18"/>
                <w:color w:val="auto"/>
              </w:rPr>
            </w:pPr>
          </w:p>
        </w:tc>
        <w:tc>
          <w:tcPr>
            <w:tcW w:w="1220" w:type="dxa"/>
            <w:vAlign w:val="bottom"/>
            <w:vMerge w:val="continue"/>
            <w:shd w:val="clear" w:color="auto" w:fill="CFF0FC"/>
          </w:tcPr>
          <w:p>
            <w:pPr>
              <w:spacing w:after="0"/>
              <w:rPr>
                <w:sz w:val="18"/>
                <w:szCs w:val="18"/>
                <w:color w:val="auto"/>
              </w:rPr>
            </w:pPr>
          </w:p>
        </w:tc>
        <w:tc>
          <w:tcPr>
            <w:tcW w:w="240" w:type="dxa"/>
            <w:vAlign w:val="bottom"/>
            <w:gridSpan w:val="2"/>
            <w:vMerge w:val="continue"/>
            <w:shd w:val="clear" w:color="auto" w:fill="CFF0FC"/>
          </w:tcPr>
          <w:p>
            <w:pPr>
              <w:spacing w:after="0"/>
              <w:rPr>
                <w:sz w:val="18"/>
                <w:szCs w:val="18"/>
                <w:color w:val="auto"/>
              </w:rPr>
            </w:pPr>
          </w:p>
        </w:tc>
        <w:tc>
          <w:tcPr>
            <w:tcW w:w="1200" w:type="dxa"/>
            <w:vAlign w:val="bottom"/>
            <w:vMerge w:val="continue"/>
            <w:shd w:val="clear" w:color="auto" w:fill="CFF0FC"/>
          </w:tcPr>
          <w:p>
            <w:pPr>
              <w:spacing w:after="0"/>
              <w:rPr>
                <w:sz w:val="18"/>
                <w:szCs w:val="18"/>
                <w:color w:val="auto"/>
              </w:rPr>
            </w:pPr>
          </w:p>
        </w:tc>
        <w:tc>
          <w:tcPr>
            <w:tcW w:w="340" w:type="dxa"/>
            <w:vAlign w:val="bottom"/>
            <w:gridSpan w:val="2"/>
            <w:vMerge w:val="continue"/>
            <w:shd w:val="clear" w:color="auto" w:fill="CFF0FC"/>
          </w:tcPr>
          <w:p>
            <w:pPr>
              <w:spacing w:after="0"/>
              <w:rPr>
                <w:sz w:val="18"/>
                <w:szCs w:val="18"/>
                <w:color w:val="auto"/>
              </w:rPr>
            </w:pPr>
          </w:p>
        </w:tc>
        <w:tc>
          <w:tcPr>
            <w:tcW w:w="1120" w:type="dxa"/>
            <w:vAlign w:val="bottom"/>
            <w:vMerge w:val="continue"/>
            <w:shd w:val="clear" w:color="auto" w:fill="CFF0FC"/>
          </w:tcPr>
          <w:p>
            <w:pPr>
              <w:spacing w:after="0"/>
              <w:rPr>
                <w:sz w:val="18"/>
                <w:szCs w:val="18"/>
                <w:color w:val="auto"/>
              </w:rPr>
            </w:pPr>
          </w:p>
        </w:tc>
        <w:tc>
          <w:tcPr>
            <w:tcW w:w="1540" w:type="dxa"/>
            <w:vAlign w:val="bottom"/>
            <w:gridSpan w:val="2"/>
            <w:vMerge w:val="continue"/>
            <w:shd w:val="clear" w:color="auto" w:fill="CFF0FC"/>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60" w:type="dxa"/>
            <w:vAlign w:val="bottom"/>
            <w:tcBorders>
              <w:top w:val="single" w:sz="8" w:color="CFF0FC"/>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decrease in revenue of $14,400 for the three months ended September 30, 2024, as compared to the prior year period, was driven by the net decline in revenue of $3,850 in our existing retail and wholesale operations and a decline of $11,145 from the sale or closure of certain operations. This was partly offset by the expansion of new retail facilities which contributed to a revenue growth of $595 during the three months ended September 30, 2024, as compared to the prior period.</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Sales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decrease in cost of sales of $21,068 for the three months ended September 30, 2024, as compared to the prior year period, was driven by a cost of sales decreased of $14,585 in our existing retail and wholesale operations, including from inventory impairment, and from the sale or closure of certain operations of $6,685. This was partly offset by an increase of $202 from the expansion of new retail facilities, as compared to the prior period.</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increase in gross profit of $6,668 for the three months ended September 30, 2024, as compared to the prior year period, was directly attributable to the decline in revenues and decline cost of sales as described above. The increase in gross margin (percent) was primarily driven by maturation of production facilities as well as the adult use conversion of specific markets.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decrease of $7,036 in operating expenses for the three months ended September 30, 2024, as compared to the prior year period, was primarily attributable to a decrease in salary and benefits expenses of $6,898, depreciation and amortization of $3,703, advertisement and promotion expense $472, professional fees of $317. This was partially offset by an increase in operating office and general expenses of $3,221, operating facilities costs of $124, and other fees and expenses of $888, and fixed asset impairment of $121.</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increase in other income, net of $40,254 for the three months ended September 30, 2024, as compared to the prior year period, was primarily due to a gain on disposal group of $40,444, interest expense on debt of $3,906, change in fair value of the derivative liability of $25, and other income (expense), net of $1,208. This was partially offset by a decrease in change in fair value of investments of $4,195, restructuring expense $639, rental income of $536.</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Provisions for Income Taxes</w:t>
      </w:r>
    </w:p>
    <w:p>
      <w:pPr>
        <w:spacing w:after="0" w:line="14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recorded income tax expense of $21,838 for the three months ended September 30, 2024, as compared to an income tax expense of $2,297 for the three months ended September 30, 2023.</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nine months ended September 30, 2024 and 2023:</w:t>
      </w:r>
    </w:p>
    <w:p>
      <w:pPr>
        <w:spacing w:after="0" w:line="201" w:lineRule="exact"/>
        <w:rPr>
          <w:sz w:val="20"/>
          <w:szCs w:val="20"/>
          <w:color w:val="auto"/>
        </w:rPr>
      </w:pPr>
    </w:p>
    <w:tbl>
      <w:tblPr>
        <w:tblLayout w:type="fixed"/>
        <w:tblInd w:w="740" w:type="dxa"/>
        <w:tblCellMar>
          <w:top w:w="0" w:type="dxa"/>
          <w:left w:w="0" w:type="dxa"/>
          <w:bottom w:w="0" w:type="dxa"/>
          <w:right w:w="0" w:type="dxa"/>
        </w:tblCellMar>
      </w:tblPr>
      <w:tr>
        <w:trPr>
          <w:trHeight w:val="215"/>
        </w:trPr>
        <w:tc>
          <w:tcPr>
            <w:tcW w:w="39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4"/>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c>
          <w:tcPr>
            <w:tcW w:w="15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2"/>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40" w:type="dxa"/>
            <w:vAlign w:val="bottom"/>
          </w:tcPr>
          <w:p>
            <w:pPr>
              <w:spacing w:after="0"/>
              <w:rPr>
                <w:sz w:val="13"/>
                <w:szCs w:val="13"/>
                <w:color w:val="auto"/>
              </w:rPr>
            </w:pPr>
          </w:p>
        </w:tc>
        <w:tc>
          <w:tcPr>
            <w:tcW w:w="1300" w:type="dxa"/>
            <w:vAlign w:val="bottom"/>
            <w:gridSpan w:val="2"/>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240" w:type="dxa"/>
            <w:vAlign w:val="bottom"/>
          </w:tcPr>
          <w:p>
            <w:pPr>
              <w:spacing w:after="0"/>
              <w:rPr>
                <w:sz w:val="13"/>
                <w:szCs w:val="13"/>
                <w:color w:val="auto"/>
              </w:rPr>
            </w:pPr>
          </w:p>
        </w:tc>
        <w:tc>
          <w:tcPr>
            <w:tcW w:w="1100" w:type="dxa"/>
            <w:vAlign w:val="bottom"/>
          </w:tcPr>
          <w:p>
            <w:pPr>
              <w:jc w:val="right"/>
              <w:ind w:right="539"/>
              <w:spacing w:after="0" w:line="158" w:lineRule="exact"/>
              <w:rPr>
                <w:sz w:val="20"/>
                <w:szCs w:val="20"/>
                <w:color w:val="auto"/>
              </w:rPr>
            </w:pPr>
            <w:r>
              <w:rPr>
                <w:rFonts w:ascii="Times New Roman" w:cs="Times New Roman" w:eastAsia="Times New Roman" w:hAnsi="Times New Roman"/>
                <w:sz w:val="16"/>
                <w:szCs w:val="16"/>
                <w:b w:val="1"/>
                <w:bCs w:val="1"/>
                <w:color w:val="auto"/>
              </w:rPr>
              <w:t>$</w:t>
            </w:r>
          </w:p>
        </w:tc>
        <w:tc>
          <w:tcPr>
            <w:tcW w:w="1580" w:type="dxa"/>
            <w:vAlign w:val="bottom"/>
          </w:tcPr>
          <w:p>
            <w:pPr>
              <w:jc w:val="right"/>
              <w:ind w:right="579"/>
              <w:spacing w:after="0" w:line="158" w:lineRule="exact"/>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14"/>
        </w:trPr>
        <w:tc>
          <w:tcPr>
            <w:tcW w:w="396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5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211"/>
        </w:trPr>
        <w:tc>
          <w:tcPr>
            <w:tcW w:w="3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362,584</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382,962</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(20,378)</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10"/>
        </w:trPr>
        <w:tc>
          <w:tcPr>
            <w:tcW w:w="3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sales related to inventory production</w:t>
            </w: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(228,185)</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(246,617)</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18,432</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09"/>
        </w:trPr>
        <w:tc>
          <w:tcPr>
            <w:tcW w:w="3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134,399</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136,345</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(1,946)</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2"/>
        </w:trPr>
        <w:tc>
          <w:tcPr>
            <w:tcW w:w="3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Fixed asset impairment</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19"/>
        </w:trPr>
        <w:tc>
          <w:tcPr>
            <w:tcW w:w="3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(142,634)</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(163,895)</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21,261</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13"/>
        </w:trPr>
        <w:tc>
          <w:tcPr>
            <w:tcW w:w="396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(142,755)</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(163,895)</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21,140</w:t>
            </w:r>
          </w:p>
        </w:tc>
        <w:tc>
          <w:tcPr>
            <w:tcW w:w="158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12"/>
        </w:trPr>
        <w:tc>
          <w:tcPr>
            <w:tcW w:w="3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Loss from operations</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(8,356)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(27,550)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19,194</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0" w:type="dxa"/>
            <w:vAlign w:val="bottom"/>
          </w:tcPr>
          <w:p>
            <w:pPr>
              <w:spacing w:after="0"/>
              <w:rPr>
                <w:sz w:val="1"/>
                <w:szCs w:val="1"/>
                <w:color w:val="auto"/>
              </w:rPr>
            </w:pPr>
          </w:p>
        </w:tc>
      </w:tr>
      <w:tr>
        <w:trPr>
          <w:trHeight w:val="213"/>
        </w:trPr>
        <w:tc>
          <w:tcPr>
            <w:tcW w:w="396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Other expense, net</w:t>
            </w: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(1,270)</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(54,948)</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53,678</w:t>
            </w:r>
          </w:p>
        </w:tc>
        <w:tc>
          <w:tcPr>
            <w:tcW w:w="158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0" w:type="dxa"/>
            <w:vAlign w:val="bottom"/>
          </w:tcPr>
          <w:p>
            <w:pPr>
              <w:spacing w:after="0"/>
              <w:rPr>
                <w:sz w:val="1"/>
                <w:szCs w:val="1"/>
                <w:color w:val="auto"/>
              </w:rPr>
            </w:pPr>
          </w:p>
        </w:tc>
      </w:tr>
      <w:tr>
        <w:trPr>
          <w:trHeight w:val="212"/>
        </w:trPr>
        <w:tc>
          <w:tcPr>
            <w:tcW w:w="3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Loss before provision for income taxes</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(9,626)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(82,498)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72,872</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0" w:type="dxa"/>
            <w:vAlign w:val="bottom"/>
          </w:tcPr>
          <w:p>
            <w:pPr>
              <w:spacing w:after="0"/>
              <w:rPr>
                <w:sz w:val="1"/>
                <w:szCs w:val="1"/>
                <w:color w:val="auto"/>
              </w:rPr>
            </w:pPr>
          </w:p>
        </w:tc>
      </w:tr>
      <w:tr>
        <w:trPr>
          <w:trHeight w:val="213"/>
        </w:trPr>
        <w:tc>
          <w:tcPr>
            <w:tcW w:w="396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(40,348)</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(19,291)</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(21,057)</w:t>
            </w:r>
          </w:p>
        </w:tc>
        <w:tc>
          <w:tcPr>
            <w:tcW w:w="158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rPr>
              <w:t>109 %</w:t>
            </w:r>
          </w:p>
        </w:tc>
        <w:tc>
          <w:tcPr>
            <w:tcW w:w="0" w:type="dxa"/>
            <w:vAlign w:val="bottom"/>
          </w:tcPr>
          <w:p>
            <w:pPr>
              <w:spacing w:after="0"/>
              <w:rPr>
                <w:sz w:val="1"/>
                <w:szCs w:val="1"/>
                <w:color w:val="auto"/>
              </w:rPr>
            </w:pPr>
          </w:p>
        </w:tc>
      </w:tr>
      <w:tr>
        <w:trPr>
          <w:trHeight w:val="212"/>
        </w:trPr>
        <w:tc>
          <w:tcPr>
            <w:tcW w:w="3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(49,974)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(101,789)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51,815</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0" w:type="dxa"/>
            <w:vAlign w:val="bottom"/>
          </w:tcPr>
          <w:p>
            <w:pPr>
              <w:spacing w:after="0"/>
              <w:rPr>
                <w:sz w:val="1"/>
                <w:szCs w:val="1"/>
                <w:color w:val="auto"/>
              </w:rPr>
            </w:pPr>
          </w:p>
        </w:tc>
      </w:tr>
      <w:tr>
        <w:trPr>
          <w:trHeight w:val="213"/>
        </w:trPr>
        <w:tc>
          <w:tcPr>
            <w:tcW w:w="396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Net profit attributable to non-controlling interests</w:t>
            </w: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1,300</w:t>
            </w:r>
          </w:p>
        </w:tc>
        <w:tc>
          <w:tcPr>
            <w:tcW w:w="10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1,139</w:t>
            </w:r>
          </w:p>
        </w:tc>
        <w:tc>
          <w:tcPr>
            <w:tcW w:w="10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158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0" w:type="dxa"/>
            <w:vAlign w:val="bottom"/>
          </w:tcPr>
          <w:p>
            <w:pPr>
              <w:spacing w:after="0"/>
              <w:rPr>
                <w:sz w:val="1"/>
                <w:szCs w:val="1"/>
                <w:color w:val="auto"/>
              </w:rPr>
            </w:pPr>
          </w:p>
        </w:tc>
      </w:tr>
      <w:tr>
        <w:trPr>
          <w:trHeight w:val="145"/>
        </w:trPr>
        <w:tc>
          <w:tcPr>
            <w:tcW w:w="3960" w:type="dxa"/>
            <w:vAlign w:val="bottom"/>
            <w:shd w:val="clear" w:color="auto" w:fill="CFF0FC"/>
          </w:tcPr>
          <w:p>
            <w:pPr>
              <w:ind w:left="20"/>
              <w:spacing w:after="0" w:line="145" w:lineRule="exact"/>
              <w:rPr>
                <w:sz w:val="20"/>
                <w:szCs w:val="20"/>
                <w:color w:val="auto"/>
              </w:rPr>
            </w:pPr>
            <w:r>
              <w:rPr>
                <w:rFonts w:ascii="Times New Roman" w:cs="Times New Roman" w:eastAsia="Times New Roman" w:hAnsi="Times New Roman"/>
                <w:sz w:val="16"/>
                <w:szCs w:val="16"/>
                <w:color w:val="auto"/>
              </w:rPr>
              <w:t>Net loss attributable to The Cannabist Company Holdings</w:t>
            </w: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(51,274)</w:t>
            </w:r>
          </w:p>
        </w:tc>
        <w:tc>
          <w:tcPr>
            <w:tcW w:w="100" w:type="dxa"/>
            <w:vAlign w:val="bottom"/>
            <w:shd w:val="clear" w:color="auto" w:fill="CFF0FC"/>
          </w:tcPr>
          <w:p>
            <w:pPr>
              <w:spacing w:after="0"/>
              <w:rPr>
                <w:sz w:val="12"/>
                <w:szCs w:val="12"/>
                <w:color w:val="auto"/>
              </w:rPr>
            </w:pP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(102,928)</w:t>
            </w:r>
          </w:p>
        </w:tc>
        <w:tc>
          <w:tcPr>
            <w:tcW w:w="100" w:type="dxa"/>
            <w:vAlign w:val="bottom"/>
            <w:shd w:val="clear" w:color="auto" w:fill="CFF0FC"/>
          </w:tcPr>
          <w:p>
            <w:pPr>
              <w:spacing w:after="0"/>
              <w:rPr>
                <w:sz w:val="12"/>
                <w:szCs w:val="12"/>
                <w:color w:val="auto"/>
              </w:rPr>
            </w:pPr>
          </w:p>
        </w:tc>
        <w:tc>
          <w:tcPr>
            <w:tcW w:w="240" w:type="dxa"/>
            <w:vAlign w:val="bottom"/>
            <w:vMerge w:val="restart"/>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51,654</w:t>
            </w:r>
          </w:p>
        </w:tc>
        <w:tc>
          <w:tcPr>
            <w:tcW w:w="1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0" w:type="dxa"/>
            <w:vAlign w:val="bottom"/>
          </w:tcPr>
          <w:p>
            <w:pPr>
              <w:spacing w:after="0"/>
              <w:rPr>
                <w:sz w:val="1"/>
                <w:szCs w:val="1"/>
                <w:color w:val="auto"/>
              </w:rPr>
            </w:pPr>
          </w:p>
        </w:tc>
      </w:tr>
      <w:tr>
        <w:trPr>
          <w:trHeight w:val="209"/>
        </w:trPr>
        <w:tc>
          <w:tcPr>
            <w:tcW w:w="39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Inc.</w:t>
            </w:r>
          </w:p>
        </w:tc>
        <w:tc>
          <w:tcPr>
            <w:tcW w:w="140" w:type="dxa"/>
            <w:vAlign w:val="bottom"/>
            <w:tcBorders>
              <w:bottom w:val="single" w:sz="8" w:color="auto"/>
            </w:tcBorders>
            <w:vMerge w:val="continue"/>
            <w:shd w:val="clear" w:color="auto" w:fill="CFF0FC"/>
          </w:tcPr>
          <w:p>
            <w:pPr>
              <w:spacing w:after="0"/>
              <w:rPr>
                <w:sz w:val="18"/>
                <w:szCs w:val="18"/>
                <w:color w:val="auto"/>
              </w:rPr>
            </w:pPr>
          </w:p>
        </w:tc>
        <w:tc>
          <w:tcPr>
            <w:tcW w:w="1220" w:type="dxa"/>
            <w:vAlign w:val="bottom"/>
            <w:tcBorders>
              <w:bottom w:val="single" w:sz="8" w:color="auto"/>
            </w:tcBorders>
            <w:vMerge w:val="continue"/>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vMerge w:val="continue"/>
            <w:shd w:val="clear" w:color="auto" w:fill="CFF0FC"/>
          </w:tcPr>
          <w:p>
            <w:pPr>
              <w:spacing w:after="0"/>
              <w:rPr>
                <w:sz w:val="18"/>
                <w:szCs w:val="18"/>
                <w:color w:val="auto"/>
              </w:rPr>
            </w:pPr>
          </w:p>
        </w:tc>
        <w:tc>
          <w:tcPr>
            <w:tcW w:w="1200" w:type="dxa"/>
            <w:vAlign w:val="bottom"/>
            <w:tcBorders>
              <w:bottom w:val="single" w:sz="8" w:color="auto"/>
            </w:tcBorders>
            <w:vMerge w:val="continue"/>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vMerge w:val="continue"/>
            <w:shd w:val="clear" w:color="auto" w:fill="CFF0FC"/>
          </w:tcPr>
          <w:p>
            <w:pPr>
              <w:spacing w:after="0"/>
              <w:rPr>
                <w:sz w:val="18"/>
                <w:szCs w:val="18"/>
                <w:color w:val="auto"/>
              </w:rPr>
            </w:pPr>
          </w:p>
        </w:tc>
        <w:tc>
          <w:tcPr>
            <w:tcW w:w="1100" w:type="dxa"/>
            <w:vAlign w:val="bottom"/>
            <w:tcBorders>
              <w:bottom w:val="single" w:sz="8" w:color="auto"/>
            </w:tcBorders>
            <w:vMerge w:val="continue"/>
            <w:shd w:val="clear" w:color="auto" w:fill="CFF0FC"/>
          </w:tcPr>
          <w:p>
            <w:pPr>
              <w:spacing w:after="0"/>
              <w:rPr>
                <w:sz w:val="18"/>
                <w:szCs w:val="18"/>
                <w:color w:val="auto"/>
              </w:rPr>
            </w:pPr>
          </w:p>
        </w:tc>
        <w:tc>
          <w:tcPr>
            <w:tcW w:w="1580" w:type="dxa"/>
            <w:vAlign w:val="bottom"/>
            <w:tcBorders>
              <w:bottom w:val="single" w:sz="8" w:color="CFF0FC"/>
            </w:tcBorders>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bottom w:val="single" w:sz="8" w:color="auto"/>
            </w:tcBorders>
          </w:tcPr>
          <w:p>
            <w:pPr>
              <w:spacing w:after="0" w:line="20" w:lineRule="exact"/>
              <w:rPr>
                <w:sz w:val="1"/>
                <w:szCs w:val="1"/>
                <w:color w:val="auto"/>
              </w:rPr>
            </w:pPr>
          </w:p>
        </w:tc>
        <w:tc>
          <w:tcPr>
            <w:tcW w:w="12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bottom w:val="single" w:sz="8" w:color="auto"/>
            </w:tcBorders>
          </w:tcPr>
          <w:p>
            <w:pPr>
              <w:spacing w:after="0" w:line="20" w:lineRule="exact"/>
              <w:rPr>
                <w:sz w:val="1"/>
                <w:szCs w:val="1"/>
                <w:color w:val="auto"/>
              </w:rPr>
            </w:pPr>
          </w:p>
        </w:tc>
        <w:tc>
          <w:tcPr>
            <w:tcW w:w="12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bottom w:val="single" w:sz="8" w:color="auto"/>
            </w:tcBorders>
          </w:tcPr>
          <w:p>
            <w:pPr>
              <w:spacing w:after="0" w:line="20" w:lineRule="exact"/>
              <w:rPr>
                <w:sz w:val="1"/>
                <w:szCs w:val="1"/>
                <w:color w:val="auto"/>
              </w:rPr>
            </w:pPr>
          </w:p>
        </w:tc>
        <w:tc>
          <w:tcPr>
            <w:tcW w:w="1100" w:type="dxa"/>
            <w:vAlign w:val="bottom"/>
            <w:tcBorders>
              <w:top w:val="single" w:sz="8" w:color="CFF0FC"/>
              <w:bottom w:val="single" w:sz="8" w:color="auto"/>
            </w:tcBorders>
          </w:tcPr>
          <w:p>
            <w:pPr>
              <w:spacing w:after="0" w:line="20" w:lineRule="exact"/>
              <w:rPr>
                <w:sz w:val="1"/>
                <w:szCs w:val="1"/>
                <w:color w:val="auto"/>
              </w:rPr>
            </w:pPr>
          </w:p>
        </w:tc>
        <w:tc>
          <w:tcPr>
            <w:tcW w:w="15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decrease in revenue of $20,378 for the nine months ended September 30, 2024, as compared to the prior year period, was driven by the net decline in revenue of $9,607 in our existing retail and wholesale operations and a decline of $11,438 from the sale or closure of certain operations. This was partly offset by the expansion of new retail facilities which contributed to a revenue growth of $667 during the nine months ended September 30, 2024, as compared to the prior period.</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Sales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decrease in cost of sales of $18,432 for the nine months ended September 30, 2024, as compared to the prior year period, was driven by a cost of sales decrease of $10,702 in our existing retail and wholesale operations, including from inventory impairment, and from the sale or closure of certain operations of $7,957. This was partly offset by an increase of $227 from the expansion of new retail facilities, as compared to the prior period.</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decrease in gross profit of $1,946 for the nine months ended September 30, 2024, as compared to the prior year period, was directly attributable to the decline in revenues and decline in cost of sales as described above. The increase in gross margin (percent) was primarily driven by maturation of production facilities as well as the adult use conversion of specific markets.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decrease of $21,140 in operating expenses for the nine months ended September 30, 2024, as compared to the prior year period, was primarily attributable to a decrease in salary and benefits expenses of $21,519, depreciation and amortization of $6,990, advertisement and promotion expense $1,835, professional fees of $1,506 and other fees and expenses of $20. This was partially offset by an increase in operating office and general expenses of $9,890, operating facilities costs of $719, and fixed asset impairment of $121.</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increase in other income, net of $53,678 for the nine months ended September 30, 2024, as compared to the prior year period, was primarily due to an increase in loss on disposal group of $48,910 interest expense on debt of $10,777, and other income (expense), net of $2,092. This was partially offset by a decrease in change in fair value of investments of $4,195, change in fair value of the derivative liability of $2,274, rental income of $2,168, and restructuring expense $1,937.</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Provisions for Income Taxes</w:t>
      </w:r>
    </w:p>
    <w:p>
      <w:pPr>
        <w:spacing w:after="0" w:line="14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recorded income tax expense of $40,348 for the nine months ended September 30, 2024, as compared to an income tax expense of $19,291 for the nine months ended September 30, 2023.</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Measures</w:t>
      </w:r>
    </w:p>
    <w:p>
      <w:pPr>
        <w:spacing w:after="0" w:line="16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use certain non-GAAP measures, referenced in this MD&amp;A. These measures are not recognized measures under GAAP and do not have a standardized meaning prescribed by GAAP and therefore may not be comparable to similar measures presented by other companies. Accordingly, these measures should not be considered in isolation from nor as a substitute for our financial information reported under GAAP. We use non-GAAP measures including EBITDA, Adjusted EBITDA and Adjusted EBITDA margin which may be calculated differently by other companies. These non-GAAP measures and metrics are used to provide investors with supplemental measures of our operating performance and liquidity and thus highlight trends in our business that may not otherwise be apparent when relying solely on GAAP measures. These supplemental non-GAAP financial measures should not be considered superior to, as a substitute for, or as an alternative to, and should be considered in conjunction with, the GAAP financial measures presented. We also recognize that securities analysts, investors, and other interested parties frequently use non-GAAP measures in the evaluation of companies within our industry. Finally, we use non-GAAP measures and metrics in order to facilitate evaluation of operating performance comparisons from period to period, to prepare annual operating budgets and forecasts and to determine components of executive compensation.</w:t>
      </w:r>
    </w:p>
    <w:p>
      <w:pPr>
        <w:spacing w:after="0" w:line="11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net loss for the period to EBITDA and Adjusted EBITDA for the three and nine months ended September 30, 2024, and 2023:</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492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7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8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4920" w:type="dxa"/>
            <w:vAlign w:val="bottom"/>
          </w:tcPr>
          <w:p>
            <w:pPr>
              <w:spacing w:after="0"/>
              <w:rPr>
                <w:sz w:val="18"/>
                <w:szCs w:val="18"/>
                <w:color w:val="auto"/>
              </w:rPr>
            </w:pPr>
          </w:p>
        </w:tc>
        <w:tc>
          <w:tcPr>
            <w:tcW w:w="160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 2023</w:t>
            </w:r>
          </w:p>
        </w:tc>
        <w:tc>
          <w:tcPr>
            <w:tcW w:w="100" w:type="dxa"/>
            <w:vAlign w:val="bottom"/>
          </w:tcPr>
          <w:p>
            <w:pPr>
              <w:spacing w:after="0"/>
              <w:rPr>
                <w:sz w:val="18"/>
                <w:szCs w:val="18"/>
                <w:color w:val="auto"/>
              </w:rPr>
            </w:pPr>
          </w:p>
        </w:tc>
        <w:tc>
          <w:tcPr>
            <w:tcW w:w="162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 2023</w:t>
            </w:r>
          </w:p>
        </w:tc>
        <w:tc>
          <w:tcPr>
            <w:tcW w:w="0" w:type="dxa"/>
            <w:vAlign w:val="bottom"/>
          </w:tcPr>
          <w:p>
            <w:pPr>
              <w:spacing w:after="0"/>
              <w:rPr>
                <w:sz w:val="1"/>
                <w:szCs w:val="1"/>
                <w:color w:val="auto"/>
              </w:rPr>
            </w:pPr>
          </w:p>
        </w:tc>
      </w:tr>
      <w:tr>
        <w:trPr>
          <w:trHeight w:val="211"/>
        </w:trPr>
        <w:tc>
          <w:tcPr>
            <w:tcW w:w="492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440" w:type="dxa"/>
            <w:vAlign w:val="bottom"/>
            <w:tcBorders>
              <w:top w:val="single" w:sz="8" w:color="auto"/>
            </w:tcBorders>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(1,763)</w:t>
            </w:r>
          </w:p>
        </w:tc>
        <w:tc>
          <w:tcPr>
            <w:tcW w:w="120" w:type="dxa"/>
            <w:vAlign w:val="bottom"/>
            <w:tcBorders>
              <w:top w:val="single" w:sz="8" w:color="CFF0FC"/>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jc w:val="right"/>
              <w:ind w:right="49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(36,180)</w:t>
            </w:r>
          </w:p>
        </w:tc>
        <w:tc>
          <w:tcPr>
            <w:tcW w:w="100" w:type="dxa"/>
            <w:vAlign w:val="bottom"/>
          </w:tcPr>
          <w:p>
            <w:pPr>
              <w:spacing w:after="0"/>
              <w:rPr>
                <w:sz w:val="18"/>
                <w:szCs w:val="18"/>
                <w:color w:val="auto"/>
              </w:rPr>
            </w:pPr>
          </w:p>
        </w:tc>
        <w:tc>
          <w:tcPr>
            <w:tcW w:w="440" w:type="dxa"/>
            <w:vAlign w:val="bottom"/>
            <w:tcBorders>
              <w:top w:val="single" w:sz="8" w:color="auto"/>
            </w:tcBorders>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(49,974)</w:t>
            </w:r>
          </w:p>
        </w:tc>
        <w:tc>
          <w:tcPr>
            <w:tcW w:w="120" w:type="dxa"/>
            <w:vAlign w:val="bottom"/>
            <w:tcBorders>
              <w:top w:val="single" w:sz="8" w:color="CFF0FC"/>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jc w:val="right"/>
              <w:ind w:right="4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(101,789)</w:t>
            </w:r>
          </w:p>
        </w:tc>
        <w:tc>
          <w:tcPr>
            <w:tcW w:w="0" w:type="dxa"/>
            <w:vAlign w:val="bottom"/>
          </w:tcPr>
          <w:p>
            <w:pPr>
              <w:spacing w:after="0"/>
              <w:rPr>
                <w:sz w:val="1"/>
                <w:szCs w:val="1"/>
                <w:color w:val="auto"/>
              </w:rPr>
            </w:pPr>
          </w:p>
        </w:tc>
      </w:tr>
      <w:tr>
        <w:trPr>
          <w:trHeight w:val="213"/>
        </w:trPr>
        <w:tc>
          <w:tcPr>
            <w:tcW w:w="49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Income tax</w:t>
            </w:r>
          </w:p>
        </w:tc>
        <w:tc>
          <w:tcPr>
            <w:tcW w:w="440" w:type="dxa"/>
            <w:vAlign w:val="bottom"/>
          </w:tcPr>
          <w:p>
            <w:pPr>
              <w:spacing w:after="0"/>
              <w:rPr>
                <w:sz w:val="18"/>
                <w:szCs w:val="18"/>
                <w:color w:val="auto"/>
              </w:rPr>
            </w:pPr>
          </w:p>
        </w:tc>
        <w:tc>
          <w:tcPr>
            <w:tcW w:w="10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21,838</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2,297</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40,348</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19,291</w:t>
            </w:r>
          </w:p>
        </w:tc>
        <w:tc>
          <w:tcPr>
            <w:tcW w:w="0" w:type="dxa"/>
            <w:vAlign w:val="bottom"/>
          </w:tcPr>
          <w:p>
            <w:pPr>
              <w:spacing w:after="0"/>
              <w:rPr>
                <w:sz w:val="1"/>
                <w:szCs w:val="1"/>
                <w:color w:val="auto"/>
              </w:rPr>
            </w:pPr>
          </w:p>
        </w:tc>
      </w:tr>
      <w:tr>
        <w:trPr>
          <w:trHeight w:val="219"/>
        </w:trPr>
        <w:tc>
          <w:tcPr>
            <w:tcW w:w="49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4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11,767</w:t>
            </w: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17,929</w:t>
            </w:r>
          </w:p>
        </w:tc>
        <w:tc>
          <w:tcPr>
            <w:tcW w:w="100" w:type="dxa"/>
            <w:vAlign w:val="bottom"/>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39,314</w:t>
            </w: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47,607</w:t>
            </w:r>
          </w:p>
        </w:tc>
        <w:tc>
          <w:tcPr>
            <w:tcW w:w="0" w:type="dxa"/>
            <w:vAlign w:val="bottom"/>
          </w:tcPr>
          <w:p>
            <w:pPr>
              <w:spacing w:after="0"/>
              <w:rPr>
                <w:sz w:val="1"/>
                <w:szCs w:val="1"/>
                <w:color w:val="auto"/>
              </w:rPr>
            </w:pPr>
          </w:p>
        </w:tc>
      </w:tr>
      <w:tr>
        <w:trPr>
          <w:trHeight w:val="213"/>
        </w:trPr>
        <w:tc>
          <w:tcPr>
            <w:tcW w:w="492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6"/>
                <w:szCs w:val="16"/>
                <w:color w:val="auto"/>
              </w:rPr>
              <w:t>Interest expense, net and debt amortization</w:t>
            </w:r>
          </w:p>
        </w:tc>
        <w:tc>
          <w:tcPr>
            <w:tcW w:w="4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13,127</w:t>
            </w:r>
          </w:p>
        </w:tc>
        <w:tc>
          <w:tcPr>
            <w:tcW w:w="120" w:type="dxa"/>
            <w:vAlign w:val="bottom"/>
            <w:tcBorders>
              <w:bottom w:val="single" w:sz="8" w:color="CFF0FC"/>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14,500</w:t>
            </w: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38,728</w:t>
            </w:r>
          </w:p>
        </w:tc>
        <w:tc>
          <w:tcPr>
            <w:tcW w:w="120" w:type="dxa"/>
            <w:vAlign w:val="bottom"/>
            <w:tcBorders>
              <w:bottom w:val="single" w:sz="8" w:color="CFF0FC"/>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41,956</w:t>
            </w:r>
          </w:p>
        </w:tc>
        <w:tc>
          <w:tcPr>
            <w:tcW w:w="0" w:type="dxa"/>
            <w:vAlign w:val="bottom"/>
          </w:tcPr>
          <w:p>
            <w:pPr>
              <w:spacing w:after="0"/>
              <w:rPr>
                <w:sz w:val="1"/>
                <w:szCs w:val="1"/>
                <w:color w:val="auto"/>
              </w:rPr>
            </w:pPr>
          </w:p>
        </w:tc>
      </w:tr>
      <w:tr>
        <w:trPr>
          <w:trHeight w:val="212"/>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EBITDA (Non-GAAP measure)</w:t>
            </w:r>
          </w:p>
        </w:tc>
        <w:tc>
          <w:tcPr>
            <w:tcW w:w="44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44,969</w:t>
            </w: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(1,454)</w:t>
            </w:r>
          </w:p>
        </w:tc>
        <w:tc>
          <w:tcPr>
            <w:tcW w:w="100" w:type="dxa"/>
            <w:vAlign w:val="bottom"/>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68,416</w:t>
            </w: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7,065</w:t>
            </w:r>
          </w:p>
        </w:tc>
        <w:tc>
          <w:tcPr>
            <w:tcW w:w="0" w:type="dxa"/>
            <w:vAlign w:val="bottom"/>
          </w:tcPr>
          <w:p>
            <w:pPr>
              <w:spacing w:after="0"/>
              <w:rPr>
                <w:sz w:val="1"/>
                <w:szCs w:val="1"/>
                <w:color w:val="auto"/>
              </w:rPr>
            </w:pPr>
          </w:p>
        </w:tc>
      </w:tr>
      <w:tr>
        <w:trPr>
          <w:trHeight w:val="213"/>
        </w:trPr>
        <w:tc>
          <w:tcPr>
            <w:tcW w:w="4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Adjustments:</w:t>
            </w: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9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Share-based compensation</w:t>
            </w:r>
          </w:p>
        </w:tc>
        <w:tc>
          <w:tcPr>
            <w:tcW w:w="4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2,374</w:t>
            </w: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8,321</w:t>
            </w:r>
          </w:p>
        </w:tc>
        <w:tc>
          <w:tcPr>
            <w:tcW w:w="100" w:type="dxa"/>
            <w:vAlign w:val="bottom"/>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(2,588)</w:t>
            </w: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18,304</w:t>
            </w:r>
          </w:p>
        </w:tc>
        <w:tc>
          <w:tcPr>
            <w:tcW w:w="0" w:type="dxa"/>
            <w:vAlign w:val="bottom"/>
          </w:tcPr>
          <w:p>
            <w:pPr>
              <w:spacing w:after="0"/>
              <w:rPr>
                <w:sz w:val="1"/>
                <w:szCs w:val="1"/>
                <w:color w:val="auto"/>
              </w:rPr>
            </w:pPr>
          </w:p>
        </w:tc>
      </w:tr>
      <w:tr>
        <w:trPr>
          <w:trHeight w:val="162"/>
        </w:trPr>
        <w:tc>
          <w:tcPr>
            <w:tcW w:w="4920" w:type="dxa"/>
            <w:vAlign w:val="bottom"/>
          </w:tcPr>
          <w:p>
            <w:pPr>
              <w:ind w:left="240"/>
              <w:spacing w:after="0" w:line="162" w:lineRule="exact"/>
              <w:rPr>
                <w:sz w:val="20"/>
                <w:szCs w:val="20"/>
                <w:color w:val="auto"/>
              </w:rPr>
            </w:pPr>
            <w:r>
              <w:rPr>
                <w:rFonts w:ascii="Times New Roman" w:cs="Times New Roman" w:eastAsia="Times New Roman" w:hAnsi="Times New Roman"/>
                <w:sz w:val="16"/>
                <w:szCs w:val="16"/>
                <w:color w:val="auto"/>
              </w:rPr>
              <w:t>Transaction and other non-core costs, including costs associated with</w:t>
            </w: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20" w:type="dxa"/>
            <w:vAlign w:val="bottom"/>
          </w:tcPr>
          <w:p>
            <w:pPr>
              <w:ind w:left="240"/>
              <w:spacing w:after="0" w:line="162" w:lineRule="exact"/>
              <w:rPr>
                <w:sz w:val="20"/>
                <w:szCs w:val="20"/>
                <w:color w:val="auto"/>
              </w:rPr>
            </w:pPr>
            <w:r>
              <w:rPr>
                <w:rFonts w:ascii="Times New Roman" w:cs="Times New Roman" w:eastAsia="Times New Roman" w:hAnsi="Times New Roman"/>
                <w:sz w:val="16"/>
                <w:szCs w:val="16"/>
                <w:color w:val="auto"/>
              </w:rPr>
              <w:t>the Cresco Labs Inc. transaction, litigation expenses and other costs</w:t>
            </w:r>
          </w:p>
        </w:tc>
        <w:tc>
          <w:tcPr>
            <w:tcW w:w="440" w:type="dxa"/>
            <w:vAlign w:val="bottom"/>
          </w:tcPr>
          <w:p>
            <w:pPr>
              <w:spacing w:after="0"/>
              <w:rPr>
                <w:sz w:val="14"/>
                <w:szCs w:val="14"/>
                <w:color w:val="auto"/>
              </w:rPr>
            </w:pPr>
          </w:p>
        </w:tc>
        <w:tc>
          <w:tcPr>
            <w:tcW w:w="116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spacing w:after="0"/>
              <w:rPr>
                <w:sz w:val="14"/>
                <w:szCs w:val="14"/>
                <w:color w:val="auto"/>
              </w:rPr>
            </w:pPr>
          </w:p>
        </w:tc>
        <w:tc>
          <w:tcPr>
            <w:tcW w:w="76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1,720</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rPr>
              <w:t>(1,108)</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4,502</w:t>
            </w:r>
          </w:p>
        </w:tc>
        <w:tc>
          <w:tcPr>
            <w:tcW w:w="0" w:type="dxa"/>
            <w:vAlign w:val="bottom"/>
          </w:tcPr>
          <w:p>
            <w:pPr>
              <w:spacing w:after="0"/>
              <w:rPr>
                <w:sz w:val="1"/>
                <w:szCs w:val="1"/>
                <w:color w:val="auto"/>
              </w:rPr>
            </w:pPr>
          </w:p>
        </w:tc>
      </w:tr>
      <w:tr>
        <w:trPr>
          <w:trHeight w:val="213"/>
        </w:trPr>
        <w:tc>
          <w:tcPr>
            <w:tcW w:w="49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related to restructuring</w:t>
            </w:r>
          </w:p>
        </w:tc>
        <w:tc>
          <w:tcPr>
            <w:tcW w:w="44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9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Fair-value changes on investments and derivative liabilities</w:t>
            </w:r>
          </w:p>
        </w:tc>
        <w:tc>
          <w:tcPr>
            <w:tcW w:w="4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4,195</w:t>
            </w: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6,524</w:t>
            </w: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55</w:t>
            </w:r>
          </w:p>
        </w:tc>
        <w:tc>
          <w:tcPr>
            <w:tcW w:w="0" w:type="dxa"/>
            <w:vAlign w:val="bottom"/>
          </w:tcPr>
          <w:p>
            <w:pPr>
              <w:spacing w:after="0"/>
              <w:rPr>
                <w:sz w:val="1"/>
                <w:szCs w:val="1"/>
                <w:color w:val="auto"/>
              </w:rPr>
            </w:pPr>
          </w:p>
        </w:tc>
      </w:tr>
      <w:tr>
        <w:trPr>
          <w:trHeight w:val="213"/>
        </w:trPr>
        <w:tc>
          <w:tcPr>
            <w:tcW w:w="49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Adjustments for acquisition and other non-core costs</w:t>
            </w:r>
          </w:p>
        </w:tc>
        <w:tc>
          <w:tcPr>
            <w:tcW w:w="440" w:type="dxa"/>
            <w:vAlign w:val="bottom"/>
          </w:tcPr>
          <w:p>
            <w:pPr>
              <w:spacing w:after="0"/>
              <w:rPr>
                <w:sz w:val="18"/>
                <w:szCs w:val="18"/>
                <w:color w:val="auto"/>
              </w:rPr>
            </w:pPr>
          </w:p>
        </w:tc>
        <w:tc>
          <w:tcPr>
            <w:tcW w:w="10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2,393</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10,364</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4,795</w:t>
            </w:r>
          </w:p>
        </w:tc>
        <w:tc>
          <w:tcPr>
            <w:tcW w:w="0" w:type="dxa"/>
            <w:vAlign w:val="bottom"/>
          </w:tcPr>
          <w:p>
            <w:pPr>
              <w:spacing w:after="0"/>
              <w:rPr>
                <w:sz w:val="1"/>
                <w:szCs w:val="1"/>
                <w:color w:val="auto"/>
              </w:rPr>
            </w:pPr>
          </w:p>
        </w:tc>
      </w:tr>
      <w:tr>
        <w:trPr>
          <w:trHeight w:val="219"/>
        </w:trPr>
        <w:tc>
          <w:tcPr>
            <w:tcW w:w="49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Restructuring expense</w:t>
            </w:r>
          </w:p>
        </w:tc>
        <w:tc>
          <w:tcPr>
            <w:tcW w:w="4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1,207</w:t>
            </w: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11,147</w:t>
            </w:r>
          </w:p>
        </w:tc>
        <w:tc>
          <w:tcPr>
            <w:tcW w:w="100" w:type="dxa"/>
            <w:vAlign w:val="bottom"/>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5,749</w:t>
            </w: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14,391</w:t>
            </w:r>
          </w:p>
        </w:tc>
        <w:tc>
          <w:tcPr>
            <w:tcW w:w="0" w:type="dxa"/>
            <w:vAlign w:val="bottom"/>
          </w:tcPr>
          <w:p>
            <w:pPr>
              <w:spacing w:after="0"/>
              <w:rPr>
                <w:sz w:val="1"/>
                <w:szCs w:val="1"/>
                <w:color w:val="auto"/>
              </w:rPr>
            </w:pPr>
          </w:p>
        </w:tc>
      </w:tr>
      <w:tr>
        <w:trPr>
          <w:trHeight w:val="213"/>
        </w:trPr>
        <w:tc>
          <w:tcPr>
            <w:tcW w:w="49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Fixed asset impairment</w:t>
            </w:r>
          </w:p>
        </w:tc>
        <w:tc>
          <w:tcPr>
            <w:tcW w:w="440" w:type="dxa"/>
            <w:vAlign w:val="bottom"/>
          </w:tcPr>
          <w:p>
            <w:pPr>
              <w:spacing w:after="0"/>
              <w:rPr>
                <w:sz w:val="18"/>
                <w:szCs w:val="18"/>
                <w:color w:val="auto"/>
              </w:rPr>
            </w:pPr>
          </w:p>
        </w:tc>
        <w:tc>
          <w:tcPr>
            <w:tcW w:w="10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121</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121</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9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Net (gain) / loss on deconsolidation</w:t>
            </w:r>
          </w:p>
        </w:tc>
        <w:tc>
          <w:tcPr>
            <w:tcW w:w="4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(40,444)</w:t>
            </w: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694</w:t>
            </w:r>
          </w:p>
        </w:tc>
        <w:tc>
          <w:tcPr>
            <w:tcW w:w="100" w:type="dxa"/>
            <w:vAlign w:val="bottom"/>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(39,821)</w:t>
            </w: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3,167</w:t>
            </w:r>
          </w:p>
        </w:tc>
        <w:tc>
          <w:tcPr>
            <w:tcW w:w="0" w:type="dxa"/>
            <w:vAlign w:val="bottom"/>
          </w:tcPr>
          <w:p>
            <w:pPr>
              <w:spacing w:after="0"/>
              <w:rPr>
                <w:sz w:val="1"/>
                <w:szCs w:val="1"/>
                <w:color w:val="auto"/>
              </w:rPr>
            </w:pPr>
          </w:p>
        </w:tc>
      </w:tr>
      <w:tr>
        <w:trPr>
          <w:trHeight w:val="213"/>
        </w:trPr>
        <w:tc>
          <w:tcPr>
            <w:tcW w:w="49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Impairment on disposal group</w:t>
            </w:r>
          </w:p>
        </w:tc>
        <w:tc>
          <w:tcPr>
            <w:tcW w:w="44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spacing w:after="0"/>
              <w:rPr>
                <w:sz w:val="18"/>
                <w:szCs w:val="18"/>
                <w:color w:val="auto"/>
              </w:rPr>
            </w:pPr>
          </w:p>
        </w:tc>
        <w:tc>
          <w:tcPr>
            <w:tcW w:w="7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spacing w:after="0"/>
              <w:rPr>
                <w:sz w:val="18"/>
                <w:szCs w:val="18"/>
                <w:color w:val="auto"/>
              </w:rPr>
            </w:pPr>
          </w:p>
        </w:tc>
        <w:tc>
          <w:tcPr>
            <w:tcW w:w="8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9,689</w:t>
            </w:r>
          </w:p>
        </w:tc>
        <w:tc>
          <w:tcPr>
            <w:tcW w:w="0" w:type="dxa"/>
            <w:vAlign w:val="bottom"/>
          </w:tcPr>
          <w:p>
            <w:pPr>
              <w:spacing w:after="0"/>
              <w:rPr>
                <w:sz w:val="1"/>
                <w:szCs w:val="1"/>
                <w:color w:val="auto"/>
              </w:rPr>
            </w:pPr>
          </w:p>
        </w:tc>
      </w:tr>
      <w:tr>
        <w:trPr>
          <w:trHeight w:val="234"/>
        </w:trPr>
        <w:tc>
          <w:tcPr>
            <w:tcW w:w="492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Adjusted EBITDA (Non-GAAP measure)</w:t>
            </w:r>
          </w:p>
        </w:tc>
        <w:tc>
          <w:tcPr>
            <w:tcW w:w="440" w:type="dxa"/>
            <w:vAlign w:val="bottom"/>
            <w:tcBorders>
              <w:top w:val="single" w:sz="8" w:color="auto"/>
              <w:bottom w:val="single" w:sz="8" w:color="auto"/>
            </w:tcBorders>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14,815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ind w:right="49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20,493</w:t>
            </w:r>
          </w:p>
        </w:tc>
        <w:tc>
          <w:tcPr>
            <w:tcW w:w="100" w:type="dxa"/>
            <w:vAlign w:val="bottom"/>
          </w:tcPr>
          <w:p>
            <w:pPr>
              <w:spacing w:after="0"/>
              <w:rPr>
                <w:sz w:val="19"/>
                <w:szCs w:val="19"/>
                <w:color w:val="auto"/>
              </w:rPr>
            </w:pPr>
          </w:p>
        </w:tc>
        <w:tc>
          <w:tcPr>
            <w:tcW w:w="440" w:type="dxa"/>
            <w:vAlign w:val="bottom"/>
            <w:tcBorders>
              <w:top w:val="single" w:sz="8" w:color="auto"/>
              <w:bottom w:val="single" w:sz="8" w:color="auto"/>
            </w:tcBorders>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47,657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ind w:right="4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57,173</w:t>
            </w:r>
          </w:p>
        </w:tc>
        <w:tc>
          <w:tcPr>
            <w:tcW w:w="0" w:type="dxa"/>
            <w:vAlign w:val="bottom"/>
          </w:tcPr>
          <w:p>
            <w:pPr>
              <w:spacing w:after="0"/>
              <w:rPr>
                <w:sz w:val="1"/>
                <w:szCs w:val="1"/>
                <w:color w:val="auto"/>
              </w:rPr>
            </w:pPr>
          </w:p>
        </w:tc>
      </w:tr>
      <w:tr>
        <w:trPr>
          <w:trHeight w:val="20"/>
        </w:trPr>
        <w:tc>
          <w:tcPr>
            <w:tcW w:w="4920" w:type="dxa"/>
            <w:vAlign w:val="bottom"/>
            <w:tcBorders>
              <w:top w:val="single" w:sz="8" w:color="CFF0FC"/>
              <w:bottom w:val="single" w:sz="8" w:color="CFF0FC"/>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440" w:type="dxa"/>
            <w:vAlign w:val="bottom"/>
            <w:tcBorders>
              <w:top w:val="single" w:sz="8" w:color="CFF0FC"/>
              <w:bottom w:val="single" w:sz="8" w:color="auto"/>
            </w:tcBorders>
          </w:tcPr>
          <w:p>
            <w:pPr>
              <w:spacing w:after="0" w:line="20" w:lineRule="exact"/>
              <w:rPr>
                <w:sz w:val="1"/>
                <w:szCs w:val="1"/>
                <w:color w:val="auto"/>
              </w:rPr>
            </w:pPr>
          </w:p>
        </w:tc>
        <w:tc>
          <w:tcPr>
            <w:tcW w:w="104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CFF0FC"/>
              <w:bottom w:val="single" w:sz="8" w:color="auto"/>
            </w:tcBorders>
          </w:tcPr>
          <w:p>
            <w:pPr>
              <w:spacing w:after="0" w:line="20" w:lineRule="exact"/>
              <w:rPr>
                <w:sz w:val="1"/>
                <w:szCs w:val="1"/>
                <w:color w:val="auto"/>
              </w:rPr>
            </w:pPr>
          </w:p>
        </w:tc>
        <w:tc>
          <w:tcPr>
            <w:tcW w:w="7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CFF0FC"/>
              <w:bottom w:val="single" w:sz="8" w:color="auto"/>
            </w:tcBorders>
          </w:tcPr>
          <w:p>
            <w:pPr>
              <w:spacing w:after="0" w:line="20" w:lineRule="exact"/>
              <w:rPr>
                <w:sz w:val="1"/>
                <w:szCs w:val="1"/>
                <w:color w:val="auto"/>
              </w:rPr>
            </w:pPr>
          </w:p>
        </w:tc>
        <w:tc>
          <w:tcPr>
            <w:tcW w:w="106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CFF0FC"/>
              <w:bottom w:val="single" w:sz="8" w:color="auto"/>
            </w:tcBorders>
          </w:tcPr>
          <w:p>
            <w:pPr>
              <w:spacing w:after="0" w:line="20" w:lineRule="exact"/>
              <w:rPr>
                <w:sz w:val="1"/>
                <w:szCs w:val="1"/>
                <w:color w:val="auto"/>
              </w:rPr>
            </w:pPr>
          </w:p>
        </w:tc>
        <w:tc>
          <w:tcPr>
            <w:tcW w:w="82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920" w:type="dxa"/>
            <w:vAlign w:val="bottom"/>
            <w:vMerge w:val="continue"/>
          </w:tcPr>
          <w:p>
            <w:pPr>
              <w:spacing w:after="0"/>
              <w:rPr>
                <w:sz w:val="16"/>
                <w:szCs w:val="16"/>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114,783</w:t>
            </w:r>
          </w:p>
        </w:tc>
        <w:tc>
          <w:tcPr>
            <w:tcW w:w="120" w:type="dxa"/>
            <w:vAlign w:val="bottom"/>
          </w:tcPr>
          <w:p>
            <w:pPr>
              <w:spacing w:after="0"/>
              <w:rPr>
                <w:sz w:val="16"/>
                <w:szCs w:val="16"/>
                <w:color w:val="auto"/>
              </w:rPr>
            </w:pPr>
          </w:p>
        </w:tc>
        <w:tc>
          <w:tcPr>
            <w:tcW w:w="680" w:type="dxa"/>
            <w:vAlign w:val="bottom"/>
          </w:tcPr>
          <w:p>
            <w:pPr>
              <w:jc w:val="right"/>
              <w:ind w:right="49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129,183</w:t>
            </w:r>
          </w:p>
        </w:tc>
        <w:tc>
          <w:tcPr>
            <w:tcW w:w="100" w:type="dxa"/>
            <w:vAlign w:val="bottom"/>
          </w:tcPr>
          <w:p>
            <w:pPr>
              <w:spacing w:after="0"/>
              <w:rPr>
                <w:sz w:val="16"/>
                <w:szCs w:val="16"/>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362,584</w:t>
            </w:r>
          </w:p>
        </w:tc>
        <w:tc>
          <w:tcPr>
            <w:tcW w:w="120" w:type="dxa"/>
            <w:vAlign w:val="bottom"/>
          </w:tcPr>
          <w:p>
            <w:pPr>
              <w:spacing w:after="0"/>
              <w:rPr>
                <w:sz w:val="16"/>
                <w:szCs w:val="16"/>
                <w:color w:val="auto"/>
              </w:rPr>
            </w:pPr>
          </w:p>
        </w:tc>
        <w:tc>
          <w:tcPr>
            <w:tcW w:w="62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382,962</w:t>
            </w:r>
          </w:p>
        </w:tc>
        <w:tc>
          <w:tcPr>
            <w:tcW w:w="0" w:type="dxa"/>
            <w:vAlign w:val="bottom"/>
          </w:tcPr>
          <w:p>
            <w:pPr>
              <w:spacing w:after="0"/>
              <w:rPr>
                <w:sz w:val="1"/>
                <w:szCs w:val="1"/>
                <w:color w:val="auto"/>
              </w:rPr>
            </w:pPr>
          </w:p>
        </w:tc>
      </w:tr>
      <w:tr>
        <w:trPr>
          <w:trHeight w:val="219"/>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Adjusted EBITDA (Non-GAAP measure)</w:t>
            </w:r>
          </w:p>
        </w:tc>
        <w:tc>
          <w:tcPr>
            <w:tcW w:w="4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14,815</w:t>
            </w: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20,493</w:t>
            </w:r>
          </w:p>
        </w:tc>
        <w:tc>
          <w:tcPr>
            <w:tcW w:w="100" w:type="dxa"/>
            <w:vAlign w:val="bottom"/>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47,657</w:t>
            </w: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57,173</w:t>
            </w:r>
          </w:p>
        </w:tc>
        <w:tc>
          <w:tcPr>
            <w:tcW w:w="0" w:type="dxa"/>
            <w:vAlign w:val="bottom"/>
          </w:tcPr>
          <w:p>
            <w:pPr>
              <w:spacing w:after="0"/>
              <w:rPr>
                <w:sz w:val="1"/>
                <w:szCs w:val="1"/>
                <w:color w:val="auto"/>
              </w:rPr>
            </w:pPr>
          </w:p>
        </w:tc>
      </w:tr>
      <w:tr>
        <w:trPr>
          <w:trHeight w:val="210"/>
        </w:trPr>
        <w:tc>
          <w:tcPr>
            <w:tcW w:w="4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EBITDA margin (Non-GAAP measure)</w:t>
            </w: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12.9 %</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15.9 %</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13.1 %</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14.9 %</w:t>
            </w:r>
          </w:p>
        </w:tc>
        <w:tc>
          <w:tcPr>
            <w:tcW w:w="0" w:type="dxa"/>
            <w:vAlign w:val="bottom"/>
          </w:tcPr>
          <w:p>
            <w:pPr>
              <w:spacing w:after="0"/>
              <w:rPr>
                <w:sz w:val="1"/>
                <w:szCs w:val="1"/>
                <w:color w:val="auto"/>
              </w:rPr>
            </w:pPr>
          </w:p>
        </w:tc>
      </w:tr>
      <w:tr>
        <w:trPr>
          <w:trHeight w:val="222"/>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440" w:type="dxa"/>
            <w:vAlign w:val="bottom"/>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114,783</w:t>
            </w: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49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129,183</w:t>
            </w:r>
          </w:p>
        </w:tc>
        <w:tc>
          <w:tcPr>
            <w:tcW w:w="100" w:type="dxa"/>
            <w:vAlign w:val="bottom"/>
          </w:tcPr>
          <w:p>
            <w:pPr>
              <w:spacing w:after="0"/>
              <w:rPr>
                <w:sz w:val="19"/>
                <w:szCs w:val="19"/>
                <w:color w:val="auto"/>
              </w:rPr>
            </w:pPr>
          </w:p>
        </w:tc>
        <w:tc>
          <w:tcPr>
            <w:tcW w:w="440" w:type="dxa"/>
            <w:vAlign w:val="bottom"/>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362,584</w:t>
            </w: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4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382,962</w:t>
            </w:r>
          </w:p>
        </w:tc>
        <w:tc>
          <w:tcPr>
            <w:tcW w:w="0" w:type="dxa"/>
            <w:vAlign w:val="bottom"/>
          </w:tcPr>
          <w:p>
            <w:pPr>
              <w:spacing w:after="0"/>
              <w:rPr>
                <w:sz w:val="1"/>
                <w:szCs w:val="1"/>
                <w:color w:val="auto"/>
              </w:rPr>
            </w:pPr>
          </w:p>
        </w:tc>
      </w:tr>
      <w:tr>
        <w:trPr>
          <w:trHeight w:val="213"/>
        </w:trPr>
        <w:tc>
          <w:tcPr>
            <w:tcW w:w="4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440" w:type="dxa"/>
            <w:vAlign w:val="bottom"/>
          </w:tcPr>
          <w:p>
            <w:pPr>
              <w:spacing w:after="0"/>
              <w:rPr>
                <w:sz w:val="18"/>
                <w:szCs w:val="18"/>
                <w:color w:val="auto"/>
              </w:rPr>
            </w:pPr>
          </w:p>
        </w:tc>
        <w:tc>
          <w:tcPr>
            <w:tcW w:w="10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43,810</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37,142</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134,399</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136,345</w:t>
            </w:r>
          </w:p>
        </w:tc>
        <w:tc>
          <w:tcPr>
            <w:tcW w:w="0" w:type="dxa"/>
            <w:vAlign w:val="bottom"/>
          </w:tcPr>
          <w:p>
            <w:pPr>
              <w:spacing w:after="0"/>
              <w:rPr>
                <w:sz w:val="1"/>
                <w:szCs w:val="1"/>
                <w:color w:val="auto"/>
              </w:rPr>
            </w:pPr>
          </w:p>
        </w:tc>
      </w:tr>
      <w:tr>
        <w:trPr>
          <w:trHeight w:val="219"/>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Gross margin</w:t>
            </w:r>
          </w:p>
        </w:tc>
        <w:tc>
          <w:tcPr>
            <w:tcW w:w="4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38.2 %</w:t>
            </w: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28.8 %</w:t>
            </w:r>
          </w:p>
        </w:tc>
        <w:tc>
          <w:tcPr>
            <w:tcW w:w="100" w:type="dxa"/>
            <w:vAlign w:val="bottom"/>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37.1 %</w:t>
            </w: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35.6 %</w:t>
            </w:r>
          </w:p>
        </w:tc>
        <w:tc>
          <w:tcPr>
            <w:tcW w:w="0" w:type="dxa"/>
            <w:vAlign w:val="bottom"/>
          </w:tcPr>
          <w:p>
            <w:pPr>
              <w:spacing w:after="0"/>
              <w:rPr>
                <w:sz w:val="1"/>
                <w:szCs w:val="1"/>
                <w:color w:val="auto"/>
              </w:rPr>
            </w:pPr>
          </w:p>
        </w:tc>
      </w:tr>
    </w:tbl>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EBITDA</w:t>
      </w:r>
    </w:p>
    <w:p>
      <w:pPr>
        <w:spacing w:after="0" w:line="14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decrease in Adjusted EBITDA for the three and nine months ended September 30, 2024, as compared to the prior year period, was primarily driven by declines in gross profit in the ongoing wholesale and retail operations and through restructuring and disposal activity, partially offset by improved leverage of revenues across selling, general, and administrative expenses such as facility costs, salary costs, and benefit costs.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future financial results are subject to significant potential fluctuations caused by, among other things, growth of sales volume in new and existing markets and our ability to control operating expenses. In addition, our financial results may be impacted significantly by changes to the regulatory environment in which we operate, on a local, state, and federal level.</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primary need for liquidity is to fund working capital requirements of our business, capital expenditures and for general corporate purposes. Historically, we have relied on external financing as our primary source of liquidity. Our ability to fund our operations and to make capital expenditures depends on our ability to successfully secure financing through issuance of debt or equity, as well as our ability to improve our future operating performance and cash flows, which are subject to prevailing economic conditions and financial, business and other factors, some of which are beyond our control.</w:t>
      </w:r>
    </w:p>
    <w:p>
      <w:pPr>
        <w:spacing w:after="0" w:line="11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We are currently meeting our obligations and are earning revenues from our operations. However, we have sustained losses since inception and may require additional capital in the future. We estimate that based on our current business operations and working capital, we will continue to meet our obligations in the short term. As we continue to focus on profitability, we endeavor to remain opportunistic on growth through expansion or acquisition, therefore our cash flow requirements and obligations could materially change. As of September 30, 2024, we did not have any significant external capital requirements.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Financing Transactions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September 2023 Offering</w:t>
      </w:r>
    </w:p>
    <w:p>
      <w:pPr>
        <w:spacing w:after="0" w:line="1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September 18, 2023, the Company entered into subscription agreements with the September 2023 Investors for the purchase and sale of 22,244,210 September 2023 Units at a price of C$1.52 per September 2023 Unit pursuant to a private placement, for aggregate gross proceeds of approximately C$33.8 million or approximately $25 million. Each September 2023 Unit consists of one Common Share (or Common Share equivalent) and one half of one September 2023 Warrant that entitles the holder to acquire one Common Share at a price of C$1.96 per Common Share, a 29% premium to issue, for a period of three years following the closing of the Initial Tranche. The Initial Tranche consisted of an aggregate of 21,887,240 Common Shares, 11,122,105 September 2023 Warrants and 356,970 September 2023 Pre-Funded Warrants that provide the holder the right to purchase one Common Share at an exercise price of C$0.0001 per Common Share. The September 2023 Offering closed on September 21, 2023.</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used the proceeds from the September 2023 Offering to reduce its outstanding indebtedness.</w:t>
      </w:r>
    </w:p>
    <w:p>
      <w:pPr>
        <w:spacing w:after="0" w:line="1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September 2023 Investors had the option to purchase $25 million in additional September 2023 Units at a price equal to the Issue Price, upon written notice to the Company at any time up to November 2, 2023, which was not exercised. In connection with the September 2023 Offering, the Company and the September 2023 Investors entered into a customary registration rights agreement, pursuant to which the Company filed a registration statement on Form S-1 on October 17, 2023 to register the resale of the Common Shares underlying the September 2023 Units. The September 2023 Units were subject to limited lock-up requirements.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January 2024 Debt Exchange</w:t>
      </w:r>
    </w:p>
    <w:p>
      <w:pPr>
        <w:spacing w:after="0" w:line="14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22, 2024, the Company entered into an exchange agreement, as amended on June 30, 2024 and September 30, 2024 (the “Exchange Agreement”), with certain holders (the “Holders”) of the Company’s 6.0% senior secured 2025 Convertible Notes, pursuant to which the Company agreed to repurchase (the “Repurchase”) of up to $25 million principal amount of the 2025 Convertible Notes in exchange for Common Shares.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terms of the Exchange Agreement, the Holders shall:</w:t>
      </w:r>
    </w:p>
    <w:p>
      <w:pPr>
        <w:spacing w:after="0" w:line="158" w:lineRule="exact"/>
        <w:rPr>
          <w:sz w:val="20"/>
          <w:szCs w:val="20"/>
          <w:color w:val="auto"/>
        </w:rPr>
      </w:pPr>
    </w:p>
    <w:p>
      <w:pPr>
        <w:jc w:val="both"/>
        <w:ind w:left="2280" w:hanging="1157"/>
        <w:spacing w:after="0" w:line="261" w:lineRule="auto"/>
        <w:tabs>
          <w:tab w:leader="none" w:pos="2269" w:val="left"/>
        </w:tabs>
        <w:numPr>
          <w:ilvl w:val="0"/>
          <w:numId w:val="1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by January 31, 2024, transfer $5 million principal amount of 2024 Convertible Notes in consideration of Common Shares issued at a price per Common Share equal to the greater of C$0.41 per Common Share and the 12.5% discount to the 5-day volume weighted average price of the Common Shares (the “Initial Exchange Price”) on Cboe prior to receipt of a Transfer notice;</w:t>
      </w:r>
    </w:p>
    <w:p>
      <w:pPr>
        <w:spacing w:after="0" w:line="98" w:lineRule="exact"/>
        <w:rPr>
          <w:rFonts w:ascii="Times New Roman" w:cs="Times New Roman" w:eastAsia="Times New Roman" w:hAnsi="Times New Roman"/>
          <w:sz w:val="18"/>
          <w:szCs w:val="18"/>
          <w:color w:val="231F20"/>
        </w:rPr>
      </w:pPr>
    </w:p>
    <w:p>
      <w:pPr>
        <w:jc w:val="both"/>
        <w:ind w:left="2280" w:hanging="1157"/>
        <w:spacing w:after="0" w:line="266" w:lineRule="auto"/>
        <w:tabs>
          <w:tab w:leader="none" w:pos="2269" w:val="left"/>
        </w:tabs>
        <w:numPr>
          <w:ilvl w:val="0"/>
          <w:numId w:val="1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provided that the five-day volume weighted average price of the Common Shares on the Cboe is greater than C$0.47 as of the close of trading at 4:01pm on January 31, 2024, transfer $5 million principal amount of 2025 Convertible Notes in consideration of Common Shares issued at the Initial Exchange Price on or prior to February 29, 2024; and</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2280" w:hanging="1138"/>
        <w:spacing w:after="0" w:line="254" w:lineRule="auto"/>
        <w:tabs>
          <w:tab w:leader="none" w:pos="227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that the February Exchange is completed and the daily volume weighted average price of the Common Shares on Cboe is greater than C$0.87 for 5 consecutive trading days, provided that, the trading volume of the Common Shares on Cboe was equal to or greater than 600,000 Common Shares on the applicable trading dates, from the period commencing on January 1, 2024 and ending on December 31, 2024, transfer in three separate equal tranches, an aggregate of $15 million principal amount of 2025 Convertible Notes in consideration of Common Shares issued at a price per Common Share equal to the greater of C$0.57 per Common Share and the 12.5% discount to the 5-day volume weighted average price of the Common Shares on Cboe prior to receipt of a Transfer notice, in each case, subject to adjustment in certain instances, on or prior to December 31, 2024.</w:t>
      </w:r>
    </w:p>
    <w:p>
      <w:pPr>
        <w:spacing w:after="0" w:line="340"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In the event the conditions are fulfilled and the Holders fail to Transfer their 2025 Convertible Notes in accordance with the terms of the Exchange Agreement, the Company has the right, but not the obligation, to require the Holders to Transfer some or all of the portion of the $25 million principal amount of 2025 Convertible Notes still held by the Holders. Assuming all of the conditions are fulfilled, and the entire $25 million principal amount of 2025 Convertible Notes are Transferred for Common Shares issued at the minimum prices set out in the Exchange Agreement, a maximum of 68,564,698 Common Shares would be issued in connection with the Repurchase. Through September 30, 2024, $10 million of the potential $25 million exchange has been completed, with $15 million remaining available for exchange, $5 million principal amount of Notes were separately exchanged into the Company 2027 Notes, as described immediately below.</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2027 Convertible Notes</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19, 2024, the Company closed a private placement (the “March 2024 Private Placement”) of $25,750 aggregate principal amount of 9.0% senior-secured first-lien notes due 2027 (the “2027 Notes”) and received aggregate gross proceeds of $15,600. The 2027 Notes are senior secured obligations of the Company and were issued at 80.0% of face value. The 2027 Notes accrue interest in arrears which is payable semi-annually and mature on March 19, 2027. In connection with the offering of the 2027 Notes, the Company exchanged $5,000 of the Company’s existing 6.0% 2025 Convertible Notes.</w:t>
      </w:r>
    </w:p>
    <w:p>
      <w:pPr>
        <w:spacing w:after="0" w:line="1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determined that the 2027 Notes represent an obligation to issue a fixed number of shares for a fixed amount of liability. In accordance with ASC 480 – Distinguishing Liabilities from Equity, a conversion feature within a financial instrument to issue a variable number of equity units fails to meet the definition of equity. Accordingly, such a conversion feature must be accounted for as an embedded derivative liability and measured at fair value with changes in fair value recognized in the consolidated statements of operations. Upon initial recognition, the Company recorded a derivative liability of $2,362 within other long-term liabilities in the consolidated balance sheets and a corresponding debt premium and debt issuance costs of $5,952, reflected as a reduction to the carrying value of the 2027 Notes. The Company fair values the derivative liability at each balance sheet date. Changes in fair value of the embedded derivative are recognized in the condensed consolidated statements of operations and comprehensive loss. The debt premium and debt issuance costs is amortized over the term of the 2027 Notes.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Mortgages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August 10, 2023, the Company entered into two term loans and security agreements with a bank as follows:</w:t>
      </w:r>
    </w:p>
    <w:p>
      <w:pPr>
        <w:spacing w:after="0" w:line="158" w:lineRule="exact"/>
        <w:rPr>
          <w:sz w:val="20"/>
          <w:szCs w:val="20"/>
          <w:color w:val="auto"/>
        </w:rPr>
      </w:pPr>
    </w:p>
    <w:p>
      <w:pPr>
        <w:jc w:val="both"/>
        <w:ind w:left="2280" w:hanging="1138"/>
        <w:spacing w:after="0" w:line="261" w:lineRule="auto"/>
        <w:tabs>
          <w:tab w:leader="none" w:pos="227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agreement provides for a $6,250 mortgage on real property in Maryland and carries interest at a variable rate per annum equal to the Index plus 2.25%. The debt is repayable in 59 monthly installments and a final balloon payment due on September 1, 2028, which is estimated at $5,937 as of September 30, 2024. In connection with this mortgage, the Company incurred financing costs of $195 and netted $2,903 after the repayment of a prior outstanding mortgage on the property.</w:t>
      </w:r>
    </w:p>
    <w:p>
      <w:pPr>
        <w:spacing w:after="0" w:line="98" w:lineRule="exact"/>
        <w:rPr>
          <w:rFonts w:ascii="Times New Roman" w:cs="Times New Roman" w:eastAsia="Times New Roman" w:hAnsi="Times New Roman"/>
          <w:sz w:val="18"/>
          <w:szCs w:val="18"/>
          <w:color w:val="auto"/>
        </w:rPr>
      </w:pPr>
    </w:p>
    <w:p>
      <w:pPr>
        <w:jc w:val="both"/>
        <w:ind w:left="2280" w:hanging="1138"/>
        <w:spacing w:after="0" w:line="261" w:lineRule="auto"/>
        <w:tabs>
          <w:tab w:leader="none" w:pos="227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agreement provides for a $1,800 mortgage on real property in Delaware and carries interest at a variable rate per annum equal to the Index plus 2.25%. The debt is repayable in 59 monthly installments and a final balloon payment due on September 1, 2028, which is estimated at $1,710 as of September 30, 2024. In connection with this mortgage, the Company incurred financing costs of $77 and netted $1,723.</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sources and uses of cash for each of the periods presented:</w:t>
      </w:r>
    </w:p>
    <w:p>
      <w:pPr>
        <w:spacing w:after="0" w:line="201" w:lineRule="exact"/>
        <w:rPr>
          <w:sz w:val="20"/>
          <w:szCs w:val="20"/>
          <w:color w:val="auto"/>
        </w:rPr>
      </w:pPr>
    </w:p>
    <w:tbl>
      <w:tblPr>
        <w:tblLayout w:type="fixed"/>
        <w:tblInd w:w="1140" w:type="dxa"/>
        <w:tblCellMar>
          <w:top w:w="0" w:type="dxa"/>
          <w:left w:w="0" w:type="dxa"/>
          <w:bottom w:w="0" w:type="dxa"/>
          <w:right w:w="0" w:type="dxa"/>
        </w:tblCellMar>
      </w:tblPr>
      <w:tr>
        <w:trPr>
          <w:trHeight w:val="215"/>
        </w:trPr>
        <w:tc>
          <w:tcPr>
            <w:tcW w:w="584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3"/>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700" w:type="dxa"/>
            <w:vAlign w:val="bottom"/>
            <w:tcBorders>
              <w:bottom w:val="single" w:sz="8" w:color="auto"/>
            </w:tcBorders>
          </w:tcPr>
          <w:p>
            <w:pPr>
              <w:spacing w:after="0"/>
              <w:rPr>
                <w:sz w:val="18"/>
                <w:szCs w:val="18"/>
                <w:color w:val="auto"/>
              </w:rPr>
            </w:pPr>
          </w:p>
        </w:tc>
      </w:tr>
      <w:tr>
        <w:trPr>
          <w:trHeight w:val="211"/>
        </w:trPr>
        <w:tc>
          <w:tcPr>
            <w:tcW w:w="5840" w:type="dxa"/>
            <w:vAlign w:val="bottom"/>
          </w:tcPr>
          <w:p>
            <w:pPr>
              <w:spacing w:after="0"/>
              <w:rPr>
                <w:sz w:val="18"/>
                <w:szCs w:val="18"/>
                <w:color w:val="auto"/>
              </w:rPr>
            </w:pPr>
          </w:p>
        </w:tc>
        <w:tc>
          <w:tcPr>
            <w:tcW w:w="162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 2023</w:t>
            </w:r>
          </w:p>
        </w:tc>
      </w:tr>
      <w:tr>
        <w:trPr>
          <w:trHeight w:val="211"/>
        </w:trPr>
        <w:tc>
          <w:tcPr>
            <w:tcW w:w="584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500" w:type="dxa"/>
            <w:vAlign w:val="bottom"/>
            <w:tcBorders>
              <w:top w:val="single" w:sz="8" w:color="auto"/>
            </w:tcBorders>
            <w:shd w:val="clear" w:color="auto" w:fill="CFF0FC"/>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(27,674)</w:t>
            </w:r>
          </w:p>
        </w:tc>
        <w:tc>
          <w:tcPr>
            <w:tcW w:w="10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jc w:val="right"/>
              <w:ind w:right="6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(1,909)</w:t>
            </w:r>
          </w:p>
        </w:tc>
      </w:tr>
      <w:tr>
        <w:trPr>
          <w:trHeight w:val="213"/>
        </w:trPr>
        <w:tc>
          <w:tcPr>
            <w:tcW w:w="5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provided by investing activities</w:t>
            </w: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30,285</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21,938</w:t>
            </w:r>
          </w:p>
        </w:tc>
      </w:tr>
      <w:tr>
        <w:trPr>
          <w:trHeight w:val="219"/>
        </w:trPr>
        <w:tc>
          <w:tcPr>
            <w:tcW w:w="5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5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(6,878)</w:t>
            </w:r>
          </w:p>
        </w:tc>
        <w:tc>
          <w:tcPr>
            <w:tcW w:w="100" w:type="dxa"/>
            <w:vAlign w:val="bottom"/>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(5,927)</w:t>
            </w:r>
          </w:p>
        </w:tc>
      </w:tr>
      <w:tr>
        <w:trPr>
          <w:trHeight w:val="207"/>
        </w:trPr>
        <w:tc>
          <w:tcPr>
            <w:tcW w:w="5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decrease in cash</w:t>
            </w:r>
          </w:p>
        </w:tc>
        <w:tc>
          <w:tcPr>
            <w:tcW w:w="5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(4,267)</w:t>
            </w:r>
          </w:p>
        </w:tc>
        <w:tc>
          <w:tcPr>
            <w:tcW w:w="100" w:type="dxa"/>
            <w:vAlign w:val="bottom"/>
          </w:tcPr>
          <w:p>
            <w:pPr>
              <w:spacing w:after="0"/>
              <w:rPr>
                <w:sz w:val="17"/>
                <w:szCs w:val="17"/>
                <w:color w:val="auto"/>
              </w:rPr>
            </w:pPr>
          </w:p>
        </w:tc>
        <w:tc>
          <w:tcPr>
            <w:tcW w:w="80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14,102</w:t>
            </w:r>
          </w:p>
        </w:tc>
      </w:tr>
      <w:tr>
        <w:trPr>
          <w:trHeight w:val="23"/>
        </w:trPr>
        <w:tc>
          <w:tcPr>
            <w:tcW w:w="58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bl>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3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nine months ended September 30, 2024, operating activities used $27,674 of cash, primarily resulting from a net loss of $49,974, deferred taxes of $2,723, legal settlement of $1,108 gain on deconsolidation of subsidiary of $39,821, and equity-based compensation expense of $2,588; this was partially offset by depreciation and amortization of $39,314, debt amortization expense of $6,794, provision for obsolete inventory of $5,671, change in fair value of derivative liability of $2,329, change in fair value of investment of $4,195, other items of $957, and net change in operating assets and liabilities of $9,280. The net change in operating assets and liabilities was primarily due to an increase in accounts receivable of $3,406, inventory of $11,566, prepaid expenses and other current assets of $4,255, notes receivable of $314, other assets of $1,388, decrease in accounts payable of $543, and accrued expenses and other current liabilities of $11,281. This was partially offset by an increase in income tax payable of $38,583 and other long term liabilities of $3,450.</w:t>
      </w:r>
    </w:p>
    <w:p>
      <w:pPr>
        <w:spacing w:after="0" w:line="3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2023, operating activities used $1,909 of cash, primarily resulting from a net loss of $101,789 and a change in deferred taxes of $6,475; this was partially offset by depreciation and amortization of $47,607, equity-based compensation expense of $18,304, loss on disposal group of $10,750, loss on deconsolidation of subsidiary of $2,473, change in fair value of Derivative liability of $55, debt amortization expense of $7,366, provision for obsolete inventory and other assets of $8,126, other items of $646, and net changes in operating assets and liabilities of $11,028.</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389"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18"/>
          <w:szCs w:val="18"/>
          <w:color w:val="auto"/>
        </w:rPr>
        <w:t>During the nine months ended September 30, 2024, investing activities provided $30,285 of cash mainly due to the proceeds from the sale of the Utah, Arizona, and Eastern Virginia businesses of $34,371, cash paid on deposits, net of $268 and proceeds from sale of license of $329. This was partially offset by purchases of property and equipment of $4,147,and cash paid on deposits, net of $268</w:t>
      </w:r>
    </w:p>
    <w:p>
      <w:pPr>
        <w:spacing w:after="0" w:line="3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2023, investing activities provided $21,938 of cash mainly due to proceeds from sale of property and equipment of $3,189, proceeds for stock issuance of $23,872, proceeds from deconsolidation of Missouri entity of $3,040, and net cash received on deposits of $97. This was partially offset by cash used in purchases of property and equipment of $8,260.</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4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2024, financing activities used $6,878 of cash, mainly due to repayments of debt of $13,228, payment of lease liabilities of $5,323, payment of debt issuance costs of $802, repayment of sellers note of $1,119, taxes paid on equity based compensation of $1,255, distributions of $333, and repayment of mortgage notes of $418. This was partially offset by proceeds from issuance of convertible debt of $15,600.</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2023, financing activities used $5,927 of cash, mainly due to the payment of lease liabilities of $6,153, payment of debt issuance costs of $802, distributions to non-controlling interest holders of $431, taxes paid on equity-based compensation of $456, repayment of a seller's note of $1,125, and repayment of debt of $5,592. This was partially offset by cash provided by issuance of mortgage of $8,050.</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contractual obligations as of September 30, 2024 and the effects that such obligations are expected to have on our liquidity and cash flows in future periods: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00" w:type="dxa"/>
            <w:vAlign w:val="bottom"/>
            <w:gridSpan w:val="6"/>
          </w:tcPr>
          <w:p>
            <w:pPr>
              <w:jc w:val="center"/>
              <w:ind w:left="479"/>
              <w:spacing w:after="0"/>
              <w:rPr>
                <w:sz w:val="20"/>
                <w:szCs w:val="20"/>
                <w:color w:val="auto"/>
              </w:rPr>
            </w:pPr>
            <w:r>
              <w:rPr>
                <w:rFonts w:ascii="Times New Roman" w:cs="Times New Roman" w:eastAsia="Times New Roman" w:hAnsi="Times New Roman"/>
                <w:sz w:val="16"/>
                <w:szCs w:val="16"/>
                <w:b w:val="1"/>
                <w:bCs w:val="1"/>
                <w:color w:val="auto"/>
              </w:rPr>
              <w:t>Payments Due by Period</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5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3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spacing w:after="0"/>
              <w:rPr>
                <w:sz w:val="15"/>
                <w:szCs w:val="15"/>
                <w:color w:val="auto"/>
              </w:rPr>
            </w:pPr>
          </w:p>
        </w:tc>
        <w:tc>
          <w:tcPr>
            <w:tcW w:w="1000" w:type="dxa"/>
            <w:vAlign w:val="bottom"/>
            <w:gridSpan w:val="2"/>
          </w:tcPr>
          <w:p>
            <w:pPr>
              <w:jc w:val="center"/>
              <w:ind w:right="180"/>
              <w:spacing w:after="0" w:line="181" w:lineRule="exact"/>
              <w:rPr>
                <w:sz w:val="20"/>
                <w:szCs w:val="20"/>
                <w:color w:val="auto"/>
              </w:rPr>
            </w:pPr>
            <w:r>
              <w:rPr>
                <w:rFonts w:ascii="Times New Roman" w:cs="Times New Roman" w:eastAsia="Times New Roman" w:hAnsi="Times New Roman"/>
                <w:sz w:val="16"/>
                <w:szCs w:val="16"/>
                <w:b w:val="1"/>
                <w:bCs w:val="1"/>
                <w:color w:val="auto"/>
              </w:rPr>
              <w:t>Less than 1</w:t>
            </w:r>
          </w:p>
        </w:tc>
        <w:tc>
          <w:tcPr>
            <w:tcW w:w="200" w:type="dxa"/>
            <w:vAlign w:val="bottom"/>
          </w:tcPr>
          <w:p>
            <w:pPr>
              <w:spacing w:after="0"/>
              <w:rPr>
                <w:sz w:val="15"/>
                <w:szCs w:val="15"/>
                <w:color w:val="auto"/>
              </w:rPr>
            </w:pPr>
          </w:p>
        </w:tc>
        <w:tc>
          <w:tcPr>
            <w:tcW w:w="92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Year 1</w:t>
            </w:r>
          </w:p>
        </w:tc>
        <w:tc>
          <w:tcPr>
            <w:tcW w:w="180" w:type="dxa"/>
            <w:vAlign w:val="bottom"/>
          </w:tcPr>
          <w:p>
            <w:pPr>
              <w:spacing w:after="0"/>
              <w:rPr>
                <w:sz w:val="15"/>
                <w:szCs w:val="15"/>
                <w:color w:val="auto"/>
              </w:rPr>
            </w:pPr>
          </w:p>
        </w:tc>
        <w:tc>
          <w:tcPr>
            <w:tcW w:w="9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6"/>
              </w:rPr>
              <w:t>Year 2</w:t>
            </w:r>
          </w:p>
        </w:tc>
        <w:tc>
          <w:tcPr>
            <w:tcW w:w="280" w:type="dxa"/>
            <w:vAlign w:val="bottom"/>
          </w:tcPr>
          <w:p>
            <w:pPr>
              <w:spacing w:after="0"/>
              <w:rPr>
                <w:sz w:val="15"/>
                <w:szCs w:val="15"/>
                <w:color w:val="auto"/>
              </w:rPr>
            </w:pPr>
          </w:p>
        </w:tc>
        <w:tc>
          <w:tcPr>
            <w:tcW w:w="8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Year 3</w:t>
            </w:r>
          </w:p>
        </w:tc>
        <w:tc>
          <w:tcPr>
            <w:tcW w:w="200" w:type="dxa"/>
            <w:vAlign w:val="bottom"/>
          </w:tcPr>
          <w:p>
            <w:pPr>
              <w:spacing w:after="0"/>
              <w:rPr>
                <w:sz w:val="15"/>
                <w:szCs w:val="15"/>
                <w:color w:val="auto"/>
              </w:rPr>
            </w:pPr>
          </w:p>
        </w:tc>
        <w:tc>
          <w:tcPr>
            <w:tcW w:w="9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Year 4</w:t>
            </w:r>
          </w:p>
        </w:tc>
        <w:tc>
          <w:tcPr>
            <w:tcW w:w="120" w:type="dxa"/>
            <w:vAlign w:val="bottom"/>
          </w:tcPr>
          <w:p>
            <w:pPr>
              <w:spacing w:after="0"/>
              <w:rPr>
                <w:sz w:val="15"/>
                <w:szCs w:val="15"/>
                <w:color w:val="auto"/>
              </w:rPr>
            </w:pPr>
          </w:p>
        </w:tc>
        <w:tc>
          <w:tcPr>
            <w:tcW w:w="900" w:type="dxa"/>
            <w:vAlign w:val="bottom"/>
          </w:tcPr>
          <w:p>
            <w:pPr>
              <w:jc w:val="right"/>
              <w:ind w:right="59"/>
              <w:spacing w:after="0" w:line="181" w:lineRule="exact"/>
              <w:rPr>
                <w:sz w:val="20"/>
                <w:szCs w:val="20"/>
                <w:color w:val="auto"/>
              </w:rPr>
            </w:pPr>
            <w:r>
              <w:rPr>
                <w:rFonts w:ascii="Times New Roman" w:cs="Times New Roman" w:eastAsia="Times New Roman" w:hAnsi="Times New Roman"/>
                <w:sz w:val="16"/>
                <w:szCs w:val="16"/>
                <w:b w:val="1"/>
                <w:bCs w:val="1"/>
                <w:color w:val="auto"/>
                <w:w w:val="97"/>
              </w:rPr>
              <w:t>Year 5 and</w:t>
            </w:r>
          </w:p>
        </w:tc>
        <w:tc>
          <w:tcPr>
            <w:tcW w:w="0" w:type="dxa"/>
            <w:vAlign w:val="bottom"/>
          </w:tcPr>
          <w:p>
            <w:pPr>
              <w:spacing w:after="0"/>
              <w:rPr>
                <w:sz w:val="1"/>
                <w:szCs w:val="1"/>
                <w:color w:val="auto"/>
              </w:rPr>
            </w:pPr>
          </w:p>
        </w:tc>
      </w:tr>
      <w:tr>
        <w:trPr>
          <w:trHeight w:val="225"/>
        </w:trPr>
        <w:tc>
          <w:tcPr>
            <w:tcW w:w="35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year</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beyond</w:t>
            </w:r>
          </w:p>
        </w:tc>
        <w:tc>
          <w:tcPr>
            <w:tcW w:w="0" w:type="dxa"/>
            <w:vAlign w:val="bottom"/>
          </w:tcPr>
          <w:p>
            <w:pPr>
              <w:spacing w:after="0"/>
              <w:rPr>
                <w:sz w:val="1"/>
                <w:szCs w:val="1"/>
                <w:color w:val="auto"/>
              </w:rPr>
            </w:pPr>
          </w:p>
        </w:tc>
      </w:tr>
      <w:tr>
        <w:trPr>
          <w:trHeight w:val="216"/>
        </w:trPr>
        <w:tc>
          <w:tcPr>
            <w:tcW w:w="3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Lease commitments</w:t>
            </w:r>
          </w:p>
        </w:tc>
        <w:tc>
          <w:tcPr>
            <w:tcW w:w="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277,295</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7,281</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26,826</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25,308</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24,596</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22,249</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171,035</w:t>
            </w:r>
          </w:p>
        </w:tc>
        <w:tc>
          <w:tcPr>
            <w:tcW w:w="0" w:type="dxa"/>
            <w:vAlign w:val="bottom"/>
          </w:tcPr>
          <w:p>
            <w:pPr>
              <w:spacing w:after="0"/>
              <w:rPr>
                <w:sz w:val="1"/>
                <w:szCs w:val="1"/>
                <w:color w:val="auto"/>
              </w:rPr>
            </w:pPr>
          </w:p>
        </w:tc>
      </w:tr>
      <w:tr>
        <w:trPr>
          <w:trHeight w:val="213"/>
        </w:trPr>
        <w:tc>
          <w:tcPr>
            <w:tcW w:w="3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Sale-leaseback commitments</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213,764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10,407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10,743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11,090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11,449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167,528</w:t>
            </w:r>
          </w:p>
        </w:tc>
        <w:tc>
          <w:tcPr>
            <w:tcW w:w="0" w:type="dxa"/>
            <w:vAlign w:val="bottom"/>
          </w:tcPr>
          <w:p>
            <w:pPr>
              <w:spacing w:after="0"/>
              <w:rPr>
                <w:sz w:val="1"/>
                <w:szCs w:val="1"/>
                <w:color w:val="auto"/>
              </w:rPr>
            </w:pPr>
          </w:p>
        </w:tc>
      </w:tr>
      <w:tr>
        <w:trPr>
          <w:trHeight w:val="219"/>
        </w:trPr>
        <w:tc>
          <w:tcPr>
            <w:tcW w:w="3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2026 Notes</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185,000</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185,000</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on 2025 notes and 2026 notes</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30,805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17,575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8,788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3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Convertible debt (principal)</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85,050</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59,500</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25,550</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on convertible debt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4,085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3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Mortgage notes (principal)</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43,082</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653</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16,459</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18,100</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7,714</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Mortgage notes (interest)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13,008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4,640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3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Closing promissory note (principal)</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381</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381</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Closing promissory note (interest)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4"/>
        </w:trPr>
        <w:tc>
          <w:tcPr>
            <w:tcW w:w="358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Total contractual obligations</w:t>
            </w:r>
          </w:p>
        </w:tc>
        <w:tc>
          <w:tcPr>
            <w:tcW w:w="200" w:type="dxa"/>
            <w:vAlign w:val="bottom"/>
            <w:tcBorders>
              <w:top w:val="single" w:sz="8" w:color="auto"/>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856,824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17,455</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123,686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253,162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81,916</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42,042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338,563</w:t>
            </w:r>
          </w:p>
        </w:tc>
        <w:tc>
          <w:tcPr>
            <w:tcW w:w="0" w:type="dxa"/>
            <w:vAlign w:val="bottom"/>
          </w:tcPr>
          <w:p>
            <w:pPr>
              <w:spacing w:after="0"/>
              <w:rPr>
                <w:sz w:val="1"/>
                <w:szCs w:val="1"/>
                <w:color w:val="auto"/>
              </w:rPr>
            </w:pPr>
          </w:p>
        </w:tc>
      </w:tr>
      <w:tr>
        <w:trPr>
          <w:trHeight w:val="20"/>
        </w:trPr>
        <w:tc>
          <w:tcPr>
            <w:tcW w:w="35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8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bottom w:val="single" w:sz="8" w:color="auto"/>
            </w:tcBorders>
          </w:tcPr>
          <w:p>
            <w:pPr>
              <w:spacing w:after="0" w:line="20" w:lineRule="exact"/>
              <w:rPr>
                <w:sz w:val="1"/>
                <w:szCs w:val="1"/>
                <w:color w:val="auto"/>
              </w:rPr>
            </w:pPr>
          </w:p>
        </w:tc>
        <w:tc>
          <w:tcPr>
            <w:tcW w:w="92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8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bottom w:val="single" w:sz="8" w:color="auto"/>
            </w:tcBorders>
          </w:tcPr>
          <w:p>
            <w:pPr>
              <w:spacing w:after="0" w:line="20" w:lineRule="exact"/>
              <w:rPr>
                <w:sz w:val="1"/>
                <w:szCs w:val="1"/>
                <w:color w:val="auto"/>
              </w:rPr>
            </w:pPr>
          </w:p>
        </w:tc>
        <w:tc>
          <w:tcPr>
            <w:tcW w:w="8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bottom w:val="single" w:sz="8" w:color="auto"/>
            </w:tcBorders>
          </w:tcPr>
          <w:p>
            <w:pPr>
              <w:spacing w:after="0" w:line="20" w:lineRule="exact"/>
              <w:rPr>
                <w:sz w:val="1"/>
                <w:szCs w:val="1"/>
                <w:color w:val="auto"/>
              </w:rPr>
            </w:pPr>
          </w:p>
        </w:tc>
        <w:tc>
          <w:tcPr>
            <w:tcW w:w="74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8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bottom w:val="single" w:sz="8" w:color="auto"/>
            </w:tcBorders>
          </w:tcPr>
          <w:p>
            <w:pPr>
              <w:spacing w:after="0" w:line="20" w:lineRule="exact"/>
              <w:rPr>
                <w:sz w:val="1"/>
                <w:szCs w:val="1"/>
                <w:color w:val="auto"/>
              </w:rPr>
            </w:pPr>
          </w:p>
        </w:tc>
        <w:tc>
          <w:tcPr>
            <w:tcW w:w="90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above table excludes purchase orders for inventory in the normal course of business.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Effects of Inflation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Rising inflation rates have had a substantial impact on our financial performance to date and may have an impact on our financial performance in the future as our ability to pass on an increase in costs is not entirely within our control.</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make judgements, estimates and assumptions about the future that affect assets and liabilities, and revenues and expenses. Actual results may differ from these estimates. The estimates and underlying assumptions are reviewed on an ongoing basis. Revisions to accounting estimates are recognized in the period in which the estimate is revised if the revision affects only that period or in the period of the revision and future periods if the review affects both current and future periods.</w:t>
      </w:r>
    </w:p>
    <w:p>
      <w:pPr>
        <w:spacing w:after="0" w:line="1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Judgements, estimates, and assumptions with the most significant effect on the amounts recognized in the consolidated financial statements are described below.</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INSTRUMENTS AND FINANCIAL RISK MANAGEMENT</w:t>
      </w:r>
    </w:p>
    <w:p>
      <w:pPr>
        <w:spacing w:after="0" w:line="1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financial instruments consist of cash and cash equivalents, accounts receivable, notes receivable, deposits and other current assets, accounts payable, accrued expenses, current taxes payable and other current liabilities like interest payable and payroll liabilities, derivative liability, debt, and lease liabilities. The fair values of cash and restricted cash, accounts and notes receivable, deposits, accounts payable and accrued expenses and other current liabilities like interest payable and payroll liabilities, short-term debt and lease liabilities approximate their carrying values due to the relatively short-term to maturity or because of the market rate of interest used on initial recognition. The Cannabist Company classifies its derivative liability as fair value through profit and loss (FVTPL).</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instruments recorded at fair value are classified using a fair value hierarchy that reflects the significance of the inputs to fair value measurements.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three levels of fair value contained within the hierarchy are:</w:t>
      </w:r>
    </w:p>
    <w:p>
      <w:pPr>
        <w:spacing w:after="0" w:line="13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Level 1 – Unadjusted quoted prices in active markets for identical assets or liabilities;</w:t>
      </w:r>
    </w:p>
    <w:p>
      <w:pPr>
        <w:spacing w:after="0" w:line="144"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Level 2 – Inputs other than quoted prices that are observable for the asset or liability, either directly or indirectly; and</w:t>
      </w:r>
    </w:p>
    <w:p>
      <w:pPr>
        <w:spacing w:after="0" w:line="15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Level 3 – Inputs for the asset or liability that are not based on observable market data.</w:t>
      </w:r>
    </w:p>
    <w:p>
      <w:pPr>
        <w:spacing w:after="0" w:line="15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assets measured at fair value on a nonrecurring basis include investments, assets and liabilities held for sale, long-lived assets, and indefinite-lived intangible assets. We review the carrying amounts of such assets whenever events or changes in</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circumstances indicate that the carrying amounts may not be recoverable or at least annually, for indefinite-lived intangible assets. Any resulting asset impairment would require that the asset be recorded at its fair value. The resulting fair value measurements of the assets are considered Level 3 measurements.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Risk Management</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are exposed, in varying degrees, to a variety of financial instrument related risks. Our risk exposures and the impact on our financial instruments is summarized below:</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Risk</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Credit risk is the risk of a potential loss to us if a customer or third party to a financial instrument fails to meet its contractual obligations. The maximum credit exposure at September 30, 2024 and December 31, 2023, is the carrying amount of cash and cash equivalents, subscription receivable, accounts receivable and notes receivable. We do not have significant credit risk with respect to our customers. All cash deposits are with regulated U.S. financial institutions.</w:t>
      </w:r>
    </w:p>
    <w:p>
      <w:pPr>
        <w:spacing w:after="0" w:line="1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provide credit to our customers in the normal course of business and have established credit evaluation and monitoring processes to mitigate credit risk but have limited risk as the majority of our sales are transacted with cash. Through our Cannabist Company National Credit program, we provide credit to customers in certain markets in which we operate.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 Risk</w:t>
      </w:r>
    </w:p>
    <w:p>
      <w:pPr>
        <w:spacing w:after="0" w:line="14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Liquidity risk is the risk that we will not be able to meet our financial obligations associated with financial liabilities. We manage liquidity risk through the management of our capital structure. Our approach to managing liquidity is to estimate cash requirements from operations, capital expenditures and investments and ensure that we have sufficient liquidity to fund our ongoing operations and to settle obligations and liabilities when due.</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date, we have incurred significant cumulative net losses and we have not generated positive cash flows from our operations. We have therefore depended on financing from the sale of our equity and from debt financing to fund our operations. Overall, we do not expect the net cash contribution from our operations and investments to be positive in the near term, and we therefore expect to rely on financing from equity or debt.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 Risk</w:t>
      </w:r>
    </w:p>
    <w:p>
      <w:pPr>
        <w:spacing w:after="0" w:line="14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business opportunities and challenges applicable to any business operating in a fast-growing environment, our business operates in a highly regulated and multi-jurisdictional industry, which is subject to potentially significant changes outside of our control as individual states as well as the U.S. federal government may impose restrictions on our ability to grow our business profitably or enact new laws and regulations that open up new markets.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rate risk is the risk that the fair value or future cash flows of our financial instrument will fluctuate because of changes in market interest rates. Our cash deposits bear interest at market rates.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Currency Risk</w:t>
      </w:r>
    </w:p>
    <w:p>
      <w:pPr>
        <w:spacing w:after="0" w:line="16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operating results and financial position are reported in thousands of U.S. dollars. We may enter into financial transactions denominated in other currencies, which would result in your operations and financial position becoming subject to currency transaction and translation risks.</w:t>
      </w:r>
    </w:p>
    <w:p>
      <w:pPr>
        <w:spacing w:after="0" w:line="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2024, and December 31, 2023, we had no hedging agreements in place with respect to foreign exchange rates. We have not entered into any agreements or purchased any instruments to hedge possible currency risks at this time.</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Price Risk</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Price risk is the risk of variability in fair value due to movements in equity or market prices. We are subject to the risk of price variability pursuant to our products due to competitive or regulatory pressures.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significant material changes to the market risks as disclosed in the Company’s 2023 Form 10-K. See also Financial Risk Management in Part I, Item 2 of this Form 10-Q.</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Disclosure Controls and Procedures</w:t>
      </w:r>
    </w:p>
    <w:p>
      <w:pPr>
        <w:spacing w:after="0" w:line="1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management, with the participation of the Company’s Chief Executive Officer and Chief Financial Officer, evaluated the effectiveness of the Company’s disclosure controls and procedures as of the end of the period covered by this report. Based on that evaluation, the Chief Executive Officer and Chief Financial Officer concluded that the Company’s disclosure controls and procedures (as defined in Rules 13a-15(e) and 15d-15(e) under the Securities Exchange Act of 1934, as amended) as of the end of the period covered by this report were effective to provide reasonable assurance that the information required to be disclosed by the Company in reports filed under the Securities Exchange Act of 1934, as amended, is recorded, processed, summarized, and reported within the time periods specified in the SEC’s rules and forms and that it is accumulated and communicated to management, including the Chief Executive Officer and Chief Financial Officer, as appropriate to allow timely decisions regarding required disclosure.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w:t>
      </w:r>
    </w:p>
    <w:p>
      <w:pPr>
        <w:spacing w:after="0" w:line="14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(as defined in Rules 13a-15(f) under the Securities Exchange Act of 1934, as amended) during the nine months ended September 30, 2024 that have materially affected, or are reasonably likely to materially affect, the Company’s internal control over financial reporting.</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the date of this filing, except as noted below, there have been no material changes in our risk factors from those disclosed in Part I, Item 1A, of the Company’s 2023 Form 10-K, which is incorporated by reference herein.</w:t>
      </w:r>
    </w:p>
    <w:p>
      <w:pPr>
        <w:spacing w:after="0" w:line="5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The Company’s efforts to obtain needed capital resources and sources of liquidity may not be sufficient to support its business operations and future growth strategies.</w:t>
      </w:r>
    </w:p>
    <w:p>
      <w:pPr>
        <w:spacing w:after="0" w:line="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efforts to obtain needed capital resources and sources of liquidity may not be sufficient to support its business operations and future growth strategies. In addition, the Company is required to make certain interest payments on existing debt and to meet certain cash requirements, including, without limitation, maintaining $10,000 in unrestricted cash. If the Company is unable to satisfy its liquidity and capital resource requirements, the Company may be forced to restructure its obligations to creditors, pursue work-out options or other protective measures.</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ability to obtain additional capital on acceptable terms or at all is subject to a variety of uncertainties. Adequate alternative financing may not be available or, if available, may only be available on unfavorable terms or subject to covenants that the Company may not be able to satisfy. There is no assurance that the Company will obtain the capital it requires. As a result, there can be no assurance that the Company will be able to fund its liquidity needs, future operations or growth strategies. Furthermore, the Company may incur substantial costs in pursuing future capital and financing, including investment banking fees, legal fees, accounting fees, printing and distribution expenses and other costs.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Securities and Use of Proceeds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contains information regarding purchases of Common Shares during the three months ended September 30, 2024 by or on behalf of the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or any “affiliate purchaser” as defined in Rule 10b-18(a)(3) under the Securities Exchange Act of 1934, as amended:</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80" w:type="dxa"/>
            <w:vAlign w:val="bottom"/>
          </w:tcPr>
          <w:p>
            <w:pPr>
              <w:spacing w:after="0"/>
              <w:rPr>
                <w:sz w:val="20"/>
                <w:szCs w:val="20"/>
                <w:color w:val="auto"/>
              </w:rPr>
            </w:pPr>
          </w:p>
        </w:tc>
        <w:tc>
          <w:tcPr>
            <w:tcW w:w="2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54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tc>
        <w:tc>
          <w:tcPr>
            <w:tcW w:w="1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2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2"/>
          </w:tcPr>
          <w:p>
            <w:pPr>
              <w:jc w:val="center"/>
              <w:ind w:right="80"/>
              <w:spacing w:after="0" w:line="169" w:lineRule="exact"/>
              <w:rPr>
                <w:sz w:val="20"/>
                <w:szCs w:val="20"/>
                <w:color w:val="auto"/>
              </w:rPr>
            </w:pPr>
            <w:r>
              <w:rPr>
                <w:rFonts w:ascii="Times New Roman" w:cs="Times New Roman" w:eastAsia="Times New Roman" w:hAnsi="Times New Roman"/>
                <w:sz w:val="18"/>
                <w:szCs w:val="18"/>
                <w:b w:val="1"/>
                <w:bCs w:val="1"/>
                <w:color w:val="auto"/>
                <w:w w:val="98"/>
              </w:rPr>
              <w:t>Total number of</w:t>
            </w:r>
          </w:p>
        </w:tc>
        <w:tc>
          <w:tcPr>
            <w:tcW w:w="17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Approximate dollar</w:t>
            </w:r>
          </w:p>
        </w:tc>
        <w:tc>
          <w:tcPr>
            <w:tcW w:w="0" w:type="dxa"/>
            <w:vAlign w:val="bottom"/>
          </w:tcPr>
          <w:p>
            <w:pPr>
              <w:spacing w:after="0"/>
              <w:rPr>
                <w:sz w:val="1"/>
                <w:szCs w:val="1"/>
                <w:color w:val="auto"/>
              </w:rPr>
            </w:pPr>
          </w:p>
        </w:tc>
      </w:tr>
      <w:tr>
        <w:trPr>
          <w:trHeight w:val="189"/>
        </w:trPr>
        <w:tc>
          <w:tcPr>
            <w:tcW w:w="228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gridSpan w:val="2"/>
          </w:tcPr>
          <w:p>
            <w:pPr>
              <w:jc w:val="right"/>
              <w:ind w:right="160"/>
              <w:spacing w:after="0" w:line="189" w:lineRule="exact"/>
              <w:rPr>
                <w:sz w:val="20"/>
                <w:szCs w:val="20"/>
                <w:color w:val="auto"/>
              </w:rPr>
            </w:pPr>
            <w:r>
              <w:rPr>
                <w:rFonts w:ascii="Times New Roman" w:cs="Times New Roman" w:eastAsia="Times New Roman" w:hAnsi="Times New Roman"/>
                <w:sz w:val="18"/>
                <w:szCs w:val="18"/>
                <w:b w:val="1"/>
                <w:bCs w:val="1"/>
                <w:color w:val="auto"/>
              </w:rPr>
              <w:t>shares purchased as</w:t>
            </w:r>
          </w:p>
        </w:tc>
        <w:tc>
          <w:tcPr>
            <w:tcW w:w="17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280" w:type="dxa"/>
            <w:vAlign w:val="bottom"/>
          </w:tcPr>
          <w:p>
            <w:pPr>
              <w:spacing w:after="0"/>
              <w:rPr>
                <w:sz w:val="15"/>
                <w:szCs w:val="15"/>
                <w:color w:val="auto"/>
              </w:rPr>
            </w:pPr>
          </w:p>
        </w:tc>
        <w:tc>
          <w:tcPr>
            <w:tcW w:w="24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Total number of shares</w:t>
            </w:r>
          </w:p>
        </w:tc>
        <w:tc>
          <w:tcPr>
            <w:tcW w:w="100" w:type="dxa"/>
            <w:vAlign w:val="bottom"/>
          </w:tcPr>
          <w:p>
            <w:pPr>
              <w:spacing w:after="0"/>
              <w:rPr>
                <w:sz w:val="15"/>
                <w:szCs w:val="15"/>
                <w:color w:val="auto"/>
              </w:rPr>
            </w:pPr>
          </w:p>
        </w:tc>
        <w:tc>
          <w:tcPr>
            <w:tcW w:w="1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Average price paid</w:t>
            </w:r>
          </w:p>
        </w:tc>
        <w:tc>
          <w:tcPr>
            <w:tcW w:w="176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part of publicly</w:t>
            </w:r>
          </w:p>
        </w:tc>
        <w:tc>
          <w:tcPr>
            <w:tcW w:w="1700" w:type="dxa"/>
            <w:vAlign w:val="bottom"/>
            <w:gridSpan w:val="2"/>
          </w:tcPr>
          <w:p>
            <w:pPr>
              <w:ind w:left="40"/>
              <w:spacing w:after="0" w:line="176" w:lineRule="exact"/>
              <w:rPr>
                <w:sz w:val="20"/>
                <w:szCs w:val="20"/>
                <w:color w:val="auto"/>
              </w:rPr>
            </w:pPr>
            <w:r>
              <w:rPr>
                <w:rFonts w:ascii="Times New Roman" w:cs="Times New Roman" w:eastAsia="Times New Roman" w:hAnsi="Times New Roman"/>
                <w:sz w:val="18"/>
                <w:szCs w:val="18"/>
                <w:b w:val="1"/>
                <w:bCs w:val="1"/>
                <w:color w:val="auto"/>
                <w:w w:val="99"/>
              </w:rPr>
              <w:t>value that may yet be</w:t>
            </w:r>
          </w:p>
        </w:tc>
        <w:tc>
          <w:tcPr>
            <w:tcW w:w="0" w:type="dxa"/>
            <w:vAlign w:val="bottom"/>
          </w:tcPr>
          <w:p>
            <w:pPr>
              <w:spacing w:after="0"/>
              <w:rPr>
                <w:sz w:val="1"/>
                <w:szCs w:val="1"/>
                <w:color w:val="auto"/>
              </w:rPr>
            </w:pPr>
          </w:p>
        </w:tc>
      </w:tr>
      <w:tr>
        <w:trPr>
          <w:trHeight w:val="189"/>
        </w:trPr>
        <w:tc>
          <w:tcPr>
            <w:tcW w:w="2280" w:type="dxa"/>
            <w:vAlign w:val="bottom"/>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Period (Settlement Date)</w:t>
            </w:r>
          </w:p>
        </w:tc>
        <w:tc>
          <w:tcPr>
            <w:tcW w:w="24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gridSpan w:val="2"/>
            <w:vMerge w:val="continue"/>
          </w:tcPr>
          <w:p>
            <w:pPr>
              <w:spacing w:after="0"/>
              <w:rPr>
                <w:sz w:val="16"/>
                <w:szCs w:val="16"/>
                <w:color w:val="auto"/>
              </w:rPr>
            </w:pPr>
          </w:p>
        </w:tc>
        <w:tc>
          <w:tcPr>
            <w:tcW w:w="1760" w:type="dxa"/>
            <w:vAlign w:val="bottom"/>
            <w:gridSpan w:val="2"/>
          </w:tcPr>
          <w:p>
            <w:pPr>
              <w:jc w:val="right"/>
              <w:ind w:right="180"/>
              <w:spacing w:after="0" w:line="189" w:lineRule="exact"/>
              <w:rPr>
                <w:sz w:val="20"/>
                <w:szCs w:val="20"/>
                <w:color w:val="auto"/>
              </w:rPr>
            </w:pPr>
            <w:r>
              <w:rPr>
                <w:rFonts w:ascii="Times New Roman" w:cs="Times New Roman" w:eastAsia="Times New Roman" w:hAnsi="Times New Roman"/>
                <w:sz w:val="18"/>
                <w:szCs w:val="18"/>
                <w:b w:val="1"/>
                <w:bCs w:val="1"/>
                <w:color w:val="auto"/>
              </w:rPr>
              <w:t>announced plans or</w:t>
            </w:r>
          </w:p>
        </w:tc>
        <w:tc>
          <w:tcPr>
            <w:tcW w:w="120" w:type="dxa"/>
            <w:vAlign w:val="bottom"/>
          </w:tcPr>
          <w:p>
            <w:pPr>
              <w:spacing w:after="0"/>
              <w:rPr>
                <w:sz w:val="16"/>
                <w:szCs w:val="16"/>
                <w:color w:val="auto"/>
              </w:rPr>
            </w:pPr>
          </w:p>
        </w:tc>
        <w:tc>
          <w:tcPr>
            <w:tcW w:w="1580" w:type="dxa"/>
            <w:vAlign w:val="bottom"/>
          </w:tcPr>
          <w:p>
            <w:pPr>
              <w:jc w:val="center"/>
              <w:ind w:right="30"/>
              <w:spacing w:after="0" w:line="189" w:lineRule="exact"/>
              <w:rPr>
                <w:sz w:val="20"/>
                <w:szCs w:val="20"/>
                <w:color w:val="auto"/>
              </w:rPr>
            </w:pPr>
            <w:r>
              <w:rPr>
                <w:rFonts w:ascii="Times New Roman" w:cs="Times New Roman" w:eastAsia="Times New Roman" w:hAnsi="Times New Roman"/>
                <w:sz w:val="18"/>
                <w:szCs w:val="18"/>
                <w:b w:val="1"/>
                <w:bCs w:val="1"/>
                <w:color w:val="auto"/>
                <w:w w:val="99"/>
              </w:rPr>
              <w:t>purchased under</w:t>
            </w:r>
          </w:p>
        </w:tc>
        <w:tc>
          <w:tcPr>
            <w:tcW w:w="0" w:type="dxa"/>
            <w:vAlign w:val="bottom"/>
          </w:tcPr>
          <w:p>
            <w:pPr>
              <w:spacing w:after="0"/>
              <w:rPr>
                <w:sz w:val="1"/>
                <w:szCs w:val="1"/>
                <w:color w:val="auto"/>
              </w:rPr>
            </w:pPr>
          </w:p>
        </w:tc>
      </w:tr>
      <w:tr>
        <w:trPr>
          <w:trHeight w:val="229"/>
        </w:trPr>
        <w:tc>
          <w:tcPr>
            <w:tcW w:w="2280" w:type="dxa"/>
            <w:vAlign w:val="bottom"/>
            <w:tcBorders>
              <w:bottom w:val="single" w:sz="8" w:color="auto"/>
            </w:tcBorders>
            <w:vMerge w:val="continue"/>
          </w:tcPr>
          <w:p>
            <w:pPr>
              <w:spacing w:after="0"/>
              <w:rPr>
                <w:sz w:val="19"/>
                <w:szCs w:val="19"/>
                <w:color w:val="auto"/>
              </w:rPr>
            </w:pPr>
          </w:p>
        </w:tc>
        <w:tc>
          <w:tcPr>
            <w:tcW w:w="242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purchased</w:t>
            </w:r>
          </w:p>
        </w:tc>
        <w:tc>
          <w:tcPr>
            <w:tcW w:w="1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176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programs</w:t>
            </w:r>
          </w:p>
        </w:tc>
        <w:tc>
          <w:tcPr>
            <w:tcW w:w="1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plans or programs</w:t>
            </w:r>
          </w:p>
        </w:tc>
        <w:tc>
          <w:tcPr>
            <w:tcW w:w="0" w:type="dxa"/>
            <w:vAlign w:val="bottom"/>
          </w:tcPr>
          <w:p>
            <w:pPr>
              <w:spacing w:after="0"/>
              <w:rPr>
                <w:sz w:val="1"/>
                <w:szCs w:val="1"/>
                <w:color w:val="auto"/>
              </w:rPr>
            </w:pPr>
          </w:p>
        </w:tc>
      </w:tr>
      <w:tr>
        <w:trPr>
          <w:trHeight w:val="223"/>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1 through July 31 2024</w:t>
            </w:r>
          </w:p>
        </w:tc>
        <w:tc>
          <w:tcPr>
            <w:tcW w:w="2420" w:type="dxa"/>
            <w:vAlign w:val="bottom"/>
            <w:gridSpan w:val="2"/>
            <w:shd w:val="clear" w:color="auto" w:fill="CCEEFF"/>
          </w:tcPr>
          <w:p>
            <w:pPr>
              <w:ind w:left="19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gridSpan w:val="2"/>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22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August 1 through August 30,</w:t>
            </w:r>
          </w:p>
        </w:tc>
        <w:tc>
          <w:tcPr>
            <w:tcW w:w="2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1,746,903(1)</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8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22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September 1 through</w:t>
            </w:r>
          </w:p>
        </w:tc>
        <w:tc>
          <w:tcPr>
            <w:tcW w:w="2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30, 2024</w:t>
            </w:r>
          </w:p>
        </w:tc>
        <w:tc>
          <w:tcPr>
            <w:tcW w:w="2420" w:type="dxa"/>
            <w:vAlign w:val="bottom"/>
            <w:gridSpan w:val="2"/>
            <w:shd w:val="clear" w:color="auto" w:fill="CCEEFF"/>
          </w:tcPr>
          <w:p>
            <w:pPr>
              <w:ind w:left="19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2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2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1,746,903</w:t>
            </w:r>
          </w:p>
        </w:tc>
        <w:tc>
          <w:tcPr>
            <w:tcW w:w="200" w:type="dxa"/>
            <w:vAlign w:val="bottom"/>
          </w:tcPr>
          <w:p>
            <w:pPr>
              <w:spacing w:after="0"/>
              <w:rPr>
                <w:sz w:val="19"/>
                <w:szCs w:val="19"/>
                <w:color w:val="auto"/>
              </w:rPr>
            </w:pPr>
          </w:p>
        </w:tc>
        <w:tc>
          <w:tcPr>
            <w:tcW w:w="1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top w:val="single" w:sz="8" w:color="auto"/>
            </w:tcBorders>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660" w:hanging="328"/>
        <w:spacing w:after="0" w:line="220" w:lineRule="auto"/>
        <w:tabs>
          <w:tab w:leader="none" w:pos="655"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On August 12, 2024, in connection with the settlement of a non-material litigation matter, certain parties agreed to forfeit and transfer 1,746,903 Common Shares back to the Company without consideration.</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ind w:left="2260" w:hanging="1118"/>
        <w:spacing w:after="0"/>
        <w:tabs>
          <w:tab w:leader="none" w:pos="22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260" w:hanging="1118"/>
        <w:spacing w:after="0"/>
        <w:tabs>
          <w:tab w:leader="none" w:pos="22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Trading Plans of Directors and Executive Officers</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2024, none of our directors or executive officers adopted or terminated any contract, instruction, or written plan for the purchase or sale of the Company’s securities that was intended to satisfy the affirmative defense conditions of Rule 10b5-1(c) or any “non-Rule 10b5-1 trading arrangement” as defined in Item 408(c) of Regulation S-K.</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 Index</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797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79780" cy="8890"/>
                    </a:xfrm>
                    <a:prstGeom prst="rect">
                      <a:avLst/>
                    </a:prstGeom>
                    <a:noFill/>
                  </pic:spPr>
                </pic:pic>
              </a:graphicData>
            </a:graphic>
          </wp:anchor>
        </w:drawing>
      </w:r>
    </w:p>
    <w:p>
      <w:pPr>
        <w:spacing w:after="0" w:line="3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2.1</w:t>
      </w:r>
    </w:p>
    <w:p>
      <w:pPr>
        <w:spacing w:after="0" w:line="2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2.2</w:t>
      </w:r>
    </w:p>
    <w:p>
      <w:pPr>
        <w:spacing w:after="0" w:line="2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3.1</w:t>
      </w:r>
    </w:p>
    <w:p>
      <w:pPr>
        <w:spacing w:after="0" w:line="2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629221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61" w:lineRule="exact"/>
        <w:rPr>
          <w:sz w:val="20"/>
          <w:szCs w:val="20"/>
          <w:color w:val="auto"/>
        </w:rPr>
      </w:pPr>
    </w:p>
    <w:p>
      <w:pPr>
        <w:ind w:right="580"/>
        <w:spacing w:after="0" w:line="266" w:lineRule="auto"/>
        <w:rPr>
          <w:rFonts w:ascii="Times New Roman" w:cs="Times New Roman" w:eastAsia="Times New Roman" w:hAnsi="Times New Roman"/>
          <w:sz w:val="18"/>
          <w:szCs w:val="18"/>
          <w:u w:val="single" w:color="auto"/>
          <w:color w:val="0000FF"/>
        </w:rPr>
      </w:pPr>
      <w:hyperlink r:id="rId95">
        <w:r>
          <w:rPr>
            <w:rFonts w:ascii="Times New Roman" w:cs="Times New Roman" w:eastAsia="Times New Roman" w:hAnsi="Times New Roman"/>
            <w:sz w:val="18"/>
            <w:szCs w:val="18"/>
            <w:u w:val="single" w:color="auto"/>
            <w:color w:val="0000FF"/>
          </w:rPr>
          <w:t>Arrangement Agreement, dated March 23, 2022, between Cresco Labs Inc. and Columbia Care Inc. (incorporated by reference to</w:t>
        </w:r>
      </w:hyperlink>
      <w:r>
        <w:rPr>
          <w:rFonts w:ascii="Times New Roman" w:cs="Times New Roman" w:eastAsia="Times New Roman" w:hAnsi="Times New Roman"/>
          <w:sz w:val="18"/>
          <w:szCs w:val="18"/>
          <w:u w:val="single" w:color="auto"/>
          <w:color w:val="0000FF"/>
        </w:rPr>
        <w:t xml:space="preserve"> </w:t>
      </w:r>
      <w:hyperlink r:id="rId95">
        <w:r>
          <w:rPr>
            <w:rFonts w:ascii="Times New Roman" w:cs="Times New Roman" w:eastAsia="Times New Roman" w:hAnsi="Times New Roman"/>
            <w:sz w:val="18"/>
            <w:szCs w:val="18"/>
            <w:u w:val="single" w:color="auto"/>
            <w:color w:val="0000FF"/>
          </w:rPr>
          <w:t>Exhibit 2.1 of the Registrant’s Current Report on Form 8-K, filed with the SEC on March 29, 2022)</w:t>
        </w:r>
      </w:hyperlink>
    </w:p>
    <w:p>
      <w:pPr>
        <w:spacing w:after="0" w:line="27" w:lineRule="exact"/>
        <w:rPr>
          <w:sz w:val="20"/>
          <w:szCs w:val="20"/>
          <w:color w:val="auto"/>
        </w:rPr>
      </w:pPr>
    </w:p>
    <w:p>
      <w:pPr>
        <w:ind w:right="580"/>
        <w:spacing w:after="0" w:line="266" w:lineRule="auto"/>
        <w:rPr>
          <w:rFonts w:ascii="Times New Roman" w:cs="Times New Roman" w:eastAsia="Times New Roman" w:hAnsi="Times New Roman"/>
          <w:sz w:val="18"/>
          <w:szCs w:val="18"/>
          <w:u w:val="single" w:color="auto"/>
          <w:color w:val="0000FF"/>
        </w:rPr>
      </w:pPr>
      <w:hyperlink r:id="rId96">
        <w:r>
          <w:rPr>
            <w:rFonts w:ascii="Times New Roman" w:cs="Times New Roman" w:eastAsia="Times New Roman" w:hAnsi="Times New Roman"/>
            <w:sz w:val="18"/>
            <w:szCs w:val="18"/>
            <w:u w:val="single" w:color="auto"/>
            <w:color w:val="0000FF"/>
          </w:rPr>
          <w:t>Amending Agreement, dated February 27, 2023, between Cresco Labs Inc. and Columbia Care Inc. (incorporated by reference to</w:t>
        </w:r>
      </w:hyperlink>
      <w:r>
        <w:rPr>
          <w:rFonts w:ascii="Times New Roman" w:cs="Times New Roman" w:eastAsia="Times New Roman" w:hAnsi="Times New Roman"/>
          <w:sz w:val="18"/>
          <w:szCs w:val="18"/>
          <w:u w:val="single" w:color="auto"/>
          <w:color w:val="0000FF"/>
        </w:rPr>
        <w:t xml:space="preserve"> </w:t>
      </w:r>
      <w:hyperlink r:id="rId96">
        <w:r>
          <w:rPr>
            <w:rFonts w:ascii="Times New Roman" w:cs="Times New Roman" w:eastAsia="Times New Roman" w:hAnsi="Times New Roman"/>
            <w:sz w:val="18"/>
            <w:szCs w:val="18"/>
            <w:u w:val="single" w:color="auto"/>
            <w:color w:val="0000FF"/>
          </w:rPr>
          <w:t>Exhibit 2.1 of the Registrant’s Current Report on Form 8-K, filed with the SEC on February 28, 2023)</w:t>
        </w:r>
      </w:hyperlink>
    </w:p>
    <w:p>
      <w:pPr>
        <w:spacing w:after="0" w:line="27" w:lineRule="exact"/>
        <w:rPr>
          <w:sz w:val="20"/>
          <w:szCs w:val="20"/>
          <w:color w:val="auto"/>
        </w:rPr>
      </w:pPr>
    </w:p>
    <w:p>
      <w:pPr>
        <w:ind w:right="180"/>
        <w:spacing w:after="0" w:line="266" w:lineRule="auto"/>
        <w:rPr>
          <w:rFonts w:ascii="Times New Roman" w:cs="Times New Roman" w:eastAsia="Times New Roman" w:hAnsi="Times New Roman"/>
          <w:sz w:val="18"/>
          <w:szCs w:val="18"/>
          <w:u w:val="single" w:color="auto"/>
          <w:color w:val="0000FF"/>
        </w:rPr>
      </w:pPr>
      <w:hyperlink r:id="rId97">
        <w:r>
          <w:rPr>
            <w:rFonts w:ascii="Times New Roman" w:cs="Times New Roman" w:eastAsia="Times New Roman" w:hAnsi="Times New Roman"/>
            <w:sz w:val="18"/>
            <w:szCs w:val="18"/>
            <w:u w:val="single" w:color="auto"/>
            <w:color w:val="0000FF"/>
          </w:rPr>
          <w:t>Articles, dated April 26, 2019 (incorporated by reference to Exhibit 3.1 of the Registrant’s Form 8-K, filed with the SEC on September</w:t>
        </w:r>
      </w:hyperlink>
      <w:r>
        <w:rPr>
          <w:rFonts w:ascii="Times New Roman" w:cs="Times New Roman" w:eastAsia="Times New Roman" w:hAnsi="Times New Roman"/>
          <w:sz w:val="18"/>
          <w:szCs w:val="18"/>
          <w:u w:val="single" w:color="auto"/>
          <w:color w:val="0000FF"/>
        </w:rPr>
        <w:t xml:space="preserve"> </w:t>
      </w:r>
      <w:hyperlink r:id="rId97">
        <w:r>
          <w:rPr>
            <w:rFonts w:ascii="Times New Roman" w:cs="Times New Roman" w:eastAsia="Times New Roman" w:hAnsi="Times New Roman"/>
            <w:sz w:val="18"/>
            <w:szCs w:val="18"/>
            <w:u w:val="single" w:color="auto"/>
            <w:color w:val="0000FF"/>
          </w:rPr>
          <w:t>22, 2023)</w:t>
        </w:r>
      </w:hyperlink>
    </w:p>
    <w:p>
      <w:pPr>
        <w:spacing w:after="0" w:line="27" w:lineRule="exact"/>
        <w:rPr>
          <w:sz w:val="20"/>
          <w:szCs w:val="20"/>
          <w:color w:val="auto"/>
        </w:rPr>
      </w:pPr>
    </w:p>
    <w:p>
      <w:pPr>
        <w:ind w:right="180"/>
        <w:spacing w:after="0" w:line="266" w:lineRule="auto"/>
        <w:rPr>
          <w:rFonts w:ascii="Times New Roman" w:cs="Times New Roman" w:eastAsia="Times New Roman" w:hAnsi="Times New Roman"/>
          <w:sz w:val="18"/>
          <w:szCs w:val="18"/>
          <w:u w:val="single" w:color="auto"/>
          <w:color w:val="0000FF"/>
        </w:rPr>
      </w:pPr>
      <w:hyperlink r:id="rId98">
        <w:r>
          <w:rPr>
            <w:rFonts w:ascii="Times New Roman" w:cs="Times New Roman" w:eastAsia="Times New Roman" w:hAnsi="Times New Roman"/>
            <w:sz w:val="18"/>
            <w:szCs w:val="18"/>
            <w:u w:val="single" w:color="auto"/>
            <w:color w:val="0000FF"/>
          </w:rPr>
          <w:t>Certificate of Change of Name, dated September 19, 2023 (incorporated by reference to Exhibit 3.2 of the Registrant’s Form 8-K, filed</w:t>
        </w:r>
      </w:hyperlink>
      <w:r>
        <w:rPr>
          <w:rFonts w:ascii="Times New Roman" w:cs="Times New Roman" w:eastAsia="Times New Roman" w:hAnsi="Times New Roman"/>
          <w:sz w:val="18"/>
          <w:szCs w:val="18"/>
          <w:u w:val="single" w:color="auto"/>
          <w:color w:val="0000FF"/>
        </w:rPr>
        <w:t xml:space="preserve"> </w:t>
      </w:r>
      <w:hyperlink r:id="rId98">
        <w:r>
          <w:rPr>
            <w:rFonts w:ascii="Times New Roman" w:cs="Times New Roman" w:eastAsia="Times New Roman" w:hAnsi="Times New Roman"/>
            <w:sz w:val="18"/>
            <w:szCs w:val="18"/>
            <w:u w:val="single" w:color="auto"/>
            <w:color w:val="0000FF"/>
          </w:rPr>
          <w:t>with the SEC on September 22, 2023)</w:t>
        </w:r>
      </w:hyperlink>
    </w:p>
    <w:p>
      <w:pPr>
        <w:spacing w:after="0" w:line="14" w:lineRule="exact"/>
        <w:rPr>
          <w:sz w:val="20"/>
          <w:szCs w:val="20"/>
          <w:color w:val="auto"/>
        </w:rPr>
      </w:pPr>
    </w:p>
    <w:p>
      <w:pPr>
        <w:sectPr>
          <w:pgSz w:w="11900" w:h="16838" w:orient="portrait"/>
          <w:cols w:equalWidth="0" w:num="2">
            <w:col w:w="940" w:space="400"/>
            <w:col w:w="9900"/>
          </w:cols>
          <w:pgMar w:left="320" w:top="121" w:right="339" w:bottom="1440" w:gutter="0" w:footer="0" w:header="0"/>
          <w:type w:val="continuous"/>
        </w:sectPr>
      </w:pPr>
    </w:p>
    <w:p>
      <w:pPr>
        <w:ind w:left="500"/>
        <w:spacing w:after="0"/>
        <w:rPr>
          <w:sz w:val="20"/>
          <w:szCs w:val="20"/>
          <w:color w:val="auto"/>
        </w:rPr>
      </w:pPr>
      <w:r>
        <w:rPr>
          <w:rFonts w:ascii="Times New Roman" w:cs="Times New Roman" w:eastAsia="Times New Roman" w:hAnsi="Times New Roman"/>
          <w:sz w:val="18"/>
          <w:szCs w:val="18"/>
          <w:color w:val="auto"/>
        </w:rPr>
        <w:t>4.1</w:t>
      </w:r>
    </w:p>
    <w:p>
      <w:pPr>
        <w:spacing w:after="0" w:line="200" w:lineRule="exact"/>
        <w:rPr>
          <w:sz w:val="20"/>
          <w:szCs w:val="20"/>
          <w:color w:val="auto"/>
        </w:rPr>
      </w:pPr>
    </w:p>
    <w:p>
      <w:pPr>
        <w:spacing w:after="0" w:line="28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br w:type="column"/>
      </w:r>
    </w:p>
    <w:p>
      <w:pPr>
        <w:ind w:right="320"/>
        <w:spacing w:after="0" w:line="258" w:lineRule="auto"/>
        <w:rPr>
          <w:rFonts w:ascii="Times New Roman" w:cs="Times New Roman" w:eastAsia="Times New Roman" w:hAnsi="Times New Roman"/>
          <w:sz w:val="18"/>
          <w:szCs w:val="18"/>
          <w:u w:val="single" w:color="auto"/>
          <w:color w:val="0000FF"/>
        </w:rPr>
      </w:pPr>
      <w:hyperlink r:id="rId99">
        <w:r>
          <w:rPr>
            <w:rFonts w:ascii="Times New Roman" w:cs="Times New Roman" w:eastAsia="Times New Roman" w:hAnsi="Times New Roman"/>
            <w:sz w:val="18"/>
            <w:szCs w:val="18"/>
            <w:u w:val="single" w:color="auto"/>
            <w:color w:val="0000FF"/>
          </w:rPr>
          <w:t>Warrant Agency Agreement dated September 20, 2018 between Canaccord Genuity Growth Corp. and Odyssey Trust Company</w:t>
        </w:r>
      </w:hyperlink>
      <w:r>
        <w:rPr>
          <w:rFonts w:ascii="Times New Roman" w:cs="Times New Roman" w:eastAsia="Times New Roman" w:hAnsi="Times New Roman"/>
          <w:sz w:val="18"/>
          <w:szCs w:val="18"/>
          <w:u w:val="single" w:color="auto"/>
          <w:color w:val="0000FF"/>
        </w:rPr>
        <w:t xml:space="preserve"> </w:t>
      </w:r>
      <w:hyperlink r:id="rId99">
        <w:r>
          <w:rPr>
            <w:rFonts w:ascii="Times New Roman" w:cs="Times New Roman" w:eastAsia="Times New Roman" w:hAnsi="Times New Roman"/>
            <w:sz w:val="18"/>
            <w:szCs w:val="18"/>
            <w:u w:val="single" w:color="auto"/>
            <w:color w:val="0000FF"/>
          </w:rPr>
          <w:t>(incorporated by reference to Exhibit 4.1 of the Registrant’s Registration Statement on Form 10, filed with the SEC on December 14,</w:t>
        </w:r>
      </w:hyperlink>
      <w:r>
        <w:rPr>
          <w:rFonts w:ascii="Times New Roman" w:cs="Times New Roman" w:eastAsia="Times New Roman" w:hAnsi="Times New Roman"/>
          <w:sz w:val="18"/>
          <w:szCs w:val="18"/>
          <w:u w:val="single" w:color="auto"/>
          <w:color w:val="0000FF"/>
        </w:rPr>
        <w:t xml:space="preserve"> </w:t>
      </w:r>
      <w:hyperlink r:id="rId99">
        <w:r>
          <w:rPr>
            <w:rFonts w:ascii="Times New Roman" w:cs="Times New Roman" w:eastAsia="Times New Roman" w:hAnsi="Times New Roman"/>
            <w:sz w:val="18"/>
            <w:szCs w:val="18"/>
            <w:u w:val="single" w:color="auto"/>
            <w:color w:val="0000FF"/>
          </w:rPr>
          <w:t>2021)</w:t>
        </w:r>
      </w:hyperlink>
    </w:p>
    <w:p>
      <w:pPr>
        <w:spacing w:after="0" w:line="21" w:lineRule="exact"/>
        <w:rPr>
          <w:rFonts w:ascii="Times New Roman" w:cs="Times New Roman" w:eastAsia="Times New Roman" w:hAnsi="Times New Roman"/>
          <w:sz w:val="18"/>
          <w:szCs w:val="18"/>
          <w:u w:val="single" w:color="auto"/>
          <w:color w:val="0000FF"/>
        </w:rPr>
      </w:pPr>
    </w:p>
    <w:p>
      <w:pPr>
        <w:ind w:right="500"/>
        <w:spacing w:after="0" w:line="266" w:lineRule="auto"/>
        <w:rPr>
          <w:rFonts w:ascii="Times New Roman" w:cs="Times New Roman" w:eastAsia="Times New Roman" w:hAnsi="Times New Roman"/>
          <w:sz w:val="18"/>
          <w:szCs w:val="18"/>
          <w:u w:val="single" w:color="auto"/>
          <w:color w:val="0000FF"/>
        </w:rPr>
      </w:pPr>
      <w:hyperlink r:id="rId100">
        <w:r>
          <w:rPr>
            <w:rFonts w:ascii="Times New Roman" w:cs="Times New Roman" w:eastAsia="Times New Roman" w:hAnsi="Times New Roman"/>
            <w:sz w:val="18"/>
            <w:szCs w:val="18"/>
            <w:u w:val="single" w:color="auto"/>
            <w:color w:val="0000FF"/>
          </w:rPr>
          <w:t>Warrant Agreement dated April 26, 2019 between Columbia Care Inc. and Canaccord Genuity Corp. (incorporated by reference to</w:t>
        </w:r>
      </w:hyperlink>
      <w:r>
        <w:rPr>
          <w:rFonts w:ascii="Times New Roman" w:cs="Times New Roman" w:eastAsia="Times New Roman" w:hAnsi="Times New Roman"/>
          <w:sz w:val="18"/>
          <w:szCs w:val="18"/>
          <w:u w:val="single" w:color="auto"/>
          <w:color w:val="0000FF"/>
        </w:rPr>
        <w:t xml:space="preserve"> </w:t>
      </w:r>
      <w:hyperlink r:id="rId100">
        <w:r>
          <w:rPr>
            <w:rFonts w:ascii="Times New Roman" w:cs="Times New Roman" w:eastAsia="Times New Roman" w:hAnsi="Times New Roman"/>
            <w:sz w:val="18"/>
            <w:szCs w:val="18"/>
            <w:u w:val="single" w:color="auto"/>
            <w:color w:val="0000FF"/>
          </w:rPr>
          <w:t>Exhibit 4.2 of the Registrant’s Registration Statement on Form 10, filed with the SEC on December 14, 2021)</w:t>
        </w:r>
      </w:hyperlink>
    </w:p>
    <w:p>
      <w:pPr>
        <w:spacing w:after="0" w:line="14" w:lineRule="exact"/>
        <w:rPr>
          <w:sz w:val="20"/>
          <w:szCs w:val="20"/>
          <w:color w:val="auto"/>
        </w:rPr>
      </w:pPr>
    </w:p>
    <w:p>
      <w:pPr>
        <w:sectPr>
          <w:pgSz w:w="11900" w:h="16838" w:orient="portrait"/>
          <w:cols w:equalWidth="0" w:num="2">
            <w:col w:w="740" w:space="600"/>
            <w:col w:w="9900"/>
          </w:cols>
          <w:pgMar w:left="320" w:top="121" w:right="339" w:bottom="1440" w:gutter="0" w:footer="0" w:header="0"/>
          <w:type w:val="continuous"/>
        </w:sectPr>
      </w:pPr>
    </w:p>
    <w:tbl>
      <w:tblPr>
        <w:tblLayout w:type="fixed"/>
        <w:tblInd w:w="500" w:type="dxa"/>
        <w:tblCellMar>
          <w:top w:w="0" w:type="dxa"/>
          <w:left w:w="0" w:type="dxa"/>
          <w:bottom w:w="0" w:type="dxa"/>
          <w:right w:w="0" w:type="dxa"/>
        </w:tblCellMar>
      </w:tblPr>
      <w:tr>
        <w:trPr>
          <w:trHeight w:val="207"/>
        </w:trPr>
        <w:tc>
          <w:tcPr>
            <w:tcW w:w="8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w w:val="97"/>
              </w:rPr>
              <w:t>4.3</w:t>
            </w:r>
          </w:p>
        </w:tc>
        <w:tc>
          <w:tcPr>
            <w:tcW w:w="9780" w:type="dxa"/>
            <w:vAlign w:val="bottom"/>
            <w:gridSpan w:val="10"/>
          </w:tcPr>
          <w:p>
            <w:pPr>
              <w:spacing w:after="0"/>
              <w:rPr>
                <w:rFonts w:ascii="Times New Roman" w:cs="Times New Roman" w:eastAsia="Times New Roman" w:hAnsi="Times New Roman"/>
                <w:sz w:val="18"/>
                <w:szCs w:val="18"/>
                <w:color w:val="0000FF"/>
              </w:rPr>
            </w:pPr>
            <w:hyperlink r:id="rId101">
              <w:r>
                <w:rPr>
                  <w:rFonts w:ascii="Times New Roman" w:cs="Times New Roman" w:eastAsia="Times New Roman" w:hAnsi="Times New Roman"/>
                  <w:sz w:val="18"/>
                  <w:szCs w:val="18"/>
                  <w:color w:val="0000FF"/>
                </w:rPr>
                <w:t>Trust Indenture made as of March 31, 2020 between Columbia Care Inc. and Odyssey Trust Company (incorporated by reference to</w:t>
              </w:r>
            </w:hyperlink>
          </w:p>
        </w:tc>
      </w:tr>
      <w:tr>
        <w:trPr>
          <w:trHeight w:val="183"/>
        </w:trPr>
        <w:tc>
          <w:tcPr>
            <w:tcW w:w="840" w:type="dxa"/>
            <w:vAlign w:val="bottom"/>
          </w:tcPr>
          <w:p>
            <w:pPr>
              <w:spacing w:after="0"/>
              <w:rPr>
                <w:sz w:val="15"/>
                <w:szCs w:val="15"/>
                <w:color w:val="auto"/>
              </w:rPr>
            </w:pPr>
          </w:p>
        </w:tc>
        <w:tc>
          <w:tcPr>
            <w:tcW w:w="7920" w:type="dxa"/>
            <w:vAlign w:val="bottom"/>
            <w:tcBorders>
              <w:top w:val="single" w:sz="8" w:color="0000FF"/>
              <w:bottom w:val="single" w:sz="8" w:color="0000FF"/>
            </w:tcBorders>
            <w:gridSpan w:val="2"/>
          </w:tcPr>
          <w:p>
            <w:pPr>
              <w:spacing w:after="0" w:line="182" w:lineRule="exact"/>
              <w:rPr>
                <w:rFonts w:ascii="Times New Roman" w:cs="Times New Roman" w:eastAsia="Times New Roman" w:hAnsi="Times New Roman"/>
                <w:sz w:val="18"/>
                <w:szCs w:val="18"/>
                <w:color w:val="0000FF"/>
                <w:w w:val="99"/>
              </w:rPr>
            </w:pPr>
            <w:hyperlink r:id="rId101">
              <w:r>
                <w:rPr>
                  <w:rFonts w:ascii="Times New Roman" w:cs="Times New Roman" w:eastAsia="Times New Roman" w:hAnsi="Times New Roman"/>
                  <w:sz w:val="18"/>
                  <w:szCs w:val="18"/>
                  <w:color w:val="0000FF"/>
                  <w:w w:val="99"/>
                </w:rPr>
                <w:t>Exhibit 4.3 of the Registrant’s Registration Statement on Form 10, filed with the SEC on December 14, 2021)</w:t>
              </w:r>
            </w:hyperlink>
          </w:p>
        </w:tc>
        <w:tc>
          <w:tcPr>
            <w:tcW w:w="1580" w:type="dxa"/>
            <w:vAlign w:val="bottom"/>
            <w:tcBorders>
              <w:top w:val="single" w:sz="8" w:color="0000FF"/>
            </w:tcBorders>
            <w:gridSpan w:val="5"/>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64"/>
        </w:trPr>
        <w:tc>
          <w:tcPr>
            <w:tcW w:w="8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w w:val="97"/>
              </w:rPr>
              <w:t>4.4</w:t>
            </w:r>
          </w:p>
        </w:tc>
        <w:tc>
          <w:tcPr>
            <w:tcW w:w="9780" w:type="dxa"/>
            <w:vAlign w:val="bottom"/>
            <w:gridSpan w:val="10"/>
          </w:tcPr>
          <w:p>
            <w:pPr>
              <w:spacing w:after="0"/>
              <w:rPr>
                <w:rFonts w:ascii="Times New Roman" w:cs="Times New Roman" w:eastAsia="Times New Roman" w:hAnsi="Times New Roman"/>
                <w:sz w:val="18"/>
                <w:szCs w:val="18"/>
                <w:color w:val="0000FF"/>
              </w:rPr>
            </w:pPr>
            <w:hyperlink r:id="rId102">
              <w:r>
                <w:rPr>
                  <w:rFonts w:ascii="Times New Roman" w:cs="Times New Roman" w:eastAsia="Times New Roman" w:hAnsi="Times New Roman"/>
                  <w:sz w:val="18"/>
                  <w:szCs w:val="18"/>
                  <w:color w:val="0000FF"/>
                </w:rPr>
                <w:t>Warrant Indenture dated March 31, 2020 between Columbia Care Inc. and Odyssey Trust Company (incorporated by reference to</w:t>
              </w:r>
            </w:hyperlink>
          </w:p>
        </w:tc>
      </w:tr>
      <w:tr>
        <w:trPr>
          <w:trHeight w:val="183"/>
        </w:trPr>
        <w:tc>
          <w:tcPr>
            <w:tcW w:w="840" w:type="dxa"/>
            <w:vAlign w:val="bottom"/>
          </w:tcPr>
          <w:p>
            <w:pPr>
              <w:spacing w:after="0"/>
              <w:rPr>
                <w:sz w:val="15"/>
                <w:szCs w:val="15"/>
                <w:color w:val="auto"/>
              </w:rPr>
            </w:pPr>
          </w:p>
        </w:tc>
        <w:tc>
          <w:tcPr>
            <w:tcW w:w="7920" w:type="dxa"/>
            <w:vAlign w:val="bottom"/>
            <w:tcBorders>
              <w:top w:val="single" w:sz="8" w:color="0000FF"/>
              <w:bottom w:val="single" w:sz="8" w:color="0000FF"/>
            </w:tcBorders>
            <w:gridSpan w:val="2"/>
          </w:tcPr>
          <w:p>
            <w:pPr>
              <w:spacing w:after="0" w:line="182" w:lineRule="exact"/>
              <w:rPr>
                <w:rFonts w:ascii="Times New Roman" w:cs="Times New Roman" w:eastAsia="Times New Roman" w:hAnsi="Times New Roman"/>
                <w:sz w:val="18"/>
                <w:szCs w:val="18"/>
                <w:color w:val="0000FF"/>
                <w:w w:val="99"/>
              </w:rPr>
            </w:pPr>
            <w:hyperlink r:id="rId102">
              <w:r>
                <w:rPr>
                  <w:rFonts w:ascii="Times New Roman" w:cs="Times New Roman" w:eastAsia="Times New Roman" w:hAnsi="Times New Roman"/>
                  <w:sz w:val="18"/>
                  <w:szCs w:val="18"/>
                  <w:color w:val="0000FF"/>
                  <w:w w:val="99"/>
                </w:rPr>
                <w:t>Exhibit 4.4 of the Registrant’s Registration Statement on Form 10, filed with the SEC on December 14, 2021)</w:t>
              </w:r>
            </w:hyperlink>
          </w:p>
        </w:tc>
        <w:tc>
          <w:tcPr>
            <w:tcW w:w="1400" w:type="dxa"/>
            <w:vAlign w:val="bottom"/>
            <w:tcBorders>
              <w:top w:val="single" w:sz="8" w:color="0000FF"/>
            </w:tcBorders>
            <w:gridSpan w:val="2"/>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gridSpan w:val="2"/>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63"/>
        </w:trPr>
        <w:tc>
          <w:tcPr>
            <w:tcW w:w="8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w w:val="97"/>
              </w:rPr>
              <w:t>4.5</w:t>
            </w:r>
          </w:p>
        </w:tc>
        <w:tc>
          <w:tcPr>
            <w:tcW w:w="9780" w:type="dxa"/>
            <w:vAlign w:val="bottom"/>
            <w:gridSpan w:val="10"/>
          </w:tcPr>
          <w:p>
            <w:pPr>
              <w:spacing w:after="0"/>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Trust Indenture made as of May 14, 2020 between Columbia Care Inc. and Odyssey Trust Company (incorporated by reference to</w:t>
              </w:r>
            </w:hyperlink>
          </w:p>
        </w:tc>
      </w:tr>
      <w:tr>
        <w:trPr>
          <w:trHeight w:val="183"/>
        </w:trPr>
        <w:tc>
          <w:tcPr>
            <w:tcW w:w="840" w:type="dxa"/>
            <w:vAlign w:val="bottom"/>
          </w:tcPr>
          <w:p>
            <w:pPr>
              <w:spacing w:after="0"/>
              <w:rPr>
                <w:sz w:val="15"/>
                <w:szCs w:val="15"/>
                <w:color w:val="auto"/>
              </w:rPr>
            </w:pPr>
          </w:p>
        </w:tc>
        <w:tc>
          <w:tcPr>
            <w:tcW w:w="7920" w:type="dxa"/>
            <w:vAlign w:val="bottom"/>
            <w:tcBorders>
              <w:top w:val="single" w:sz="8" w:color="0000FF"/>
              <w:bottom w:val="single" w:sz="8" w:color="0000FF"/>
            </w:tcBorders>
            <w:gridSpan w:val="2"/>
          </w:tcPr>
          <w:p>
            <w:pPr>
              <w:spacing w:after="0" w:line="182" w:lineRule="exact"/>
              <w:rPr>
                <w:rFonts w:ascii="Times New Roman" w:cs="Times New Roman" w:eastAsia="Times New Roman" w:hAnsi="Times New Roman"/>
                <w:sz w:val="18"/>
                <w:szCs w:val="18"/>
                <w:color w:val="0000FF"/>
                <w:w w:val="99"/>
              </w:rPr>
            </w:pPr>
            <w:hyperlink r:id="rId103">
              <w:r>
                <w:rPr>
                  <w:rFonts w:ascii="Times New Roman" w:cs="Times New Roman" w:eastAsia="Times New Roman" w:hAnsi="Times New Roman"/>
                  <w:sz w:val="18"/>
                  <w:szCs w:val="18"/>
                  <w:color w:val="0000FF"/>
                  <w:w w:val="99"/>
                </w:rPr>
                <w:t>Exhibit 4.5 of the Registrant’s Registration Statement on Form 10, filed with the SEC on December 14, 2021)</w:t>
              </w:r>
            </w:hyperlink>
          </w:p>
        </w:tc>
        <w:tc>
          <w:tcPr>
            <w:tcW w:w="1440" w:type="dxa"/>
            <w:vAlign w:val="bottom"/>
            <w:tcBorders>
              <w:top w:val="single" w:sz="8" w:color="0000FF"/>
            </w:tcBorders>
            <w:gridSpan w:val="3"/>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gridSpan w:val="2"/>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63"/>
        </w:trPr>
        <w:tc>
          <w:tcPr>
            <w:tcW w:w="8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w w:val="97"/>
              </w:rPr>
              <w:t>4.6</w:t>
            </w:r>
          </w:p>
        </w:tc>
        <w:tc>
          <w:tcPr>
            <w:tcW w:w="9780" w:type="dxa"/>
            <w:vAlign w:val="bottom"/>
            <w:gridSpan w:val="10"/>
          </w:tcPr>
          <w:p>
            <w:pPr>
              <w:spacing w:after="0"/>
              <w:rPr>
                <w:rFonts w:ascii="Times New Roman" w:cs="Times New Roman" w:eastAsia="Times New Roman" w:hAnsi="Times New Roman"/>
                <w:sz w:val="18"/>
                <w:szCs w:val="18"/>
                <w:color w:val="0000FF"/>
                <w:w w:val="99"/>
              </w:rPr>
            </w:pPr>
            <w:hyperlink r:id="rId104">
              <w:r>
                <w:rPr>
                  <w:rFonts w:ascii="Times New Roman" w:cs="Times New Roman" w:eastAsia="Times New Roman" w:hAnsi="Times New Roman"/>
                  <w:sz w:val="18"/>
                  <w:szCs w:val="18"/>
                  <w:color w:val="0000FF"/>
                  <w:w w:val="99"/>
                </w:rPr>
                <w:t>Warrant Indenture dated May 14, 2020 between Columbia Care Inc. and Odyssey Trust Company (incorporated by reference to Exhibit</w:t>
              </w:r>
            </w:hyperlink>
          </w:p>
        </w:tc>
      </w:tr>
      <w:tr>
        <w:trPr>
          <w:trHeight w:val="183"/>
        </w:trPr>
        <w:tc>
          <w:tcPr>
            <w:tcW w:w="840" w:type="dxa"/>
            <w:vAlign w:val="bottom"/>
          </w:tcPr>
          <w:p>
            <w:pPr>
              <w:spacing w:after="0"/>
              <w:rPr>
                <w:sz w:val="15"/>
                <w:szCs w:val="15"/>
                <w:color w:val="auto"/>
              </w:rPr>
            </w:pPr>
          </w:p>
        </w:tc>
        <w:tc>
          <w:tcPr>
            <w:tcW w:w="7340" w:type="dxa"/>
            <w:vAlign w:val="bottom"/>
            <w:tcBorders>
              <w:top w:val="single" w:sz="8" w:color="0000FF"/>
              <w:bottom w:val="single" w:sz="8" w:color="0000FF"/>
            </w:tcBorders>
          </w:tcPr>
          <w:p>
            <w:pPr>
              <w:spacing w:after="0" w:line="182" w:lineRule="exact"/>
              <w:rPr>
                <w:rFonts w:ascii="Times New Roman" w:cs="Times New Roman" w:eastAsia="Times New Roman" w:hAnsi="Times New Roman"/>
                <w:sz w:val="18"/>
                <w:szCs w:val="18"/>
                <w:color w:val="0000FF"/>
                <w:w w:val="99"/>
              </w:rPr>
            </w:pPr>
            <w:hyperlink r:id="rId104">
              <w:r>
                <w:rPr>
                  <w:rFonts w:ascii="Times New Roman" w:cs="Times New Roman" w:eastAsia="Times New Roman" w:hAnsi="Times New Roman"/>
                  <w:sz w:val="18"/>
                  <w:szCs w:val="18"/>
                  <w:color w:val="0000FF"/>
                  <w:w w:val="99"/>
                </w:rPr>
                <w:t>4.</w:t>
              </w:r>
              <w:r>
                <w:rPr>
                  <w:rFonts w:ascii="Times New Roman" w:cs="Times New Roman" w:eastAsia="Times New Roman" w:hAnsi="Times New Roman"/>
                  <w:sz w:val="18"/>
                  <w:szCs w:val="18"/>
                  <w:u w:val="single" w:color="auto"/>
                  <w:color w:val="0000FF"/>
                  <w:w w:val="99"/>
                </w:rPr>
                <w:t>6</w:t>
              </w:r>
              <w:r>
                <w:rPr>
                  <w:rFonts w:ascii="Times New Roman" w:cs="Times New Roman" w:eastAsia="Times New Roman" w:hAnsi="Times New Roman"/>
                  <w:sz w:val="18"/>
                  <w:szCs w:val="18"/>
                  <w:color w:val="0000FF"/>
                  <w:w w:val="99"/>
                </w:rPr>
                <w:t xml:space="preserve"> of the Registrant’s Registration Statement on Form 10, filed with the SEC on December 14, 2021)</w:t>
              </w:r>
            </w:hyperlink>
          </w:p>
        </w:tc>
        <w:tc>
          <w:tcPr>
            <w:tcW w:w="2420" w:type="dxa"/>
            <w:vAlign w:val="bottom"/>
            <w:tcBorders>
              <w:top w:val="single" w:sz="8" w:color="0000FF"/>
            </w:tcBorders>
            <w:gridSpan w:val="8"/>
          </w:tcPr>
          <w:p>
            <w:pPr>
              <w:spacing w:after="0"/>
              <w:rPr>
                <w:sz w:val="15"/>
                <w:szCs w:val="15"/>
                <w:color w:val="auto"/>
              </w:rPr>
            </w:pPr>
          </w:p>
        </w:tc>
        <w:tc>
          <w:tcPr>
            <w:tcW w:w="20" w:type="dxa"/>
            <w:vAlign w:val="bottom"/>
          </w:tcPr>
          <w:p>
            <w:pPr>
              <w:spacing w:after="0"/>
              <w:rPr>
                <w:sz w:val="15"/>
                <w:szCs w:val="15"/>
                <w:color w:val="auto"/>
              </w:rPr>
            </w:pPr>
          </w:p>
        </w:tc>
      </w:tr>
      <w:tr>
        <w:trPr>
          <w:trHeight w:val="264"/>
        </w:trPr>
        <w:tc>
          <w:tcPr>
            <w:tcW w:w="8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w w:val="97"/>
              </w:rPr>
              <w:t>4.7</w:t>
            </w:r>
          </w:p>
        </w:tc>
        <w:tc>
          <w:tcPr>
            <w:tcW w:w="9780" w:type="dxa"/>
            <w:vAlign w:val="bottom"/>
            <w:gridSpan w:val="10"/>
          </w:tcPr>
          <w:p>
            <w:pPr>
              <w:spacing w:after="0"/>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First Supplemental Indentures dated as of June 19, 2020 between Columbia Care Inc and Odyssey Trust Company (incorporated by</w:t>
              </w:r>
            </w:hyperlink>
          </w:p>
        </w:tc>
      </w:tr>
      <w:tr>
        <w:trPr>
          <w:trHeight w:val="183"/>
        </w:trPr>
        <w:tc>
          <w:tcPr>
            <w:tcW w:w="840" w:type="dxa"/>
            <w:vAlign w:val="bottom"/>
          </w:tcPr>
          <w:p>
            <w:pPr>
              <w:spacing w:after="0"/>
              <w:rPr>
                <w:sz w:val="15"/>
                <w:szCs w:val="15"/>
                <w:color w:val="auto"/>
              </w:rPr>
            </w:pPr>
          </w:p>
        </w:tc>
        <w:tc>
          <w:tcPr>
            <w:tcW w:w="8820" w:type="dxa"/>
            <w:vAlign w:val="bottom"/>
            <w:tcBorders>
              <w:top w:val="single" w:sz="8" w:color="0000FF"/>
              <w:bottom w:val="single" w:sz="8" w:color="0000FF"/>
            </w:tcBorders>
            <w:gridSpan w:val="3"/>
          </w:tcPr>
          <w:p>
            <w:pPr>
              <w:spacing w:after="0" w:line="182" w:lineRule="exact"/>
              <w:rPr>
                <w:rFonts w:ascii="Times New Roman" w:cs="Times New Roman" w:eastAsia="Times New Roman" w:hAnsi="Times New Roman"/>
                <w:sz w:val="18"/>
                <w:szCs w:val="18"/>
                <w:color w:val="0000FF"/>
                <w:w w:val="99"/>
              </w:rPr>
            </w:pPr>
            <w:hyperlink r:id="rId105">
              <w:r>
                <w:rPr>
                  <w:rFonts w:ascii="Times New Roman" w:cs="Times New Roman" w:eastAsia="Times New Roman" w:hAnsi="Times New Roman"/>
                  <w:sz w:val="18"/>
                  <w:szCs w:val="18"/>
                  <w:color w:val="0000FF"/>
                  <w:w w:val="99"/>
                </w:rPr>
                <w:t>reference to Exhibit 4.7 of the Registrant’s Registration Statement on Form 10, filed with the SEC on December 14, 2021)</w:t>
              </w:r>
            </w:hyperlink>
          </w:p>
        </w:tc>
        <w:tc>
          <w:tcPr>
            <w:tcW w:w="660" w:type="dxa"/>
            <w:vAlign w:val="bottom"/>
            <w:tcBorders>
              <w:top w:val="single" w:sz="8" w:color="0000FF"/>
            </w:tcBorders>
            <w:gridSpan w:val="3"/>
          </w:tcPr>
          <w:p>
            <w:pPr>
              <w:spacing w:after="0"/>
              <w:rPr>
                <w:sz w:val="15"/>
                <w:szCs w:val="15"/>
                <w:color w:val="auto"/>
              </w:rPr>
            </w:pPr>
          </w:p>
        </w:tc>
        <w:tc>
          <w:tcPr>
            <w:tcW w:w="160" w:type="dxa"/>
            <w:vAlign w:val="bottom"/>
            <w:gridSpan w:val="2"/>
          </w:tcPr>
          <w:p>
            <w:pPr>
              <w:spacing w:after="0"/>
              <w:rPr>
                <w:sz w:val="15"/>
                <w:szCs w:val="15"/>
                <w:color w:val="auto"/>
              </w:rPr>
            </w:pPr>
          </w:p>
        </w:tc>
        <w:tc>
          <w:tcPr>
            <w:tcW w:w="140" w:type="dxa"/>
            <w:vAlign w:val="bottom"/>
            <w:gridSpan w:val="2"/>
          </w:tcPr>
          <w:p>
            <w:pPr>
              <w:spacing w:after="0"/>
              <w:rPr>
                <w:sz w:val="15"/>
                <w:szCs w:val="15"/>
                <w:color w:val="auto"/>
              </w:rPr>
            </w:pPr>
          </w:p>
        </w:tc>
      </w:tr>
      <w:tr>
        <w:trPr>
          <w:trHeight w:val="263"/>
        </w:trPr>
        <w:tc>
          <w:tcPr>
            <w:tcW w:w="8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w w:val="97"/>
              </w:rPr>
              <w:t>4.8</w:t>
            </w:r>
          </w:p>
        </w:tc>
        <w:tc>
          <w:tcPr>
            <w:tcW w:w="9780" w:type="dxa"/>
            <w:vAlign w:val="bottom"/>
            <w:gridSpan w:val="10"/>
          </w:tcPr>
          <w:p>
            <w:pPr>
              <w:spacing w:after="0"/>
              <w:rPr>
                <w:rFonts w:ascii="Times New Roman" w:cs="Times New Roman" w:eastAsia="Times New Roman" w:hAnsi="Times New Roman"/>
                <w:sz w:val="18"/>
                <w:szCs w:val="18"/>
                <w:color w:val="0000FF"/>
              </w:rPr>
            </w:pPr>
            <w:hyperlink r:id="rId106">
              <w:r>
                <w:rPr>
                  <w:rFonts w:ascii="Times New Roman" w:cs="Times New Roman" w:eastAsia="Times New Roman" w:hAnsi="Times New Roman"/>
                  <w:sz w:val="18"/>
                  <w:szCs w:val="18"/>
                  <w:color w:val="0000FF"/>
                </w:rPr>
                <w:t>Warrant Indenture dated July 2, 2020 between Columbia Care Inc. and Odyssey Trust Company (incorporated by reference to Exhibit</w:t>
              </w:r>
            </w:hyperlink>
          </w:p>
        </w:tc>
      </w:tr>
      <w:tr>
        <w:trPr>
          <w:trHeight w:val="183"/>
        </w:trPr>
        <w:tc>
          <w:tcPr>
            <w:tcW w:w="840" w:type="dxa"/>
            <w:vAlign w:val="bottom"/>
          </w:tcPr>
          <w:p>
            <w:pPr>
              <w:spacing w:after="0"/>
              <w:rPr>
                <w:sz w:val="15"/>
                <w:szCs w:val="15"/>
                <w:color w:val="auto"/>
              </w:rPr>
            </w:pPr>
          </w:p>
        </w:tc>
        <w:tc>
          <w:tcPr>
            <w:tcW w:w="7340" w:type="dxa"/>
            <w:vAlign w:val="bottom"/>
            <w:tcBorders>
              <w:top w:val="single" w:sz="8" w:color="0000FF"/>
              <w:bottom w:val="single" w:sz="8" w:color="0000FF"/>
            </w:tcBorders>
          </w:tcPr>
          <w:p>
            <w:pPr>
              <w:spacing w:after="0" w:line="182" w:lineRule="exact"/>
              <w:rPr>
                <w:rFonts w:ascii="Times New Roman" w:cs="Times New Roman" w:eastAsia="Times New Roman" w:hAnsi="Times New Roman"/>
                <w:sz w:val="18"/>
                <w:szCs w:val="18"/>
                <w:color w:val="0000FF"/>
                <w:w w:val="99"/>
              </w:rPr>
            </w:pPr>
            <w:hyperlink r:id="rId106">
              <w:r>
                <w:rPr>
                  <w:rFonts w:ascii="Times New Roman" w:cs="Times New Roman" w:eastAsia="Times New Roman" w:hAnsi="Times New Roman"/>
                  <w:sz w:val="18"/>
                  <w:szCs w:val="18"/>
                  <w:color w:val="0000FF"/>
                  <w:w w:val="99"/>
                </w:rPr>
                <w:t>4.</w:t>
              </w:r>
              <w:r>
                <w:rPr>
                  <w:rFonts w:ascii="Times New Roman" w:cs="Times New Roman" w:eastAsia="Times New Roman" w:hAnsi="Times New Roman"/>
                  <w:sz w:val="18"/>
                  <w:szCs w:val="18"/>
                  <w:u w:val="single" w:color="auto"/>
                  <w:color w:val="0000FF"/>
                  <w:w w:val="99"/>
                </w:rPr>
                <w:t>8</w:t>
              </w:r>
              <w:r>
                <w:rPr>
                  <w:rFonts w:ascii="Times New Roman" w:cs="Times New Roman" w:eastAsia="Times New Roman" w:hAnsi="Times New Roman"/>
                  <w:sz w:val="18"/>
                  <w:szCs w:val="18"/>
                  <w:color w:val="0000FF"/>
                  <w:w w:val="99"/>
                </w:rPr>
                <w:t xml:space="preserve"> of the Registrant’s Registration Statement on Form 10, filed with the SEC on December 14, 2021)</w:t>
              </w:r>
            </w:hyperlink>
          </w:p>
        </w:tc>
        <w:tc>
          <w:tcPr>
            <w:tcW w:w="2300" w:type="dxa"/>
            <w:vAlign w:val="bottom"/>
            <w:tcBorders>
              <w:top w:val="single" w:sz="8" w:color="0000FF"/>
            </w:tcBorders>
            <w:gridSpan w:val="7"/>
          </w:tcPr>
          <w:p>
            <w:pPr>
              <w:spacing w:after="0"/>
              <w:rPr>
                <w:sz w:val="15"/>
                <w:szCs w:val="15"/>
                <w:color w:val="auto"/>
              </w:rPr>
            </w:pPr>
          </w:p>
        </w:tc>
        <w:tc>
          <w:tcPr>
            <w:tcW w:w="140" w:type="dxa"/>
            <w:vAlign w:val="bottom"/>
            <w:gridSpan w:val="2"/>
          </w:tcPr>
          <w:p>
            <w:pPr>
              <w:spacing w:after="0"/>
              <w:rPr>
                <w:sz w:val="15"/>
                <w:szCs w:val="15"/>
                <w:color w:val="auto"/>
              </w:rPr>
            </w:pPr>
          </w:p>
        </w:tc>
      </w:tr>
    </w:tbl>
    <w:p>
      <w:pPr>
        <w:spacing w:after="0" w:line="63" w:lineRule="exact"/>
        <w:rPr>
          <w:sz w:val="20"/>
          <w:szCs w:val="20"/>
          <w:color w:val="auto"/>
        </w:rPr>
      </w:pPr>
    </w:p>
    <w:p>
      <w:pPr>
        <w:sectPr>
          <w:pgSz w:w="11900" w:h="16838" w:orient="portrait"/>
          <w:cols w:equalWidth="0" w:num="1">
            <w:col w:w="11240"/>
          </w:cols>
          <w:pgMar w:left="320" w:top="121" w:right="339" w:bottom="1440" w:gutter="0" w:footer="0" w:header="0"/>
          <w:type w:val="continuous"/>
        </w:sectPr>
      </w:pPr>
    </w:p>
    <w:p>
      <w:pPr>
        <w:ind w:left="500"/>
        <w:spacing w:after="0"/>
        <w:rPr>
          <w:sz w:val="20"/>
          <w:szCs w:val="20"/>
          <w:color w:val="auto"/>
        </w:rPr>
      </w:pPr>
      <w:r>
        <w:rPr>
          <w:rFonts w:ascii="Times New Roman" w:cs="Times New Roman" w:eastAsia="Times New Roman" w:hAnsi="Times New Roman"/>
          <w:sz w:val="18"/>
          <w:szCs w:val="18"/>
          <w:color w:val="auto"/>
        </w:rPr>
        <w:t>4.9</w:t>
      </w:r>
    </w:p>
    <w:p>
      <w:pPr>
        <w:spacing w:after="0" w:line="2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4.10</w:t>
      </w:r>
    </w:p>
    <w:p>
      <w:pPr>
        <w:spacing w:after="0" w:line="20" w:lineRule="exact"/>
        <w:rPr>
          <w:sz w:val="20"/>
          <w:szCs w:val="20"/>
          <w:color w:val="auto"/>
        </w:rPr>
      </w:pPr>
      <w:r>
        <w:rPr>
          <w:sz w:val="20"/>
          <w:szCs w:val="20"/>
          <w:color w:val="auto"/>
        </w:rPr>
        <w:br w:type="column"/>
      </w:r>
    </w:p>
    <w:p>
      <w:pPr>
        <w:ind w:right="480"/>
        <w:spacing w:after="0" w:line="266" w:lineRule="auto"/>
        <w:rPr>
          <w:rFonts w:ascii="Times New Roman" w:cs="Times New Roman" w:eastAsia="Times New Roman" w:hAnsi="Times New Roman"/>
          <w:sz w:val="18"/>
          <w:szCs w:val="18"/>
          <w:u w:val="single" w:color="auto"/>
          <w:color w:val="0000FF"/>
        </w:rPr>
      </w:pPr>
      <w:hyperlink r:id="rId107">
        <w:r>
          <w:rPr>
            <w:rFonts w:ascii="Times New Roman" w:cs="Times New Roman" w:eastAsia="Times New Roman" w:hAnsi="Times New Roman"/>
            <w:sz w:val="18"/>
            <w:szCs w:val="18"/>
            <w:u w:val="single" w:color="auto"/>
            <w:color w:val="0000FF"/>
          </w:rPr>
          <w:t>Warrant Indenture dated October 29, 2020 between Columbia Care Inc. and Odyssey Trust Company (incorporated by reference to</w:t>
        </w:r>
      </w:hyperlink>
      <w:r>
        <w:rPr>
          <w:rFonts w:ascii="Times New Roman" w:cs="Times New Roman" w:eastAsia="Times New Roman" w:hAnsi="Times New Roman"/>
          <w:sz w:val="18"/>
          <w:szCs w:val="18"/>
          <w:u w:val="single" w:color="auto"/>
          <w:color w:val="0000FF"/>
        </w:rPr>
        <w:t xml:space="preserve"> </w:t>
      </w:r>
      <w:hyperlink r:id="rId107">
        <w:r>
          <w:rPr>
            <w:rFonts w:ascii="Times New Roman" w:cs="Times New Roman" w:eastAsia="Times New Roman" w:hAnsi="Times New Roman"/>
            <w:sz w:val="18"/>
            <w:szCs w:val="18"/>
            <w:u w:val="single" w:color="auto"/>
            <w:color w:val="0000FF"/>
          </w:rPr>
          <w:t>Exhibit 4.9 of the Registrant’s Registration Statement on Form 10, filed with the SEC on December 14, 2021)</w:t>
        </w:r>
      </w:hyperlink>
    </w:p>
    <w:p>
      <w:pPr>
        <w:spacing w:after="0" w:line="27" w:lineRule="exact"/>
        <w:rPr>
          <w:sz w:val="20"/>
          <w:szCs w:val="20"/>
          <w:color w:val="auto"/>
        </w:rPr>
      </w:pPr>
    </w:p>
    <w:p>
      <w:pPr>
        <w:ind w:right="480"/>
        <w:spacing w:after="0" w:line="290" w:lineRule="auto"/>
        <w:rPr>
          <w:rFonts w:ascii="Times New Roman" w:cs="Times New Roman" w:eastAsia="Times New Roman" w:hAnsi="Times New Roman"/>
          <w:sz w:val="17"/>
          <w:szCs w:val="17"/>
          <w:u w:val="single" w:color="auto"/>
          <w:color w:val="0000FF"/>
        </w:rPr>
      </w:pPr>
      <w:hyperlink r:id="rId108">
        <w:r>
          <w:rPr>
            <w:rFonts w:ascii="Times New Roman" w:cs="Times New Roman" w:eastAsia="Times New Roman" w:hAnsi="Times New Roman"/>
            <w:sz w:val="17"/>
            <w:szCs w:val="17"/>
            <w:u w:val="single" w:color="auto"/>
            <w:color w:val="0000FF"/>
          </w:rPr>
          <w:t>Second Supplemental Indenture dated June 29, 2021 between Columbia Care Inc. and Odyssey Trust Company (incorporated by</w:t>
        </w:r>
      </w:hyperlink>
      <w:r>
        <w:rPr>
          <w:rFonts w:ascii="Times New Roman" w:cs="Times New Roman" w:eastAsia="Times New Roman" w:hAnsi="Times New Roman"/>
          <w:sz w:val="17"/>
          <w:szCs w:val="17"/>
          <w:u w:val="single" w:color="auto"/>
          <w:color w:val="0000FF"/>
        </w:rPr>
        <w:t xml:space="preserve"> </w:t>
      </w:r>
      <w:hyperlink r:id="rId108">
        <w:r>
          <w:rPr>
            <w:rFonts w:ascii="Times New Roman" w:cs="Times New Roman" w:eastAsia="Times New Roman" w:hAnsi="Times New Roman"/>
            <w:sz w:val="17"/>
            <w:szCs w:val="17"/>
            <w:u w:val="single" w:color="auto"/>
            <w:color w:val="0000FF"/>
          </w:rPr>
          <w:t>reference to Exhibit 4.10 of the Registrant’s amended Registration Statement on Form 10, filed with the SEC on January 28, 2022)</w:t>
        </w:r>
      </w:hyperlink>
    </w:p>
    <w:p>
      <w:pPr>
        <w:spacing w:after="0" w:line="1" w:lineRule="exact"/>
        <w:rPr>
          <w:sz w:val="20"/>
          <w:szCs w:val="20"/>
          <w:color w:val="auto"/>
        </w:rPr>
      </w:pPr>
    </w:p>
    <w:p>
      <w:pPr>
        <w:sectPr>
          <w:pgSz w:w="11900" w:h="16838" w:orient="portrait"/>
          <w:cols w:equalWidth="0" w:num="2">
            <w:col w:w="780" w:space="560"/>
            <w:col w:w="9900"/>
          </w:cols>
          <w:pgMar w:left="320" w:top="121" w:right="339" w:bottom="1440" w:gutter="0" w:footer="0" w:header="0"/>
          <w:type w:val="continuous"/>
        </w:sectPr>
      </w:pPr>
    </w:p>
    <w:p>
      <w:pPr>
        <w:ind w:left="1340" w:right="400" w:hanging="880"/>
        <w:spacing w:after="0" w:line="296" w:lineRule="auto"/>
        <w:tabs>
          <w:tab w:leader="none" w:pos="13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4.11</w:t>
      </w:r>
      <w:r>
        <w:rPr>
          <w:sz w:val="20"/>
          <w:szCs w:val="20"/>
          <w:color w:val="auto"/>
        </w:rPr>
        <w:tab/>
      </w:r>
      <w:hyperlink r:id="rId109">
        <w:r>
          <w:rPr>
            <w:rFonts w:ascii="Times New Roman" w:cs="Times New Roman" w:eastAsia="Times New Roman" w:hAnsi="Times New Roman"/>
            <w:sz w:val="17"/>
            <w:szCs w:val="17"/>
            <w:u w:val="single" w:color="auto"/>
            <w:color w:val="0000FF"/>
          </w:rPr>
          <w:t>Third Supplemental Indenture dated February 2, 2022 between Columbia Care Inc. and Odyssey Trust Company (incorporated by</w:t>
        </w:r>
      </w:hyperlink>
      <w:r>
        <w:rPr>
          <w:rFonts w:ascii="Times New Roman" w:cs="Times New Roman" w:eastAsia="Times New Roman" w:hAnsi="Times New Roman"/>
          <w:sz w:val="17"/>
          <w:szCs w:val="17"/>
          <w:u w:val="single" w:color="auto"/>
          <w:color w:val="0000FF"/>
        </w:rPr>
        <w:t xml:space="preserve"> </w:t>
      </w:r>
      <w:hyperlink r:id="rId109">
        <w:r>
          <w:rPr>
            <w:rFonts w:ascii="Times New Roman" w:cs="Times New Roman" w:eastAsia="Times New Roman" w:hAnsi="Times New Roman"/>
            <w:sz w:val="17"/>
            <w:szCs w:val="17"/>
            <w:u w:val="single" w:color="auto"/>
            <w:color w:val="0000FF"/>
          </w:rPr>
          <w:t>reference to Exhibit 4.11 of the Registrant’s amended Registration Statement on Form 10, filed with the SEC on February 15, 2022)</w:t>
        </w:r>
      </w:hyperlink>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right"/>
        <w:ind w:left="460" w:right="320"/>
        <w:spacing w:after="0" w:line="281"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4.12      </w:t>
      </w:r>
      <w:hyperlink r:id="rId111">
        <w:r>
          <w:rPr>
            <w:rFonts w:ascii="Times New Roman" w:cs="Times New Roman" w:eastAsia="Times New Roman" w:hAnsi="Times New Roman"/>
            <w:sz w:val="18"/>
            <w:szCs w:val="18"/>
            <w:u w:val="single" w:color="auto"/>
            <w:color w:val="0000FF"/>
          </w:rPr>
          <w:t>Fourth Supplemental Indenture dated February 3, 2022 between Columbia Care Inc. and Odyssey Trust Company (incorporated by</w:t>
        </w:r>
      </w:hyperlink>
      <w:r>
        <w:rPr>
          <w:rFonts w:ascii="Times New Roman" w:cs="Times New Roman" w:eastAsia="Times New Roman" w:hAnsi="Times New Roman"/>
          <w:sz w:val="18"/>
          <w:szCs w:val="18"/>
          <w:color w:val="auto"/>
        </w:rPr>
        <w:t xml:space="preserve"> </w:t>
      </w:r>
      <w:hyperlink r:id="rId111">
        <w:r>
          <w:rPr>
            <w:rFonts w:ascii="Times New Roman" w:cs="Times New Roman" w:eastAsia="Times New Roman" w:hAnsi="Times New Roman"/>
            <w:sz w:val="18"/>
            <w:szCs w:val="18"/>
            <w:u w:val="single" w:color="auto"/>
            <w:color w:val="0000FF"/>
          </w:rPr>
          <w:t>reference to Exhibit 4.12 of the Registrant’s amended Registration Statement on Form 10, filed with the SEC on February 15, 2022)</w:t>
        </w:r>
      </w:hyperlink>
    </w:p>
    <w:p>
      <w:pPr>
        <w:spacing w:after="0" w:line="1" w:lineRule="exact"/>
        <w:rPr>
          <w:sz w:val="20"/>
          <w:szCs w:val="20"/>
          <w:color w:val="auto"/>
        </w:rPr>
      </w:pPr>
    </w:p>
    <w:p>
      <w:pPr>
        <w:ind w:left="1340" w:right="100" w:hanging="883"/>
        <w:spacing w:after="0" w:line="266" w:lineRule="auto"/>
        <w:tabs>
          <w:tab w:leader="none" w:pos="13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4.13</w:t>
      </w:r>
      <w:r>
        <w:rPr>
          <w:sz w:val="20"/>
          <w:szCs w:val="20"/>
          <w:color w:val="auto"/>
        </w:rPr>
        <w:tab/>
      </w:r>
      <w:hyperlink r:id="rId112">
        <w:r>
          <w:rPr>
            <w:rFonts w:ascii="Times New Roman" w:cs="Times New Roman" w:eastAsia="Times New Roman" w:hAnsi="Times New Roman"/>
            <w:sz w:val="18"/>
            <w:szCs w:val="18"/>
            <w:u w:val="single" w:color="auto"/>
            <w:color w:val="0000FF"/>
          </w:rPr>
          <w:t>Fifth Supplemental Indenture dated May 5, 2022 between Columbia Care Inc. and Odyssey Trust Company (incorporated by reference</w:t>
        </w:r>
      </w:hyperlink>
      <w:r>
        <w:rPr>
          <w:rFonts w:ascii="Times New Roman" w:cs="Times New Roman" w:eastAsia="Times New Roman" w:hAnsi="Times New Roman"/>
          <w:sz w:val="18"/>
          <w:szCs w:val="18"/>
          <w:u w:val="single" w:color="auto"/>
          <w:color w:val="0000FF"/>
        </w:rPr>
        <w:t xml:space="preserve"> </w:t>
      </w:r>
      <w:hyperlink r:id="rId112">
        <w:r>
          <w:rPr>
            <w:rFonts w:ascii="Times New Roman" w:cs="Times New Roman" w:eastAsia="Times New Roman" w:hAnsi="Times New Roman"/>
            <w:sz w:val="18"/>
            <w:szCs w:val="18"/>
            <w:u w:val="single" w:color="auto"/>
            <w:color w:val="0000FF"/>
          </w:rPr>
          <w:t>to Exhibit 4.13 of the Registrant’s Form 8-K, filed with the SEC on May 11, 2022)</w:t>
        </w:r>
      </w:hyperlink>
    </w:p>
    <w:p>
      <w:pPr>
        <w:spacing w:after="0" w:line="27" w:lineRule="exact"/>
        <w:rPr>
          <w:sz w:val="20"/>
          <w:szCs w:val="20"/>
          <w:color w:val="auto"/>
        </w:rPr>
      </w:pPr>
    </w:p>
    <w:p>
      <w:pPr>
        <w:ind w:left="1340" w:right="500" w:hanging="883"/>
        <w:spacing w:after="0" w:line="266" w:lineRule="auto"/>
        <w:tabs>
          <w:tab w:leader="none" w:pos="13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4.14</w:t>
      </w:r>
      <w:r>
        <w:rPr>
          <w:sz w:val="20"/>
          <w:szCs w:val="20"/>
          <w:color w:val="auto"/>
        </w:rPr>
        <w:tab/>
      </w:r>
      <w:hyperlink r:id="rId113">
        <w:r>
          <w:rPr>
            <w:rFonts w:ascii="Times New Roman" w:cs="Times New Roman" w:eastAsia="Times New Roman" w:hAnsi="Times New Roman"/>
            <w:sz w:val="18"/>
            <w:szCs w:val="18"/>
            <w:u w:val="single" w:color="auto"/>
            <w:color w:val="0000FF"/>
          </w:rPr>
          <w:t>Extension Notice dated March 28, 2023 to Odyssey Trust Company (incorporated by reference to Exhibit 4.14 of the Registrant’s</w:t>
        </w:r>
      </w:hyperlink>
      <w:r>
        <w:rPr>
          <w:rFonts w:ascii="Times New Roman" w:cs="Times New Roman" w:eastAsia="Times New Roman" w:hAnsi="Times New Roman"/>
          <w:sz w:val="18"/>
          <w:szCs w:val="18"/>
          <w:u w:val="single" w:color="auto"/>
          <w:color w:val="0000FF"/>
        </w:rPr>
        <w:t xml:space="preserve"> </w:t>
      </w:r>
      <w:hyperlink r:id="rId113">
        <w:r>
          <w:rPr>
            <w:rFonts w:ascii="Times New Roman" w:cs="Times New Roman" w:eastAsia="Times New Roman" w:hAnsi="Times New Roman"/>
            <w:sz w:val="18"/>
            <w:szCs w:val="18"/>
            <w:u w:val="single" w:color="auto"/>
            <w:color w:val="0000FF"/>
          </w:rPr>
          <w:t>Annual Report on Form 10-K for the fiscal year ended December 31, 2022, filed with the SEC on March 29, 2023)</w:t>
        </w:r>
      </w:hyperlink>
    </w:p>
    <w:p>
      <w:pPr>
        <w:spacing w:after="0" w:line="27" w:lineRule="exact"/>
        <w:rPr>
          <w:sz w:val="20"/>
          <w:szCs w:val="20"/>
          <w:color w:val="auto"/>
        </w:rPr>
      </w:pPr>
    </w:p>
    <w:p>
      <w:pPr>
        <w:ind w:left="1340" w:right="100" w:hanging="883"/>
        <w:spacing w:after="0" w:line="258" w:lineRule="auto"/>
        <w:tabs>
          <w:tab w:leader="none" w:pos="13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4.15</w:t>
      </w:r>
      <w:r>
        <w:rPr>
          <w:sz w:val="20"/>
          <w:szCs w:val="20"/>
          <w:color w:val="auto"/>
        </w:rPr>
        <w:tab/>
      </w:r>
      <w:hyperlink r:id="rId114">
        <w:r>
          <w:rPr>
            <w:rFonts w:ascii="Times New Roman" w:cs="Times New Roman" w:eastAsia="Times New Roman" w:hAnsi="Times New Roman"/>
            <w:sz w:val="18"/>
            <w:szCs w:val="18"/>
            <w:u w:val="single" w:color="auto"/>
            <w:color w:val="0000FF"/>
          </w:rPr>
          <w:t>Sixth Supplemental Indenture dated September 20, 2023 between The Cannabist Company Holdings Inc. and Odyssey Trust Company</w:t>
        </w:r>
      </w:hyperlink>
      <w:r>
        <w:rPr>
          <w:rFonts w:ascii="Times New Roman" w:cs="Times New Roman" w:eastAsia="Times New Roman" w:hAnsi="Times New Roman"/>
          <w:sz w:val="18"/>
          <w:szCs w:val="18"/>
          <w:u w:val="single" w:color="auto"/>
          <w:color w:val="0000FF"/>
        </w:rPr>
        <w:t xml:space="preserve"> </w:t>
      </w:r>
      <w:hyperlink r:id="rId114">
        <w:r>
          <w:rPr>
            <w:rFonts w:ascii="Times New Roman" w:cs="Times New Roman" w:eastAsia="Times New Roman" w:hAnsi="Times New Roman"/>
            <w:sz w:val="18"/>
            <w:szCs w:val="18"/>
            <w:u w:val="single" w:color="auto"/>
            <w:color w:val="0000FF"/>
          </w:rPr>
          <w:t>(incorporated by reference to Exhibit 4.15 of the Registrant's Form 10-Q for the quarter ended March 31, 2024, filed with the SEC on</w:t>
        </w:r>
      </w:hyperlink>
      <w:r>
        <w:rPr>
          <w:rFonts w:ascii="Times New Roman" w:cs="Times New Roman" w:eastAsia="Times New Roman" w:hAnsi="Times New Roman"/>
          <w:sz w:val="18"/>
          <w:szCs w:val="18"/>
          <w:u w:val="single" w:color="auto"/>
          <w:color w:val="0000FF"/>
        </w:rPr>
        <w:t xml:space="preserve"> </w:t>
      </w:r>
      <w:hyperlink r:id="rId114">
        <w:r>
          <w:rPr>
            <w:rFonts w:ascii="Times New Roman" w:cs="Times New Roman" w:eastAsia="Times New Roman" w:hAnsi="Times New Roman"/>
            <w:sz w:val="18"/>
            <w:szCs w:val="18"/>
            <w:u w:val="single" w:color="auto"/>
            <w:color w:val="0000FF"/>
          </w:rPr>
          <w:t>May 9, 2024)</w:t>
        </w:r>
      </w:hyperlink>
    </w:p>
    <w:p>
      <w:pPr>
        <w:spacing w:after="0" w:line="21" w:lineRule="exact"/>
        <w:rPr>
          <w:rFonts w:ascii="Times New Roman" w:cs="Times New Roman" w:eastAsia="Times New Roman" w:hAnsi="Times New Roman"/>
          <w:sz w:val="18"/>
          <w:szCs w:val="18"/>
          <w:u w:val="single" w:color="auto"/>
          <w:color w:val="0000FF"/>
        </w:rPr>
      </w:pPr>
    </w:p>
    <w:p>
      <w:pPr>
        <w:ind w:left="1340" w:right="200" w:hanging="883"/>
        <w:spacing w:after="0" w:line="266" w:lineRule="auto"/>
        <w:tabs>
          <w:tab w:leader="none" w:pos="13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4.16</w:t>
      </w:r>
      <w:r>
        <w:rPr>
          <w:sz w:val="20"/>
          <w:szCs w:val="20"/>
          <w:color w:val="auto"/>
        </w:rPr>
        <w:tab/>
      </w:r>
      <w:hyperlink r:id="rId115">
        <w:r>
          <w:rPr>
            <w:rFonts w:ascii="Times New Roman" w:cs="Times New Roman" w:eastAsia="Times New Roman" w:hAnsi="Times New Roman"/>
            <w:sz w:val="18"/>
            <w:szCs w:val="18"/>
            <w:u w:val="single" w:color="auto"/>
            <w:color w:val="0000FF"/>
          </w:rPr>
          <w:t>Seventh Supplemental Indenture dated March 19, 2024 between The Cannabist Company Holdings Inc. and Odyssey Trust Company</w:t>
        </w:r>
      </w:hyperlink>
      <w:r>
        <w:rPr>
          <w:rFonts w:ascii="Times New Roman" w:cs="Times New Roman" w:eastAsia="Times New Roman" w:hAnsi="Times New Roman"/>
          <w:sz w:val="18"/>
          <w:szCs w:val="18"/>
          <w:u w:val="single" w:color="auto"/>
          <w:color w:val="0000FF"/>
        </w:rPr>
        <w:t xml:space="preserve"> </w:t>
      </w:r>
      <w:hyperlink r:id="rId115">
        <w:r>
          <w:rPr>
            <w:rFonts w:ascii="Times New Roman" w:cs="Times New Roman" w:eastAsia="Times New Roman" w:hAnsi="Times New Roman"/>
            <w:sz w:val="18"/>
            <w:szCs w:val="18"/>
            <w:u w:val="single" w:color="auto"/>
            <w:color w:val="0000FF"/>
          </w:rPr>
          <w:t>(incorporated by reference to Exhibit 4.16 of the Registrant’s Form 8-K, filed with the SEC on March 20, 2024)</w:t>
        </w:r>
      </w:hyperlink>
    </w:p>
    <w:p>
      <w:pPr>
        <w:sectPr>
          <w:pgSz w:w="11900" w:h="16838" w:orient="portrait"/>
          <w:cols w:equalWidth="0" w:num="1">
            <w:col w:w="11160"/>
          </w:cols>
          <w:pgMar w:left="320" w:top="121" w:right="419" w:bottom="1440" w:gutter="0" w:footer="0" w:header="0"/>
        </w:sectPr>
      </w:pPr>
    </w:p>
    <w:p>
      <w:pPr>
        <w:spacing w:after="0" w:line="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10.1#</w:t>
      </w:r>
    </w:p>
    <w:p>
      <w:pPr>
        <w:spacing w:after="0" w:line="200" w:lineRule="exact"/>
        <w:rPr>
          <w:sz w:val="20"/>
          <w:szCs w:val="20"/>
          <w:color w:val="auto"/>
        </w:rPr>
      </w:pPr>
    </w:p>
    <w:p>
      <w:pPr>
        <w:spacing w:after="0" w:line="2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ind w:right="240"/>
        <w:spacing w:after="0" w:line="258" w:lineRule="auto"/>
        <w:rPr>
          <w:rFonts w:ascii="Times New Roman" w:cs="Times New Roman" w:eastAsia="Times New Roman" w:hAnsi="Times New Roman"/>
          <w:sz w:val="18"/>
          <w:szCs w:val="18"/>
          <w:u w:val="single" w:color="auto"/>
          <w:color w:val="0000FF"/>
        </w:rPr>
      </w:pPr>
      <w:hyperlink r:id="rId116">
        <w:r>
          <w:rPr>
            <w:rFonts w:ascii="Times New Roman" w:cs="Times New Roman" w:eastAsia="Times New Roman" w:hAnsi="Times New Roman"/>
            <w:sz w:val="18"/>
            <w:szCs w:val="18"/>
            <w:u w:val="single" w:color="auto"/>
            <w:color w:val="0000FF"/>
          </w:rPr>
          <w:t>Equity Purchase Agreement, dated July 29, 2024, among Verano Holdings, LLC, Verano Holdings Corp., Columbia Care Eastern</w:t>
        </w:r>
      </w:hyperlink>
      <w:r>
        <w:rPr>
          <w:rFonts w:ascii="Times New Roman" w:cs="Times New Roman" w:eastAsia="Times New Roman" w:hAnsi="Times New Roman"/>
          <w:sz w:val="18"/>
          <w:szCs w:val="18"/>
          <w:u w:val="single" w:color="auto"/>
          <w:color w:val="0000FF"/>
        </w:rPr>
        <w:t xml:space="preserve"> </w:t>
      </w:r>
      <w:hyperlink r:id="rId116">
        <w:r>
          <w:rPr>
            <w:rFonts w:ascii="Times New Roman" w:cs="Times New Roman" w:eastAsia="Times New Roman" w:hAnsi="Times New Roman"/>
            <w:sz w:val="18"/>
            <w:szCs w:val="18"/>
            <w:u w:val="single" w:color="auto"/>
            <w:color w:val="0000FF"/>
          </w:rPr>
          <w:t>Virginia LLC and the members of Columbia Care Eastern Virginia LLC and The Cannabist Company Holdings Inc. (incorporated by</w:t>
        </w:r>
      </w:hyperlink>
      <w:r>
        <w:rPr>
          <w:rFonts w:ascii="Times New Roman" w:cs="Times New Roman" w:eastAsia="Times New Roman" w:hAnsi="Times New Roman"/>
          <w:sz w:val="18"/>
          <w:szCs w:val="18"/>
          <w:u w:val="single" w:color="auto"/>
          <w:color w:val="0000FF"/>
        </w:rPr>
        <w:t xml:space="preserve"> </w:t>
      </w:r>
      <w:hyperlink r:id="rId116">
        <w:r>
          <w:rPr>
            <w:rFonts w:ascii="Times New Roman" w:cs="Times New Roman" w:eastAsia="Times New Roman" w:hAnsi="Times New Roman"/>
            <w:sz w:val="18"/>
            <w:szCs w:val="18"/>
            <w:u w:val="single" w:color="auto"/>
            <w:color w:val="0000FF"/>
          </w:rPr>
          <w:t>reference to Exhibit 10.1 of the Registrant’s Form 8-K, filed with the SEC on July 31, 2024</w:t>
        </w:r>
      </w:hyperlink>
    </w:p>
    <w:p>
      <w:pPr>
        <w:spacing w:after="0" w:line="21" w:lineRule="exact"/>
        <w:rPr>
          <w:rFonts w:ascii="Times New Roman" w:cs="Times New Roman" w:eastAsia="Times New Roman" w:hAnsi="Times New Roman"/>
          <w:sz w:val="18"/>
          <w:szCs w:val="18"/>
          <w:u w:val="single" w:color="auto"/>
          <w:color w:val="0000FF"/>
        </w:rPr>
      </w:pPr>
    </w:p>
    <w:p>
      <w:pPr>
        <w:ind w:right="40"/>
        <w:spacing w:after="0" w:line="266" w:lineRule="auto"/>
        <w:rPr>
          <w:rFonts w:ascii="Times New Roman" w:cs="Times New Roman" w:eastAsia="Times New Roman" w:hAnsi="Times New Roman"/>
          <w:sz w:val="18"/>
          <w:szCs w:val="18"/>
          <w:u w:val="single" w:color="auto"/>
          <w:color w:val="0000FF"/>
        </w:rPr>
      </w:pPr>
      <w:hyperlink r:id="rId116">
        <w:r>
          <w:rPr>
            <w:rFonts w:ascii="Times New Roman" w:cs="Times New Roman" w:eastAsia="Times New Roman" w:hAnsi="Times New Roman"/>
            <w:sz w:val="18"/>
            <w:szCs w:val="18"/>
            <w:u w:val="single" w:color="auto"/>
            <w:color w:val="0000FF"/>
          </w:rPr>
          <w:t>Form of Verano Holdings, LLC Promissory Note (incorporated by reference to Exhibit 10.2 of the Registrant’s Form 8-K, filed with the</w:t>
        </w:r>
      </w:hyperlink>
      <w:r>
        <w:rPr>
          <w:rFonts w:ascii="Times New Roman" w:cs="Times New Roman" w:eastAsia="Times New Roman" w:hAnsi="Times New Roman"/>
          <w:sz w:val="18"/>
          <w:szCs w:val="18"/>
          <w:u w:val="single" w:color="auto"/>
          <w:color w:val="0000FF"/>
        </w:rPr>
        <w:t xml:space="preserve"> </w:t>
      </w:r>
      <w:hyperlink r:id="rId116">
        <w:r>
          <w:rPr>
            <w:rFonts w:ascii="Times New Roman" w:cs="Times New Roman" w:eastAsia="Times New Roman" w:hAnsi="Times New Roman"/>
            <w:sz w:val="18"/>
            <w:szCs w:val="18"/>
            <w:u w:val="single" w:color="auto"/>
            <w:color w:val="0000FF"/>
          </w:rPr>
          <w:t>SEC on July 31, 2024)</w:t>
        </w:r>
      </w:hyperlink>
    </w:p>
    <w:p>
      <w:pPr>
        <w:spacing w:after="0" w:line="14" w:lineRule="exact"/>
        <w:rPr>
          <w:sz w:val="20"/>
          <w:szCs w:val="20"/>
          <w:color w:val="auto"/>
        </w:rPr>
      </w:pPr>
    </w:p>
    <w:p>
      <w:pPr>
        <w:sectPr>
          <w:pgSz w:w="11900" w:h="16838" w:orient="portrait"/>
          <w:cols w:equalWidth="0" w:num="2">
            <w:col w:w="820" w:space="520"/>
            <w:col w:w="9820"/>
          </w:cols>
          <w:pgMar w:left="320" w:top="121" w:right="419" w:bottom="1440" w:gutter="0" w:footer="0" w:header="0"/>
          <w:type w:val="continuous"/>
        </w:sectPr>
      </w:pPr>
    </w:p>
    <w:p>
      <w:pPr>
        <w:ind w:left="420"/>
        <w:spacing w:after="0"/>
        <w:rPr>
          <w:sz w:val="20"/>
          <w:szCs w:val="20"/>
          <w:color w:val="auto"/>
        </w:rPr>
      </w:pPr>
      <w:r>
        <w:rPr>
          <w:rFonts w:ascii="Times New Roman" w:cs="Times New Roman" w:eastAsia="Times New Roman" w:hAnsi="Times New Roman"/>
          <w:sz w:val="18"/>
          <w:szCs w:val="18"/>
          <w:color w:val="auto"/>
        </w:rPr>
        <w:t>10.3#</w:t>
      </w:r>
    </w:p>
    <w:p>
      <w:pPr>
        <w:spacing w:after="0" w:line="200" w:lineRule="exact"/>
        <w:rPr>
          <w:sz w:val="20"/>
          <w:szCs w:val="20"/>
          <w:color w:val="auto"/>
        </w:rPr>
      </w:pPr>
    </w:p>
    <w:p>
      <w:pPr>
        <w:spacing w:after="0" w:line="28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10.4#</w:t>
      </w:r>
    </w:p>
    <w:p>
      <w:pPr>
        <w:spacing w:after="0" w:line="200" w:lineRule="exact"/>
        <w:rPr>
          <w:sz w:val="20"/>
          <w:szCs w:val="20"/>
          <w:color w:val="auto"/>
        </w:rPr>
      </w:pPr>
    </w:p>
    <w:p>
      <w:pPr>
        <w:spacing w:after="0" w:line="28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10.5*</w:t>
      </w:r>
    </w:p>
    <w:p>
      <w:pPr>
        <w:spacing w:after="0" w:line="6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10.6</w:t>
      </w:r>
    </w:p>
    <w:p>
      <w:pPr>
        <w:spacing w:after="0" w:line="26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10.7#</w:t>
      </w:r>
    </w:p>
    <w:p>
      <w:pPr>
        <w:spacing w:after="0" w:line="200" w:lineRule="exact"/>
        <w:rPr>
          <w:sz w:val="20"/>
          <w:szCs w:val="20"/>
          <w:color w:val="auto"/>
        </w:rPr>
      </w:pPr>
    </w:p>
    <w:p>
      <w:pPr>
        <w:spacing w:after="0" w:line="2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10.8#</w:t>
      </w:r>
    </w:p>
    <w:p>
      <w:pPr>
        <w:spacing w:after="0" w:line="26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10.9#</w:t>
      </w:r>
    </w:p>
    <w:p>
      <w:pPr>
        <w:spacing w:after="0" w:line="21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10.10*</w:t>
      </w:r>
    </w:p>
    <w:p>
      <w:pPr>
        <w:spacing w:after="0" w:line="2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10.11*</w:t>
      </w:r>
    </w:p>
    <w:p>
      <w:pPr>
        <w:spacing w:after="0" w:line="2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31.1*</w:t>
      </w:r>
    </w:p>
    <w:p>
      <w:pPr>
        <w:spacing w:after="0" w:line="27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31.2*</w:t>
      </w:r>
    </w:p>
    <w:p>
      <w:pPr>
        <w:spacing w:after="0" w:line="27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32.1‡</w:t>
      </w:r>
    </w:p>
    <w:p>
      <w:pPr>
        <w:spacing w:after="0" w:line="20" w:lineRule="exact"/>
        <w:rPr>
          <w:sz w:val="20"/>
          <w:szCs w:val="20"/>
          <w:color w:val="auto"/>
        </w:rPr>
      </w:pPr>
      <w:r>
        <w:rPr>
          <w:sz w:val="20"/>
          <w:szCs w:val="20"/>
          <w:color w:val="auto"/>
        </w:rPr>
        <w:br w:type="column"/>
      </w:r>
    </w:p>
    <w:p>
      <w:pPr>
        <w:spacing w:after="0" w:line="258" w:lineRule="auto"/>
        <w:rPr>
          <w:rFonts w:ascii="Times New Roman" w:cs="Times New Roman" w:eastAsia="Times New Roman" w:hAnsi="Times New Roman"/>
          <w:sz w:val="18"/>
          <w:szCs w:val="18"/>
          <w:u w:val="single" w:color="auto"/>
          <w:color w:val="0000FF"/>
        </w:rPr>
      </w:pPr>
      <w:hyperlink r:id="rId116">
        <w:r>
          <w:rPr>
            <w:rFonts w:ascii="Times New Roman" w:cs="Times New Roman" w:eastAsia="Times New Roman" w:hAnsi="Times New Roman"/>
            <w:sz w:val="18"/>
            <w:szCs w:val="18"/>
            <w:u w:val="single" w:color="auto"/>
            <w:color w:val="0000FF"/>
          </w:rPr>
          <w:t>Equity Purchase Agreement, dated July 29, 2024, among Verano Arizona, LLC, 203 Organix L.L.C., CC VA HoldCo LLC, Columbia</w:t>
        </w:r>
      </w:hyperlink>
      <w:r>
        <w:rPr>
          <w:rFonts w:ascii="Times New Roman" w:cs="Times New Roman" w:eastAsia="Times New Roman" w:hAnsi="Times New Roman"/>
          <w:sz w:val="18"/>
          <w:szCs w:val="18"/>
          <w:u w:val="single" w:color="auto"/>
          <w:color w:val="0000FF"/>
        </w:rPr>
        <w:t xml:space="preserve"> </w:t>
      </w:r>
      <w:hyperlink r:id="rId116">
        <w:r>
          <w:rPr>
            <w:rFonts w:ascii="Times New Roman" w:cs="Times New Roman" w:eastAsia="Times New Roman" w:hAnsi="Times New Roman"/>
            <w:sz w:val="18"/>
            <w:szCs w:val="18"/>
            <w:u w:val="single" w:color="auto"/>
            <w:color w:val="0000FF"/>
          </w:rPr>
          <w:t>Care-Arizona, Prescott, L.L.C. and The Cannabist Company Holdings Inc. (incorporated by reference to Exhibit 10.3 of the Registrant’s</w:t>
        </w:r>
      </w:hyperlink>
      <w:r>
        <w:rPr>
          <w:rFonts w:ascii="Times New Roman" w:cs="Times New Roman" w:eastAsia="Times New Roman" w:hAnsi="Times New Roman"/>
          <w:sz w:val="18"/>
          <w:szCs w:val="18"/>
          <w:u w:val="single" w:color="auto"/>
          <w:color w:val="0000FF"/>
        </w:rPr>
        <w:t xml:space="preserve"> </w:t>
      </w:r>
      <w:hyperlink r:id="rId116">
        <w:r>
          <w:rPr>
            <w:rFonts w:ascii="Times New Roman" w:cs="Times New Roman" w:eastAsia="Times New Roman" w:hAnsi="Times New Roman"/>
            <w:sz w:val="18"/>
            <w:szCs w:val="18"/>
            <w:u w:val="single" w:color="auto"/>
            <w:color w:val="0000FF"/>
          </w:rPr>
          <w:t>Form 8-K, filed with the SEC on July 31, 2024)</w:t>
        </w:r>
      </w:hyperlink>
    </w:p>
    <w:p>
      <w:pPr>
        <w:spacing w:after="0" w:line="21" w:lineRule="exact"/>
        <w:rPr>
          <w:rFonts w:ascii="Times New Roman" w:cs="Times New Roman" w:eastAsia="Times New Roman" w:hAnsi="Times New Roman"/>
          <w:sz w:val="18"/>
          <w:szCs w:val="18"/>
          <w:u w:val="single" w:color="auto"/>
          <w:color w:val="0000FF"/>
        </w:rPr>
      </w:pPr>
    </w:p>
    <w:p>
      <w:pPr>
        <w:ind w:right="40"/>
        <w:spacing w:after="0" w:line="258" w:lineRule="auto"/>
        <w:rPr>
          <w:rFonts w:ascii="Times New Roman" w:cs="Times New Roman" w:eastAsia="Times New Roman" w:hAnsi="Times New Roman"/>
          <w:sz w:val="18"/>
          <w:szCs w:val="18"/>
          <w:u w:val="single" w:color="auto"/>
          <w:color w:val="0000FF"/>
        </w:rPr>
      </w:pPr>
      <w:hyperlink r:id="rId116">
        <w:r>
          <w:rPr>
            <w:rFonts w:ascii="Times New Roman" w:cs="Times New Roman" w:eastAsia="Times New Roman" w:hAnsi="Times New Roman"/>
            <w:sz w:val="18"/>
            <w:szCs w:val="18"/>
            <w:u w:val="single" w:color="auto"/>
            <w:color w:val="0000FF"/>
          </w:rPr>
          <w:t>Equity Purchase Agreement, dated July 29, 2024, among Verano Arizona, LLC, Salubrious Wellness Clinic, Inc., CC VA HoldCo LLC,</w:t>
        </w:r>
      </w:hyperlink>
      <w:r>
        <w:rPr>
          <w:rFonts w:ascii="Times New Roman" w:cs="Times New Roman" w:eastAsia="Times New Roman" w:hAnsi="Times New Roman"/>
          <w:sz w:val="18"/>
          <w:szCs w:val="18"/>
          <w:u w:val="single" w:color="auto"/>
          <w:color w:val="0000FF"/>
        </w:rPr>
        <w:t xml:space="preserve"> </w:t>
      </w:r>
      <w:hyperlink r:id="rId116">
        <w:r>
          <w:rPr>
            <w:rFonts w:ascii="Times New Roman" w:cs="Times New Roman" w:eastAsia="Times New Roman" w:hAnsi="Times New Roman"/>
            <w:sz w:val="18"/>
            <w:szCs w:val="18"/>
            <w:u w:val="single" w:color="auto"/>
            <w:color w:val="0000FF"/>
          </w:rPr>
          <w:t>Thomas Allison, Columbia Care-Arizona, Prescott, L.L.C. and The Cannabist Company Holdings Inc. (incorporated by reference to</w:t>
        </w:r>
      </w:hyperlink>
      <w:r>
        <w:rPr>
          <w:rFonts w:ascii="Times New Roman" w:cs="Times New Roman" w:eastAsia="Times New Roman" w:hAnsi="Times New Roman"/>
          <w:sz w:val="18"/>
          <w:szCs w:val="18"/>
          <w:u w:val="single" w:color="auto"/>
          <w:color w:val="0000FF"/>
        </w:rPr>
        <w:t xml:space="preserve"> </w:t>
      </w:r>
      <w:hyperlink r:id="rId116">
        <w:r>
          <w:rPr>
            <w:rFonts w:ascii="Times New Roman" w:cs="Times New Roman" w:eastAsia="Times New Roman" w:hAnsi="Times New Roman"/>
            <w:sz w:val="18"/>
            <w:szCs w:val="18"/>
            <w:u w:val="single" w:color="auto"/>
            <w:color w:val="0000FF"/>
          </w:rPr>
          <w:t>Exhibit 10.4 of the Registrant’s Form 8-K, filed with the SEC on July 31, 2024)</w:t>
        </w:r>
      </w:hyperlink>
    </w:p>
    <w:p>
      <w:pPr>
        <w:spacing w:after="0" w:line="21" w:lineRule="exact"/>
        <w:rPr>
          <w:rFonts w:ascii="Times New Roman" w:cs="Times New Roman" w:eastAsia="Times New Roman" w:hAnsi="Times New Roman"/>
          <w:sz w:val="18"/>
          <w:szCs w:val="18"/>
          <w:u w:val="single" w:color="auto"/>
          <w:color w:val="0000FF"/>
        </w:rPr>
      </w:pPr>
    </w:p>
    <w:p>
      <w:pPr>
        <w:spacing w:after="0"/>
        <w:rPr>
          <w:sz w:val="20"/>
          <w:szCs w:val="20"/>
          <w:color w:val="auto"/>
        </w:rPr>
      </w:pPr>
      <w:r>
        <w:rPr>
          <w:rFonts w:ascii="Times New Roman" w:cs="Times New Roman" w:eastAsia="Times New Roman" w:hAnsi="Times New Roman"/>
          <w:sz w:val="18"/>
          <w:szCs w:val="18"/>
          <w:u w:val="single" w:color="auto"/>
          <w:color w:val="0000FF"/>
        </w:rPr>
        <w:t>Fractional CHRO Engagement Agreement, dated August 6, 2024, between our CHRO, LLC and The Cannabist Company Holdings Inc.</w:t>
      </w:r>
    </w:p>
    <w:p>
      <w:pPr>
        <w:spacing w:after="0" w:line="50" w:lineRule="exact"/>
        <w:rPr>
          <w:rFonts w:ascii="Times New Roman" w:cs="Times New Roman" w:eastAsia="Times New Roman" w:hAnsi="Times New Roman"/>
          <w:sz w:val="18"/>
          <w:szCs w:val="18"/>
          <w:u w:val="single" w:color="auto"/>
          <w:color w:val="0000FF"/>
        </w:rPr>
      </w:pPr>
    </w:p>
    <w:p>
      <w:pPr>
        <w:ind w:right="60"/>
        <w:spacing w:after="0" w:line="266" w:lineRule="auto"/>
        <w:rPr>
          <w:rFonts w:ascii="Times New Roman" w:cs="Times New Roman" w:eastAsia="Times New Roman" w:hAnsi="Times New Roman"/>
          <w:sz w:val="18"/>
          <w:szCs w:val="18"/>
          <w:u w:val="single" w:color="auto"/>
          <w:color w:val="0000FF"/>
        </w:rPr>
      </w:pPr>
      <w:hyperlink r:id="rId117">
        <w:r>
          <w:rPr>
            <w:rFonts w:ascii="Times New Roman" w:cs="Times New Roman" w:eastAsia="Times New Roman" w:hAnsi="Times New Roman"/>
            <w:sz w:val="18"/>
            <w:szCs w:val="18"/>
            <w:u w:val="single" w:color="auto"/>
            <w:color w:val="0000FF"/>
          </w:rPr>
          <w:t>Verano Holdings, LLC Promissory Note (incorporated by reference to Exhibit 10.2 of the Registrant’s Form 8-K, filed with the SEC on</w:t>
        </w:r>
      </w:hyperlink>
      <w:r>
        <w:rPr>
          <w:rFonts w:ascii="Times New Roman" w:cs="Times New Roman" w:eastAsia="Times New Roman" w:hAnsi="Times New Roman"/>
          <w:sz w:val="18"/>
          <w:szCs w:val="18"/>
          <w:u w:val="single" w:color="auto"/>
          <w:color w:val="0000FF"/>
        </w:rPr>
        <w:t xml:space="preserve"> </w:t>
      </w:r>
      <w:hyperlink r:id="rId117">
        <w:r>
          <w:rPr>
            <w:rFonts w:ascii="Times New Roman" w:cs="Times New Roman" w:eastAsia="Times New Roman" w:hAnsi="Times New Roman"/>
            <w:sz w:val="18"/>
            <w:szCs w:val="18"/>
            <w:u w:val="single" w:color="auto"/>
            <w:color w:val="0000FF"/>
          </w:rPr>
          <w:t>August 22, 2024)</w:t>
        </w:r>
      </w:hyperlink>
    </w:p>
    <w:p>
      <w:pPr>
        <w:spacing w:after="0" w:line="14" w:lineRule="exact"/>
        <w:rPr>
          <w:sz w:val="20"/>
          <w:szCs w:val="20"/>
          <w:color w:val="auto"/>
        </w:rPr>
      </w:pPr>
    </w:p>
    <w:p>
      <w:pPr>
        <w:ind w:right="420"/>
        <w:spacing w:after="0" w:line="258" w:lineRule="auto"/>
        <w:rPr>
          <w:rFonts w:ascii="Times New Roman" w:cs="Times New Roman" w:eastAsia="Times New Roman" w:hAnsi="Times New Roman"/>
          <w:sz w:val="18"/>
          <w:szCs w:val="18"/>
          <w:u w:val="single" w:color="auto"/>
          <w:color w:val="0000FF"/>
        </w:rPr>
      </w:pPr>
      <w:hyperlink r:id="rId118">
        <w:r>
          <w:rPr>
            <w:rFonts w:ascii="Times New Roman" w:cs="Times New Roman" w:eastAsia="Times New Roman" w:hAnsi="Times New Roman"/>
            <w:sz w:val="18"/>
            <w:szCs w:val="18"/>
            <w:u w:val="single" w:color="auto"/>
            <w:color w:val="0000FF"/>
          </w:rPr>
          <w:t>Membership Interest Purchase Agreement, dated August 21, 2024, among Columbia Care LLC, Columbia Care Florida LLC, SFL</w:t>
        </w:r>
      </w:hyperlink>
      <w:r>
        <w:rPr>
          <w:rFonts w:ascii="Times New Roman" w:cs="Times New Roman" w:eastAsia="Times New Roman" w:hAnsi="Times New Roman"/>
          <w:sz w:val="18"/>
          <w:szCs w:val="18"/>
          <w:u w:val="single" w:color="auto"/>
          <w:color w:val="0000FF"/>
        </w:rPr>
        <w:t xml:space="preserve"> </w:t>
      </w:r>
      <w:hyperlink r:id="rId118">
        <w:r>
          <w:rPr>
            <w:rFonts w:ascii="Times New Roman" w:cs="Times New Roman" w:eastAsia="Times New Roman" w:hAnsi="Times New Roman"/>
            <w:sz w:val="18"/>
            <w:szCs w:val="18"/>
            <w:u w:val="single" w:color="auto"/>
            <w:color w:val="0000FF"/>
          </w:rPr>
          <w:t>Investment Holdings, LLC, Mint Florida Holdings, LLC, The Cannabist Company Holdings Inc. and The Cerberean Group LLC</w:t>
        </w:r>
      </w:hyperlink>
      <w:r>
        <w:rPr>
          <w:rFonts w:ascii="Times New Roman" w:cs="Times New Roman" w:eastAsia="Times New Roman" w:hAnsi="Times New Roman"/>
          <w:sz w:val="18"/>
          <w:szCs w:val="18"/>
          <w:u w:val="single" w:color="auto"/>
          <w:color w:val="0000FF"/>
        </w:rPr>
        <w:t xml:space="preserve"> </w:t>
      </w:r>
      <w:hyperlink r:id="rId118">
        <w:r>
          <w:rPr>
            <w:rFonts w:ascii="Times New Roman" w:cs="Times New Roman" w:eastAsia="Times New Roman" w:hAnsi="Times New Roman"/>
            <w:sz w:val="18"/>
            <w:szCs w:val="18"/>
            <w:u w:val="single" w:color="auto"/>
            <w:color w:val="0000FF"/>
          </w:rPr>
          <w:t>(incorporated by reference to Exhibit 10.1 of the Registrant’s Form 8-K, filed with the SEC on August 27, 2024)</w:t>
        </w:r>
      </w:hyperlink>
    </w:p>
    <w:p>
      <w:pPr>
        <w:spacing w:after="0" w:line="7" w:lineRule="exact"/>
        <w:rPr>
          <w:rFonts w:ascii="Times New Roman" w:cs="Times New Roman" w:eastAsia="Times New Roman" w:hAnsi="Times New Roman"/>
          <w:sz w:val="18"/>
          <w:szCs w:val="18"/>
          <w:u w:val="single" w:color="auto"/>
          <w:color w:val="0000FF"/>
        </w:rPr>
      </w:pPr>
    </w:p>
    <w:p>
      <w:pPr>
        <w:ind w:right="120"/>
        <w:spacing w:after="0" w:line="266" w:lineRule="auto"/>
        <w:rPr>
          <w:rFonts w:ascii="Times New Roman" w:cs="Times New Roman" w:eastAsia="Times New Roman" w:hAnsi="Times New Roman"/>
          <w:sz w:val="18"/>
          <w:szCs w:val="18"/>
          <w:u w:val="single" w:color="auto"/>
          <w:color w:val="0000FF"/>
        </w:rPr>
      </w:pPr>
      <w:hyperlink r:id="rId118">
        <w:r>
          <w:rPr>
            <w:rFonts w:ascii="Times New Roman" w:cs="Times New Roman" w:eastAsia="Times New Roman" w:hAnsi="Times New Roman"/>
            <w:sz w:val="18"/>
            <w:szCs w:val="18"/>
            <w:u w:val="single" w:color="auto"/>
            <w:color w:val="0000FF"/>
          </w:rPr>
          <w:t>Form of Promissory Note from SFL Investment Holdings, LLC and Mint Florida Holdings, LLC (incorporated by reference to Exhibit</w:t>
        </w:r>
      </w:hyperlink>
      <w:r>
        <w:rPr>
          <w:rFonts w:ascii="Times New Roman" w:cs="Times New Roman" w:eastAsia="Times New Roman" w:hAnsi="Times New Roman"/>
          <w:sz w:val="18"/>
          <w:szCs w:val="18"/>
          <w:u w:val="single" w:color="auto"/>
          <w:color w:val="0000FF"/>
        </w:rPr>
        <w:t xml:space="preserve"> </w:t>
      </w:r>
      <w:hyperlink r:id="rId118">
        <w:r>
          <w:rPr>
            <w:rFonts w:ascii="Times New Roman" w:cs="Times New Roman" w:eastAsia="Times New Roman" w:hAnsi="Times New Roman"/>
            <w:sz w:val="18"/>
            <w:szCs w:val="18"/>
            <w:u w:val="single" w:color="auto"/>
            <w:color w:val="0000FF"/>
          </w:rPr>
          <w:t>10.2 of the Registrant’s Form 8-K, filed with the SEC on August 27, 2024)</w:t>
        </w:r>
      </w:hyperlink>
    </w:p>
    <w:p>
      <w:pPr>
        <w:ind w:right="60"/>
        <w:spacing w:after="0" w:line="237" w:lineRule="auto"/>
        <w:rPr>
          <w:rFonts w:ascii="Times New Roman" w:cs="Times New Roman" w:eastAsia="Times New Roman" w:hAnsi="Times New Roman"/>
          <w:sz w:val="18"/>
          <w:szCs w:val="18"/>
          <w:u w:val="single" w:color="auto"/>
          <w:color w:val="0000FF"/>
        </w:rPr>
      </w:pPr>
      <w:hyperlink r:id="rId118">
        <w:r>
          <w:rPr>
            <w:rFonts w:ascii="Times New Roman" w:cs="Times New Roman" w:eastAsia="Times New Roman" w:hAnsi="Times New Roman"/>
            <w:sz w:val="18"/>
            <w:szCs w:val="18"/>
            <w:u w:val="single" w:color="auto"/>
            <w:color w:val="0000FF"/>
          </w:rPr>
          <w:t>Purchase Agreement, dated August 22, 2024, among 3 Boys Farm LLC, Cresco U.S. Corp., Columbia Care Florida LLC and Columbia</w:t>
        </w:r>
      </w:hyperlink>
      <w:r>
        <w:rPr>
          <w:rFonts w:ascii="Times New Roman" w:cs="Times New Roman" w:eastAsia="Times New Roman" w:hAnsi="Times New Roman"/>
          <w:sz w:val="18"/>
          <w:szCs w:val="18"/>
          <w:u w:val="single" w:color="auto"/>
          <w:color w:val="0000FF"/>
        </w:rPr>
        <w:t xml:space="preserve"> </w:t>
      </w:r>
      <w:hyperlink r:id="rId118">
        <w:r>
          <w:rPr>
            <w:rFonts w:ascii="Times New Roman" w:cs="Times New Roman" w:eastAsia="Times New Roman" w:hAnsi="Times New Roman"/>
            <w:sz w:val="18"/>
            <w:szCs w:val="18"/>
            <w:u w:val="single" w:color="auto"/>
            <w:color w:val="0000FF"/>
          </w:rPr>
          <w:t>Care LLC (incorporated by reference to Exhibit 10.3 of the Registrant’s Form 8-K, filed with the SEC on August 27, 2024)</w:t>
        </w:r>
      </w:hyperlink>
    </w:p>
    <w:p>
      <w:pPr>
        <w:spacing w:after="0" w:line="10" w:lineRule="exact"/>
        <w:rPr>
          <w:sz w:val="20"/>
          <w:szCs w:val="20"/>
          <w:color w:val="auto"/>
        </w:rPr>
      </w:pPr>
    </w:p>
    <w:p>
      <w:pPr>
        <w:ind w:right="260"/>
        <w:spacing w:after="0" w:line="237" w:lineRule="auto"/>
        <w:rPr>
          <w:sz w:val="20"/>
          <w:szCs w:val="20"/>
          <w:color w:val="auto"/>
        </w:rPr>
      </w:pPr>
      <w:r>
        <w:rPr>
          <w:rFonts w:ascii="Times New Roman" w:cs="Times New Roman" w:eastAsia="Times New Roman" w:hAnsi="Times New Roman"/>
          <w:sz w:val="18"/>
          <w:szCs w:val="18"/>
          <w:u w:val="single" w:color="auto"/>
          <w:color w:val="0000FF"/>
        </w:rPr>
        <w:t>Second Amendment to Exchange Agreement, dated September 30, 2024, among The Cannabist Company Holdings Inc., Nomis Bay Ltd. And BPY Limited</w:t>
      </w:r>
    </w:p>
    <w:p>
      <w:pPr>
        <w:spacing w:after="0" w:line="10" w:lineRule="exact"/>
        <w:rPr>
          <w:sz w:val="20"/>
          <w:szCs w:val="20"/>
          <w:color w:val="auto"/>
        </w:rPr>
      </w:pPr>
    </w:p>
    <w:p>
      <w:pPr>
        <w:ind w:right="180"/>
        <w:spacing w:after="0" w:line="237" w:lineRule="auto"/>
        <w:rPr>
          <w:sz w:val="20"/>
          <w:szCs w:val="20"/>
          <w:color w:val="auto"/>
        </w:rPr>
      </w:pPr>
      <w:r>
        <w:rPr>
          <w:rFonts w:ascii="Times New Roman" w:cs="Times New Roman" w:eastAsia="Times New Roman" w:hAnsi="Times New Roman"/>
          <w:sz w:val="18"/>
          <w:szCs w:val="18"/>
          <w:u w:val="single" w:color="auto"/>
          <w:color w:val="0000FF"/>
        </w:rPr>
        <w:t>Amendment, dated October 28, 2024, to Equity Purchase Agreement, dated July 29, 2024, among Verano Arizona, LLC, 203 Organix L.L.C., CC VA HoldCo LLC, Columbia Care-Arizona, Prescott, L.L.C. and The Cannabist Company Holdings Inc.</w:t>
      </w:r>
    </w:p>
    <w:p>
      <w:pPr>
        <w:spacing w:after="0" w:line="37"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u w:val="single" w:color="auto"/>
          <w:color w:val="0000FF"/>
        </w:rPr>
        <w:t>Certification of Principal Executive Officer Pursuant to Rules 13a-14(a) and 15d-14(a) under the Securities Exchange Act of 1934, as Adopted Pursuant to Section 302 of the Sarbanes-Oxley Act of 2002.</w:t>
      </w:r>
    </w:p>
    <w:p>
      <w:pPr>
        <w:spacing w:after="0" w:line="27"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u w:val="single" w:color="auto"/>
          <w:color w:val="0000FF"/>
        </w:rPr>
        <w:t>Certification of Principal Financial Officer Pursuant to Rules 13a-14(a) and 15d-14(a) under the Securities Exchange Act of 1934, as Adopted Pursuant to Section 302 of the Sarbanes-Oxley Act of 2002.</w:t>
      </w:r>
    </w:p>
    <w:p>
      <w:pPr>
        <w:spacing w:after="0" w:line="27"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u w:val="single" w:color="auto"/>
          <w:color w:val="0000FF"/>
        </w:rPr>
        <w:t>Certification of Principal Executive Officer Pursuant to 18 U.S.C. Section 1350, as Adopted Pursuant to Section 906 of the Sarbanes-Oxley Act of 2002.</w:t>
      </w:r>
    </w:p>
    <w:p>
      <w:pPr>
        <w:spacing w:after="0" w:line="200" w:lineRule="exact"/>
        <w:rPr>
          <w:sz w:val="20"/>
          <w:szCs w:val="20"/>
          <w:color w:val="auto"/>
        </w:rPr>
      </w:pPr>
    </w:p>
    <w:p>
      <w:pPr>
        <w:sectPr>
          <w:pgSz w:w="11900" w:h="16838" w:orient="portrait"/>
          <w:cols w:equalWidth="0" w:num="2">
            <w:col w:w="860" w:space="480"/>
            <w:col w:w="9820"/>
          </w:cols>
          <w:pgMar w:left="320" w:top="121" w:right="419" w:bottom="1440" w:gutter="0" w:footer="0" w:header="0"/>
          <w:type w:val="continuous"/>
        </w:sectPr>
      </w:pPr>
    </w:p>
    <w:p>
      <w:pPr>
        <w:spacing w:after="0" w:line="15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240" w:type="dxa"/>
        <w:tblCellMar>
          <w:top w:w="0" w:type="dxa"/>
          <w:left w:w="0" w:type="dxa"/>
          <w:bottom w:w="0" w:type="dxa"/>
          <w:right w:w="0" w:type="dxa"/>
        </w:tblCellMar>
      </w:tblPr>
      <w:tr>
        <w:trPr>
          <w:trHeight w:val="207"/>
        </w:trPr>
        <w:tc>
          <w:tcPr>
            <w:tcW w:w="110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8"/>
              </w:rPr>
              <w:t>32.2‡</w:t>
            </w:r>
          </w:p>
        </w:tc>
        <w:tc>
          <w:tcPr>
            <w:tcW w:w="98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 Sarbanes-</w:t>
            </w:r>
          </w:p>
        </w:tc>
      </w:tr>
      <w:tr>
        <w:trPr>
          <w:trHeight w:val="183"/>
        </w:trPr>
        <w:tc>
          <w:tcPr>
            <w:tcW w:w="1100" w:type="dxa"/>
            <w:vAlign w:val="bottom"/>
          </w:tcPr>
          <w:p>
            <w:pPr>
              <w:spacing w:after="0"/>
              <w:rPr>
                <w:sz w:val="15"/>
                <w:szCs w:val="15"/>
                <w:color w:val="auto"/>
              </w:rPr>
            </w:pPr>
          </w:p>
        </w:tc>
        <w:tc>
          <w:tcPr>
            <w:tcW w:w="1400" w:type="dxa"/>
            <w:vAlign w:val="bottom"/>
            <w:tcBorders>
              <w:top w:val="single" w:sz="8" w:color="0000FF"/>
              <w:bottom w:val="single" w:sz="8" w:color="0000FF"/>
            </w:tcBorders>
          </w:tcPr>
          <w:p>
            <w:pPr>
              <w:spacing w:after="0" w:line="182" w:lineRule="exact"/>
              <w:rPr>
                <w:sz w:val="20"/>
                <w:szCs w:val="20"/>
                <w:color w:val="auto"/>
              </w:rPr>
            </w:pPr>
            <w:r>
              <w:rPr>
                <w:rFonts w:ascii="Times New Roman" w:cs="Times New Roman" w:eastAsia="Times New Roman" w:hAnsi="Times New Roman"/>
                <w:sz w:val="18"/>
                <w:szCs w:val="18"/>
                <w:color w:val="0000FF"/>
                <w:w w:val="99"/>
              </w:rPr>
              <w:t>Oxley Act of 2002.</w:t>
            </w:r>
          </w:p>
        </w:tc>
        <w:tc>
          <w:tcPr>
            <w:tcW w:w="8160" w:type="dxa"/>
            <w:vAlign w:val="bottom"/>
            <w:tcBorders>
              <w:top w:val="single" w:sz="8" w:color="0000FF"/>
            </w:tcBorders>
          </w:tcPr>
          <w:p>
            <w:pPr>
              <w:spacing w:after="0"/>
              <w:rPr>
                <w:sz w:val="15"/>
                <w:szCs w:val="15"/>
                <w:color w:val="auto"/>
              </w:rPr>
            </w:pPr>
          </w:p>
        </w:tc>
        <w:tc>
          <w:tcPr>
            <w:tcW w:w="300" w:type="dxa"/>
            <w:vAlign w:val="bottom"/>
          </w:tcPr>
          <w:p>
            <w:pPr>
              <w:spacing w:after="0"/>
              <w:rPr>
                <w:sz w:val="15"/>
                <w:szCs w:val="15"/>
                <w:color w:val="auto"/>
              </w:rPr>
            </w:pPr>
          </w:p>
        </w:tc>
      </w:tr>
      <w:tr>
        <w:trPr>
          <w:trHeight w:val="259"/>
        </w:trPr>
        <w:tc>
          <w:tcPr>
            <w:tcW w:w="110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7"/>
              </w:rPr>
              <w:t>101.INS*</w:t>
            </w:r>
          </w:p>
        </w:tc>
        <w:tc>
          <w:tcPr>
            <w:tcW w:w="986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Inline XBRL Instance Document – the instance document does not appear in the Interactive Data File because XBRL tags are embedded</w:t>
            </w:r>
          </w:p>
        </w:tc>
      </w:tr>
      <w:tr>
        <w:trPr>
          <w:trHeight w:val="234"/>
        </w:trPr>
        <w:tc>
          <w:tcPr>
            <w:tcW w:w="1100" w:type="dxa"/>
            <w:vAlign w:val="bottom"/>
          </w:tcPr>
          <w:p>
            <w:pPr>
              <w:spacing w:after="0"/>
              <w:rPr>
                <w:sz w:val="20"/>
                <w:szCs w:val="20"/>
                <w:color w:val="auto"/>
              </w:rPr>
            </w:pPr>
          </w:p>
        </w:tc>
        <w:tc>
          <w:tcPr>
            <w:tcW w:w="9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57"/>
        </w:trPr>
        <w:tc>
          <w:tcPr>
            <w:tcW w:w="110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101.SCH*</w:t>
            </w:r>
          </w:p>
        </w:tc>
        <w:tc>
          <w:tcPr>
            <w:tcW w:w="9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57"/>
        </w:trPr>
        <w:tc>
          <w:tcPr>
            <w:tcW w:w="110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101.CAL*</w:t>
            </w:r>
          </w:p>
        </w:tc>
        <w:tc>
          <w:tcPr>
            <w:tcW w:w="9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57"/>
        </w:trPr>
        <w:tc>
          <w:tcPr>
            <w:tcW w:w="110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101.DEF*</w:t>
            </w:r>
          </w:p>
        </w:tc>
        <w:tc>
          <w:tcPr>
            <w:tcW w:w="9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56"/>
        </w:trPr>
        <w:tc>
          <w:tcPr>
            <w:tcW w:w="110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101.LAB*</w:t>
            </w:r>
          </w:p>
        </w:tc>
        <w:tc>
          <w:tcPr>
            <w:tcW w:w="9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57"/>
        </w:trPr>
        <w:tc>
          <w:tcPr>
            <w:tcW w:w="110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7"/>
              </w:rPr>
              <w:t>101.PRE*</w:t>
            </w:r>
          </w:p>
        </w:tc>
        <w:tc>
          <w:tcPr>
            <w:tcW w:w="9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57"/>
        </w:trPr>
        <w:tc>
          <w:tcPr>
            <w:tcW w:w="11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104*</w:t>
            </w:r>
          </w:p>
        </w:tc>
        <w:tc>
          <w:tcPr>
            <w:tcW w:w="9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herewith.</w:t>
      </w:r>
    </w:p>
    <w:p>
      <w:pPr>
        <w:spacing w:after="0" w:line="117" w:lineRule="exact"/>
        <w:rPr>
          <w:sz w:val="20"/>
          <w:szCs w:val="20"/>
          <w:color w:val="auto"/>
        </w:rPr>
      </w:pPr>
    </w:p>
    <w:p>
      <w:pPr>
        <w:ind w:left="120" w:right="240" w:hanging="116"/>
        <w:spacing w:after="0" w:line="282" w:lineRule="auto"/>
        <w:rPr>
          <w:sz w:val="20"/>
          <w:szCs w:val="20"/>
          <w:color w:val="auto"/>
        </w:rPr>
      </w:pPr>
      <w:r>
        <w:rPr>
          <w:rFonts w:ascii="Times New Roman" w:cs="Times New Roman" w:eastAsia="Times New Roman" w:hAnsi="Times New Roman"/>
          <w:sz w:val="18"/>
          <w:szCs w:val="18"/>
          <w:color w:val="auto"/>
        </w:rPr>
        <w:t>#Certain exhibits and schedules have been omitted pursuant to Item 601(a)(5) of Regulation S-K. The Company agrees to furnish a copy of any omitted schedule or exhibit to the SEC upon its request.</w:t>
      </w:r>
    </w:p>
    <w:p>
      <w:pPr>
        <w:spacing w:after="0" w:line="54" w:lineRule="exact"/>
        <w:rPr>
          <w:sz w:val="20"/>
          <w:szCs w:val="20"/>
          <w:color w:val="auto"/>
        </w:rPr>
      </w:pPr>
    </w:p>
    <w:p>
      <w:pPr>
        <w:jc w:val="center"/>
        <w:ind w:right="20"/>
        <w:spacing w:after="0" w:line="282" w:lineRule="auto"/>
        <w:rPr>
          <w:sz w:val="20"/>
          <w:szCs w:val="20"/>
          <w:color w:val="auto"/>
        </w:rPr>
      </w:pPr>
      <w:r>
        <w:rPr>
          <w:rFonts w:ascii="Times New Roman" w:cs="Times New Roman" w:eastAsia="Times New Roman" w:hAnsi="Times New Roman"/>
          <w:sz w:val="18"/>
          <w:szCs w:val="18"/>
          <w:color w:val="auto"/>
        </w:rPr>
        <w:t>‡Document has been furnished, is not deemed filed and is not to be incorporated by reference into any of the Company’s filings under the Securities Act of 1933, as amended, or the Securities Exchange Act of 1934, as amended, irrespective of any general incorporation language contained in any such filing.</w:t>
      </w: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40" w:firstLine="81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640" w:type="dxa"/>
            <w:vAlign w:val="bottom"/>
          </w:tcPr>
          <w:p>
            <w:pPr>
              <w:spacing w:after="0"/>
              <w:rPr>
                <w:sz w:val="20"/>
                <w:szCs w:val="20"/>
                <w:color w:val="auto"/>
              </w:rPr>
            </w:pPr>
          </w:p>
        </w:tc>
        <w:tc>
          <w:tcPr>
            <w:tcW w:w="7580" w:type="dxa"/>
            <w:vAlign w:val="bottom"/>
            <w:gridSpan w:val="2"/>
          </w:tcPr>
          <w:p>
            <w:pPr>
              <w:ind w:left="2220"/>
              <w:spacing w:after="0"/>
              <w:rPr>
                <w:sz w:val="20"/>
                <w:szCs w:val="20"/>
                <w:color w:val="auto"/>
              </w:rPr>
            </w:pPr>
            <w:r>
              <w:rPr>
                <w:rFonts w:ascii="Times New Roman" w:cs="Times New Roman" w:eastAsia="Times New Roman" w:hAnsi="Times New Roman"/>
                <w:sz w:val="18"/>
                <w:szCs w:val="18"/>
                <w:b w:val="1"/>
                <w:bCs w:val="1"/>
                <w:color w:val="auto"/>
              </w:rPr>
              <w:t>THE CANNABIST COMPANY HOLDINGS INC.</w:t>
            </w:r>
          </w:p>
        </w:tc>
      </w:tr>
      <w:tr>
        <w:trPr>
          <w:trHeight w:val="533"/>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7, 2024</w:t>
            </w:r>
          </w:p>
        </w:tc>
        <w:tc>
          <w:tcPr>
            <w:tcW w:w="2660" w:type="dxa"/>
            <w:vAlign w:val="bottom"/>
          </w:tcPr>
          <w:p>
            <w:pPr>
              <w:ind w:left="2220"/>
              <w:spacing w:after="0"/>
              <w:rPr>
                <w:sz w:val="20"/>
                <w:szCs w:val="20"/>
                <w:color w:val="auto"/>
              </w:rPr>
            </w:pPr>
            <w:r>
              <w:rPr>
                <w:rFonts w:ascii="Times New Roman" w:cs="Times New Roman" w:eastAsia="Times New Roman" w:hAnsi="Times New Roman"/>
                <w:sz w:val="18"/>
                <w:szCs w:val="18"/>
                <w:color w:val="auto"/>
              </w:rPr>
              <w:t>By:</w:t>
            </w:r>
          </w:p>
        </w:tc>
        <w:tc>
          <w:tcPr>
            <w:tcW w:w="4920" w:type="dxa"/>
            <w:vAlign w:val="bottom"/>
            <w:tcBorders>
              <w:bottom w:val="single" w:sz="8" w:color="auto"/>
            </w:tcBorders>
          </w:tcPr>
          <w:p>
            <w:pPr>
              <w:ind w:left="1940"/>
              <w:spacing w:after="0"/>
              <w:rPr>
                <w:sz w:val="20"/>
                <w:szCs w:val="20"/>
                <w:color w:val="auto"/>
              </w:rPr>
            </w:pPr>
            <w:r>
              <w:rPr>
                <w:rFonts w:ascii="Times New Roman" w:cs="Times New Roman" w:eastAsia="Times New Roman" w:hAnsi="Times New Roman"/>
                <w:sz w:val="18"/>
                <w:szCs w:val="18"/>
                <w:color w:val="auto"/>
              </w:rPr>
              <w:t>/s/ David Hart</w:t>
            </w:r>
          </w:p>
        </w:tc>
      </w:tr>
      <w:tr>
        <w:trPr>
          <w:trHeight w:val="243"/>
        </w:trPr>
        <w:tc>
          <w:tcPr>
            <w:tcW w:w="3640" w:type="dxa"/>
            <w:vAlign w:val="bottom"/>
          </w:tcPr>
          <w:p>
            <w:pPr>
              <w:spacing w:after="0"/>
              <w:rPr>
                <w:sz w:val="21"/>
                <w:szCs w:val="21"/>
                <w:color w:val="auto"/>
              </w:rPr>
            </w:pPr>
          </w:p>
        </w:tc>
        <w:tc>
          <w:tcPr>
            <w:tcW w:w="2660" w:type="dxa"/>
            <w:vAlign w:val="bottom"/>
          </w:tcPr>
          <w:p>
            <w:pPr>
              <w:spacing w:after="0"/>
              <w:rPr>
                <w:sz w:val="21"/>
                <w:szCs w:val="21"/>
                <w:color w:val="auto"/>
              </w:rPr>
            </w:pPr>
          </w:p>
        </w:tc>
        <w:tc>
          <w:tcPr>
            <w:tcW w:w="4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David Hart</w:t>
            </w:r>
          </w:p>
        </w:tc>
      </w:tr>
      <w:tr>
        <w:trPr>
          <w:trHeight w:val="257"/>
        </w:trPr>
        <w:tc>
          <w:tcPr>
            <w:tcW w:w="3640" w:type="dxa"/>
            <w:vAlign w:val="bottom"/>
          </w:tcPr>
          <w:p>
            <w:pPr>
              <w:spacing w:after="0"/>
              <w:rPr>
                <w:sz w:val="22"/>
                <w:szCs w:val="22"/>
                <w:color w:val="auto"/>
              </w:rPr>
            </w:pPr>
          </w:p>
        </w:tc>
        <w:tc>
          <w:tcPr>
            <w:tcW w:w="2660" w:type="dxa"/>
            <w:vAlign w:val="bottom"/>
          </w:tcPr>
          <w:p>
            <w:pPr>
              <w:spacing w:after="0"/>
              <w:rPr>
                <w:sz w:val="22"/>
                <w:szCs w:val="22"/>
                <w:color w:val="auto"/>
              </w:rPr>
            </w:pPr>
          </w:p>
        </w:tc>
        <w:tc>
          <w:tcPr>
            <w:tcW w:w="4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Chief Executive Officer</w:t>
            </w:r>
          </w:p>
        </w:tc>
      </w:tr>
      <w:tr>
        <w:trPr>
          <w:trHeight w:val="533"/>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7, 2024</w:t>
            </w:r>
          </w:p>
        </w:tc>
        <w:tc>
          <w:tcPr>
            <w:tcW w:w="2660" w:type="dxa"/>
            <w:vAlign w:val="bottom"/>
          </w:tcPr>
          <w:p>
            <w:pPr>
              <w:ind w:left="2220"/>
              <w:spacing w:after="0"/>
              <w:rPr>
                <w:sz w:val="20"/>
                <w:szCs w:val="20"/>
                <w:color w:val="auto"/>
              </w:rPr>
            </w:pPr>
            <w:r>
              <w:rPr>
                <w:rFonts w:ascii="Times New Roman" w:cs="Times New Roman" w:eastAsia="Times New Roman" w:hAnsi="Times New Roman"/>
                <w:sz w:val="18"/>
                <w:szCs w:val="18"/>
                <w:color w:val="auto"/>
              </w:rPr>
              <w:t>By:</w:t>
            </w:r>
          </w:p>
        </w:tc>
        <w:tc>
          <w:tcPr>
            <w:tcW w:w="4920" w:type="dxa"/>
            <w:vAlign w:val="bottom"/>
            <w:tcBorders>
              <w:bottom w:val="single" w:sz="8" w:color="auto"/>
            </w:tcBorders>
          </w:tcPr>
          <w:p>
            <w:pPr>
              <w:ind w:left="1840"/>
              <w:spacing w:after="0"/>
              <w:rPr>
                <w:sz w:val="20"/>
                <w:szCs w:val="20"/>
                <w:color w:val="auto"/>
              </w:rPr>
            </w:pPr>
            <w:r>
              <w:rPr>
                <w:rFonts w:ascii="Times New Roman" w:cs="Times New Roman" w:eastAsia="Times New Roman" w:hAnsi="Times New Roman"/>
                <w:sz w:val="18"/>
                <w:szCs w:val="18"/>
                <w:color w:val="auto"/>
              </w:rPr>
              <w:t>/s/ Derek Watson</w:t>
            </w:r>
          </w:p>
        </w:tc>
      </w:tr>
      <w:tr>
        <w:trPr>
          <w:trHeight w:val="243"/>
        </w:trPr>
        <w:tc>
          <w:tcPr>
            <w:tcW w:w="3640" w:type="dxa"/>
            <w:vAlign w:val="bottom"/>
          </w:tcPr>
          <w:p>
            <w:pPr>
              <w:spacing w:after="0"/>
              <w:rPr>
                <w:sz w:val="21"/>
                <w:szCs w:val="21"/>
                <w:color w:val="auto"/>
              </w:rPr>
            </w:pPr>
          </w:p>
        </w:tc>
        <w:tc>
          <w:tcPr>
            <w:tcW w:w="2660" w:type="dxa"/>
            <w:vAlign w:val="bottom"/>
          </w:tcPr>
          <w:p>
            <w:pPr>
              <w:spacing w:after="0"/>
              <w:rPr>
                <w:sz w:val="21"/>
                <w:szCs w:val="21"/>
                <w:color w:val="auto"/>
              </w:rPr>
            </w:pPr>
          </w:p>
        </w:tc>
        <w:tc>
          <w:tcPr>
            <w:tcW w:w="4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Derek Watson</w:t>
            </w:r>
          </w:p>
        </w:tc>
      </w:tr>
      <w:tr>
        <w:trPr>
          <w:trHeight w:val="256"/>
        </w:trPr>
        <w:tc>
          <w:tcPr>
            <w:tcW w:w="3640" w:type="dxa"/>
            <w:vAlign w:val="bottom"/>
          </w:tcPr>
          <w:p>
            <w:pPr>
              <w:spacing w:after="0"/>
              <w:rPr>
                <w:sz w:val="22"/>
                <w:szCs w:val="22"/>
                <w:color w:val="auto"/>
              </w:rPr>
            </w:pPr>
          </w:p>
        </w:tc>
        <w:tc>
          <w:tcPr>
            <w:tcW w:w="2660" w:type="dxa"/>
            <w:vAlign w:val="bottom"/>
          </w:tcPr>
          <w:p>
            <w:pPr>
              <w:spacing w:after="0"/>
              <w:rPr>
                <w:sz w:val="22"/>
                <w:szCs w:val="22"/>
                <w:color w:val="auto"/>
              </w:rPr>
            </w:pPr>
          </w:p>
        </w:tc>
        <w:tc>
          <w:tcPr>
            <w:tcW w:w="4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Chief Financial Officer</w:t>
            </w:r>
          </w:p>
        </w:tc>
      </w:tr>
      <w:tr>
        <w:trPr>
          <w:trHeight w:val="594"/>
        </w:trPr>
        <w:tc>
          <w:tcPr>
            <w:tcW w:w="3640" w:type="dxa"/>
            <w:vAlign w:val="bottom"/>
          </w:tcPr>
          <w:p>
            <w:pPr>
              <w:spacing w:after="0"/>
              <w:rPr>
                <w:sz w:val="24"/>
                <w:szCs w:val="24"/>
                <w:color w:val="auto"/>
              </w:rPr>
            </w:pPr>
          </w:p>
        </w:tc>
        <w:tc>
          <w:tcPr>
            <w:tcW w:w="266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35</w:t>
            </w:r>
          </w:p>
        </w:tc>
        <w:tc>
          <w:tcPr>
            <w:tcW w:w="4920" w:type="dxa"/>
            <w:vAlign w:val="bottom"/>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37" w:name="page38"/>
    <w:bookmarkEnd w:id="37"/>
    <w:p>
      <w:pPr>
        <w:jc w:val="center"/>
        <w:spacing w:after="0"/>
        <w:rPr>
          <w:sz w:val="20"/>
          <w:szCs w:val="20"/>
          <w:color w:val="auto"/>
        </w:rPr>
      </w:pPr>
      <w:r>
        <w:rPr>
          <w:rFonts w:ascii="Calibri" w:cs="Calibri" w:eastAsia="Calibri" w:hAnsi="Calibri"/>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539750" cy="5397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1">
                      <a:clrChange>
                        <a:clrFrom>
                          <a:srgbClr val="FFFFFF"/>
                        </a:clrFrom>
                        <a:clrTo>
                          <a:srgbClr val="FFFFFF">
                            <a:alpha val="0"/>
                          </a:srgbClr>
                        </a:clrTo>
                      </a:clrChange>
                      <a:extLst>
                        <a:ext uri="{28A0092B-C50C-407E-A947-70E740481C1C}"/>
                      </a:extLst>
                    </a:blip>
                    <a:srcRect/>
                    <a:stretch>
                      <a:fillRect/>
                    </a:stretch>
                  </pic:blipFill>
                  <pic:spPr bwMode="auto">
                    <a:xfrm>
                      <a:off x="0" y="0"/>
                      <a:ext cx="539750" cy="539750"/>
                    </a:xfrm>
                    <a:prstGeom prst="rect">
                      <a:avLst/>
                    </a:prstGeom>
                    <a:noFill/>
                  </pic:spPr>
                </pic:pic>
              </a:graphicData>
            </a:graphic>
          </wp:anchor>
        </w:drawing>
        <w:t>Fractonal CHRO Engagement Agreement</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8440"/>
        <w:spacing w:after="0"/>
        <w:rPr>
          <w:sz w:val="20"/>
          <w:szCs w:val="20"/>
          <w:color w:val="auto"/>
        </w:rPr>
      </w:pPr>
      <w:r>
        <w:rPr>
          <w:rFonts w:ascii="Calibri" w:cs="Calibri" w:eastAsia="Calibri" w:hAnsi="Calibri"/>
          <w:sz w:val="18"/>
          <w:szCs w:val="18"/>
          <w:b w:val="1"/>
          <w:bCs w:val="1"/>
          <w:color w:val="auto"/>
        </w:rPr>
        <w:t>Exhibit 10.5</w:t>
      </w:r>
    </w:p>
    <w:p>
      <w:pPr>
        <w:spacing w:after="0" w:line="242" w:lineRule="exact"/>
        <w:rPr>
          <w:sz w:val="20"/>
          <w:szCs w:val="20"/>
          <w:color w:val="auto"/>
        </w:rPr>
      </w:pPr>
    </w:p>
    <w:p>
      <w:pPr>
        <w:jc w:val="both"/>
        <w:ind w:right="20"/>
        <w:spacing w:after="0" w:line="231" w:lineRule="auto"/>
        <w:rPr>
          <w:sz w:val="20"/>
          <w:szCs w:val="20"/>
          <w:color w:val="auto"/>
        </w:rPr>
      </w:pPr>
      <w:r>
        <w:rPr>
          <w:rFonts w:ascii="Calibri" w:cs="Calibri" w:eastAsia="Calibri" w:hAnsi="Calibri"/>
          <w:sz w:val="20"/>
          <w:szCs w:val="20"/>
          <w:color w:val="auto"/>
        </w:rPr>
        <w:t xml:space="preserve">This </w:t>
      </w:r>
      <w:r>
        <w:rPr>
          <w:rFonts w:ascii="Calibri" w:cs="Calibri" w:eastAsia="Calibri" w:hAnsi="Calibri"/>
          <w:sz w:val="20"/>
          <w:szCs w:val="20"/>
          <w:b w:val="1"/>
          <w:bCs w:val="1"/>
          <w:color w:val="auto"/>
        </w:rPr>
        <w:t>FRACTIONAL CHRO ENGAGEMENT AGREEMENT</w:t>
      </w:r>
      <w:r>
        <w:rPr>
          <w:rFonts w:ascii="Calibri" w:cs="Calibri" w:eastAsia="Calibri" w:hAnsi="Calibri"/>
          <w:sz w:val="20"/>
          <w:szCs w:val="20"/>
          <w:color w:val="auto"/>
        </w:rPr>
        <w:t xml:space="preserve"> (the “</w:t>
      </w:r>
      <w:r>
        <w:rPr>
          <w:rFonts w:ascii="Calibri" w:cs="Calibri" w:eastAsia="Calibri" w:hAnsi="Calibri"/>
          <w:sz w:val="20"/>
          <w:szCs w:val="20"/>
          <w:b w:val="1"/>
          <w:bCs w:val="1"/>
          <w:color w:val="auto"/>
        </w:rPr>
        <w:t>Agreement</w:t>
      </w:r>
      <w:r>
        <w:rPr>
          <w:rFonts w:ascii="Calibri" w:cs="Calibri" w:eastAsia="Calibri" w:hAnsi="Calibri"/>
          <w:sz w:val="20"/>
          <w:szCs w:val="20"/>
          <w:color w:val="auto"/>
        </w:rPr>
        <w:t>”) dated as of August 6, 2024 (the “</w:t>
      </w:r>
      <w:r>
        <w:rPr>
          <w:rFonts w:ascii="Calibri" w:cs="Calibri" w:eastAsia="Calibri" w:hAnsi="Calibri"/>
          <w:sz w:val="20"/>
          <w:szCs w:val="20"/>
          <w:b w:val="1"/>
          <w:bCs w:val="1"/>
          <w:color w:val="auto"/>
        </w:rPr>
        <w:t>Efectve Date</w:t>
      </w:r>
      <w:r>
        <w:rPr>
          <w:rFonts w:ascii="Calibri" w:cs="Calibri" w:eastAsia="Calibri" w:hAnsi="Calibri"/>
          <w:sz w:val="20"/>
          <w:szCs w:val="20"/>
          <w:color w:val="auto"/>
        </w:rPr>
        <w:t>”) is entered into between ourCHRO, LLC (“</w:t>
      </w:r>
      <w:r>
        <w:rPr>
          <w:rFonts w:ascii="Calibri" w:cs="Calibri" w:eastAsia="Calibri" w:hAnsi="Calibri"/>
          <w:sz w:val="20"/>
          <w:szCs w:val="20"/>
          <w:b w:val="1"/>
          <w:bCs w:val="1"/>
          <w:color w:val="auto"/>
        </w:rPr>
        <w:t>ourCHRO</w:t>
      </w:r>
      <w:r>
        <w:rPr>
          <w:rFonts w:ascii="Calibri" w:cs="Calibri" w:eastAsia="Calibri" w:hAnsi="Calibri"/>
          <w:sz w:val="20"/>
          <w:szCs w:val="20"/>
          <w:color w:val="auto"/>
        </w:rPr>
        <w:t>” or “</w:t>
      </w:r>
      <w:r>
        <w:rPr>
          <w:rFonts w:ascii="Calibri" w:cs="Calibri" w:eastAsia="Calibri" w:hAnsi="Calibri"/>
          <w:sz w:val="20"/>
          <w:szCs w:val="20"/>
          <w:b w:val="1"/>
          <w:bCs w:val="1"/>
          <w:color w:val="auto"/>
        </w:rPr>
        <w:t>we</w:t>
      </w:r>
      <w:r>
        <w:rPr>
          <w:rFonts w:ascii="Calibri" w:cs="Calibri" w:eastAsia="Calibri" w:hAnsi="Calibri"/>
          <w:sz w:val="20"/>
          <w:szCs w:val="20"/>
          <w:color w:val="auto"/>
        </w:rPr>
        <w:t>” or “</w:t>
      </w:r>
      <w:r>
        <w:rPr>
          <w:rFonts w:ascii="Calibri" w:cs="Calibri" w:eastAsia="Calibri" w:hAnsi="Calibri"/>
          <w:sz w:val="20"/>
          <w:szCs w:val="20"/>
          <w:b w:val="1"/>
          <w:bCs w:val="1"/>
          <w:color w:val="auto"/>
        </w:rPr>
        <w:t>us</w:t>
      </w:r>
      <w:r>
        <w:rPr>
          <w:rFonts w:ascii="Calibri" w:cs="Calibri" w:eastAsia="Calibri" w:hAnsi="Calibri"/>
          <w:sz w:val="20"/>
          <w:szCs w:val="20"/>
          <w:color w:val="auto"/>
        </w:rPr>
        <w:t>”) and The Cannabist Company Holdings Inc. (“</w:t>
      </w:r>
      <w:r>
        <w:rPr>
          <w:rFonts w:ascii="Calibri" w:cs="Calibri" w:eastAsia="Calibri" w:hAnsi="Calibri"/>
          <w:sz w:val="20"/>
          <w:szCs w:val="20"/>
          <w:b w:val="1"/>
          <w:bCs w:val="1"/>
          <w:color w:val="auto"/>
        </w:rPr>
        <w:t>Cannabist</w:t>
      </w:r>
      <w:r>
        <w:rPr>
          <w:rFonts w:ascii="Calibri" w:cs="Calibri" w:eastAsia="Calibri" w:hAnsi="Calibri"/>
          <w:sz w:val="20"/>
          <w:szCs w:val="20"/>
          <w:color w:val="auto"/>
        </w:rPr>
        <w:t>” or “</w:t>
      </w:r>
      <w:r>
        <w:rPr>
          <w:rFonts w:ascii="Calibri" w:cs="Calibri" w:eastAsia="Calibri" w:hAnsi="Calibri"/>
          <w:sz w:val="20"/>
          <w:szCs w:val="20"/>
          <w:b w:val="1"/>
          <w:bCs w:val="1"/>
          <w:color w:val="auto"/>
        </w:rPr>
        <w:t>you</w:t>
      </w:r>
      <w:r>
        <w:rPr>
          <w:rFonts w:ascii="Calibri" w:cs="Calibri" w:eastAsia="Calibri" w:hAnsi="Calibri"/>
          <w:sz w:val="20"/>
          <w:szCs w:val="20"/>
          <w:color w:val="auto"/>
        </w:rPr>
        <w:t>”). Each of the above-referenced partes is sometmes herein referred to individually as a “</w:t>
      </w:r>
      <w:r>
        <w:rPr>
          <w:rFonts w:ascii="Calibri" w:cs="Calibri" w:eastAsia="Calibri" w:hAnsi="Calibri"/>
          <w:sz w:val="20"/>
          <w:szCs w:val="20"/>
          <w:b w:val="1"/>
          <w:bCs w:val="1"/>
          <w:color w:val="auto"/>
        </w:rPr>
        <w:t>Party</w:t>
      </w:r>
      <w:r>
        <w:rPr>
          <w:rFonts w:ascii="Calibri" w:cs="Calibri" w:eastAsia="Calibri" w:hAnsi="Calibri"/>
          <w:sz w:val="20"/>
          <w:szCs w:val="20"/>
          <w:color w:val="auto"/>
        </w:rPr>
        <w:t>” and, collectvely, as the “</w:t>
      </w:r>
      <w:r>
        <w:rPr>
          <w:rFonts w:ascii="Calibri" w:cs="Calibri" w:eastAsia="Calibri" w:hAnsi="Calibri"/>
          <w:sz w:val="20"/>
          <w:szCs w:val="20"/>
          <w:b w:val="1"/>
          <w:bCs w:val="1"/>
          <w:color w:val="auto"/>
        </w:rPr>
        <w:t>Partes</w:t>
      </w:r>
      <w:r>
        <w:rPr>
          <w:rFonts w:ascii="Calibri" w:cs="Calibri" w:eastAsia="Calibri" w:hAnsi="Calibri"/>
          <w:sz w:val="20"/>
          <w:szCs w:val="20"/>
          <w:color w:val="auto"/>
        </w:rPr>
        <w:t>.”</w:t>
      </w:r>
    </w:p>
    <w:p>
      <w:pPr>
        <w:spacing w:after="0" w:line="254" w:lineRule="exact"/>
        <w:rPr>
          <w:sz w:val="20"/>
          <w:szCs w:val="20"/>
          <w:color w:val="auto"/>
        </w:rPr>
      </w:pPr>
    </w:p>
    <w:p>
      <w:pPr>
        <w:jc w:val="both"/>
        <w:spacing w:after="0" w:line="231" w:lineRule="auto"/>
        <w:rPr>
          <w:sz w:val="20"/>
          <w:szCs w:val="20"/>
          <w:color w:val="auto"/>
        </w:rPr>
      </w:pPr>
      <w:r>
        <w:rPr>
          <w:rFonts w:ascii="Calibri" w:cs="Calibri" w:eastAsia="Calibri" w:hAnsi="Calibri"/>
          <w:sz w:val="20"/>
          <w:szCs w:val="20"/>
          <w:b w:val="1"/>
          <w:bCs w:val="1"/>
          <w:color w:val="auto"/>
        </w:rPr>
        <w:t>WHEREAS</w:t>
      </w:r>
      <w:r>
        <w:rPr>
          <w:rFonts w:ascii="Calibri" w:cs="Calibri" w:eastAsia="Calibri" w:hAnsi="Calibri"/>
          <w:sz w:val="20"/>
          <w:szCs w:val="20"/>
          <w:color w:val="auto"/>
        </w:rPr>
        <w:t>, the Partes desire that Bryan Olson (“</w:t>
      </w:r>
      <w:r>
        <w:rPr>
          <w:rFonts w:ascii="Calibri" w:cs="Calibri" w:eastAsia="Calibri" w:hAnsi="Calibri"/>
          <w:sz w:val="20"/>
          <w:szCs w:val="20"/>
          <w:b w:val="1"/>
          <w:bCs w:val="1"/>
          <w:color w:val="auto"/>
        </w:rPr>
        <w:t>Olson</w:t>
      </w:r>
      <w:r>
        <w:rPr>
          <w:rFonts w:ascii="Calibri" w:cs="Calibri" w:eastAsia="Calibri" w:hAnsi="Calibri"/>
          <w:sz w:val="20"/>
          <w:szCs w:val="20"/>
          <w:color w:val="auto"/>
        </w:rPr>
        <w:t>”), the current Chief Human Resources Ofcer of Cannabist, contnue as the Chief</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Human Resources Ofcer of Cannabist, but that he do so as a non-employee consultant via ourCHRO, with 50% of his work-tme allocated to Cannabist; and</w:t>
      </w:r>
    </w:p>
    <w:p>
      <w:pPr>
        <w:spacing w:after="0" w:line="240" w:lineRule="exact"/>
        <w:rPr>
          <w:sz w:val="20"/>
          <w:szCs w:val="20"/>
          <w:color w:val="auto"/>
        </w:rPr>
      </w:pPr>
    </w:p>
    <w:p>
      <w:pPr>
        <w:jc w:val="both"/>
        <w:ind w:right="20"/>
        <w:spacing w:after="0" w:line="234" w:lineRule="auto"/>
        <w:rPr>
          <w:sz w:val="20"/>
          <w:szCs w:val="20"/>
          <w:color w:val="auto"/>
        </w:rPr>
      </w:pPr>
      <w:r>
        <w:rPr>
          <w:rFonts w:ascii="Calibri" w:cs="Calibri" w:eastAsia="Calibri" w:hAnsi="Calibri"/>
          <w:sz w:val="20"/>
          <w:szCs w:val="20"/>
          <w:b w:val="1"/>
          <w:bCs w:val="1"/>
          <w:color w:val="auto"/>
        </w:rPr>
        <w:t>WHEREAS</w:t>
      </w:r>
      <w:r>
        <w:rPr>
          <w:rFonts w:ascii="Calibri" w:cs="Calibri" w:eastAsia="Calibri" w:hAnsi="Calibri"/>
          <w:sz w:val="20"/>
          <w:szCs w:val="20"/>
          <w:color w:val="auto"/>
        </w:rPr>
        <w:t>, the Compensaton Commitee and non-employee Directors of the Board of Cannabist have unanimously approved the</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arrangement and the compensaton elements thereof;</w:t>
      </w:r>
    </w:p>
    <w:p>
      <w:pPr>
        <w:spacing w:after="0" w:line="253" w:lineRule="exact"/>
        <w:rPr>
          <w:sz w:val="20"/>
          <w:szCs w:val="20"/>
          <w:color w:val="auto"/>
        </w:rPr>
      </w:pPr>
    </w:p>
    <w:p>
      <w:pPr>
        <w:jc w:val="both"/>
        <w:ind w:right="20"/>
        <w:spacing w:after="0" w:line="228" w:lineRule="auto"/>
        <w:rPr>
          <w:sz w:val="20"/>
          <w:szCs w:val="20"/>
          <w:color w:val="auto"/>
        </w:rPr>
      </w:pPr>
      <w:r>
        <w:rPr>
          <w:rFonts w:ascii="Calibri" w:cs="Calibri" w:eastAsia="Calibri" w:hAnsi="Calibri"/>
          <w:sz w:val="20"/>
          <w:szCs w:val="20"/>
          <w:b w:val="1"/>
          <w:bCs w:val="1"/>
          <w:color w:val="auto"/>
        </w:rPr>
        <w:t>NOW, THEREFORE</w:t>
      </w:r>
      <w:r>
        <w:rPr>
          <w:rFonts w:ascii="Calibri" w:cs="Calibri" w:eastAsia="Calibri" w:hAnsi="Calibri"/>
          <w:sz w:val="20"/>
          <w:szCs w:val="20"/>
          <w:color w:val="auto"/>
        </w:rPr>
        <w:t>, in consideraton of the foregoing and the mutual promises made in this Agreement, the receipt and sufciency of</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which are hereby conclusively acknowledged, the Partes, agree as follows:</w:t>
      </w:r>
    </w:p>
    <w:p>
      <w:pPr>
        <w:spacing w:after="0" w:line="252" w:lineRule="exact"/>
        <w:rPr>
          <w:sz w:val="20"/>
          <w:szCs w:val="20"/>
          <w:color w:val="auto"/>
        </w:rPr>
      </w:pPr>
    </w:p>
    <w:p>
      <w:pPr>
        <w:jc w:val="both"/>
        <w:ind w:firstLine="656"/>
        <w:spacing w:after="0" w:line="233" w:lineRule="auto"/>
        <w:tabs>
          <w:tab w:leader="none" w:pos="1128" w:val="left"/>
        </w:tabs>
        <w:numPr>
          <w:ilvl w:val="0"/>
          <w:numId w:val="20"/>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 xml:space="preserve">SERVICES </w:t>
      </w:r>
      <w:r>
        <w:rPr>
          <w:rFonts w:ascii="Calibri" w:cs="Calibri" w:eastAsia="Calibri" w:hAnsi="Calibri"/>
          <w:sz w:val="20"/>
          <w:szCs w:val="20"/>
          <w:color w:val="auto"/>
        </w:rPr>
        <w:t>– Under this Agreement, we will provide to you the consultng services set forth in</w:t>
      </w:r>
      <w:r>
        <w:rPr>
          <w:rFonts w:ascii="Calibri" w:cs="Calibri" w:eastAsia="Calibri" w:hAnsi="Calibri"/>
          <w:sz w:val="20"/>
          <w:szCs w:val="20"/>
          <w:b w:val="1"/>
          <w:bCs w:val="1"/>
          <w:color w:val="auto"/>
        </w:rPr>
        <w:t xml:space="preserve"> </w:t>
      </w:r>
      <w:r>
        <w:rPr>
          <w:rFonts w:ascii="Calibri" w:cs="Calibri" w:eastAsia="Calibri" w:hAnsi="Calibri"/>
          <w:sz w:val="20"/>
          <w:szCs w:val="20"/>
          <w:u w:val="single" w:color="auto"/>
          <w:color w:val="auto"/>
        </w:rPr>
        <w:t>Exhibit A</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(the “</w:t>
      </w:r>
      <w:r>
        <w:rPr>
          <w:rFonts w:ascii="Calibri" w:cs="Calibri" w:eastAsia="Calibri" w:hAnsi="Calibri"/>
          <w:sz w:val="20"/>
          <w:szCs w:val="20"/>
          <w:b w:val="1"/>
          <w:bCs w:val="1"/>
          <w:color w:val="auto"/>
        </w:rPr>
        <w:t>Services</w:t>
      </w:r>
      <w:r>
        <w:rPr>
          <w:rFonts w:ascii="Calibri" w:cs="Calibri" w:eastAsia="Calibri" w:hAnsi="Calibri"/>
          <w:sz w:val="20"/>
          <w:szCs w:val="20"/>
          <w:color w:val="auto"/>
        </w:rPr>
        <w:t>”). All</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Services will be performed in a professional manner consistent with the level of care, skill, practce, and judgment exercised by other senior HR professionals performing services of a similar nature under similar circumstances by personnel with requisite skills, needed to carry out such work. The Services shall materially conform to any mutually agreed upon specifcatons or descriptons of Services.</w:t>
      </w:r>
    </w:p>
    <w:p>
      <w:pPr>
        <w:spacing w:after="0" w:line="230" w:lineRule="exact"/>
        <w:rPr>
          <w:rFonts w:ascii="Calibri" w:cs="Calibri" w:eastAsia="Calibri" w:hAnsi="Calibri"/>
          <w:sz w:val="20"/>
          <w:szCs w:val="20"/>
          <w:b w:val="1"/>
          <w:bCs w:val="1"/>
          <w:color w:val="auto"/>
        </w:rPr>
      </w:pPr>
    </w:p>
    <w:p>
      <w:pPr>
        <w:ind w:left="1120" w:hanging="464"/>
        <w:spacing w:after="0"/>
        <w:tabs>
          <w:tab w:leader="none" w:pos="1120" w:val="left"/>
        </w:tabs>
        <w:numPr>
          <w:ilvl w:val="0"/>
          <w:numId w:val="20"/>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COMPENSATION</w:t>
      </w:r>
    </w:p>
    <w:p>
      <w:pPr>
        <w:spacing w:after="0" w:line="252" w:lineRule="exact"/>
        <w:rPr>
          <w:sz w:val="20"/>
          <w:szCs w:val="20"/>
          <w:color w:val="auto"/>
        </w:rPr>
      </w:pPr>
    </w:p>
    <w:p>
      <w:pPr>
        <w:ind w:left="660" w:firstLine="237"/>
        <w:spacing w:after="0" w:line="228" w:lineRule="auto"/>
        <w:rPr>
          <w:sz w:val="20"/>
          <w:szCs w:val="20"/>
          <w:color w:val="auto"/>
        </w:rPr>
      </w:pPr>
      <w:r>
        <w:rPr>
          <w:rFonts w:ascii="Calibri" w:cs="Calibri" w:eastAsia="Calibri" w:hAnsi="Calibri"/>
          <w:sz w:val="20"/>
          <w:szCs w:val="20"/>
          <w:b w:val="1"/>
          <w:bCs w:val="1"/>
          <w:color w:val="auto"/>
        </w:rPr>
        <w:t xml:space="preserve">(2.1) FEES </w:t>
      </w:r>
      <w:r>
        <w:rPr>
          <w:rFonts w:ascii="Calibri" w:cs="Calibri" w:eastAsia="Calibri" w:hAnsi="Calibri"/>
          <w:sz w:val="20"/>
          <w:szCs w:val="20"/>
          <w:color w:val="auto"/>
        </w:rPr>
        <w:t>– Cannabist will pay ourCHRO Twenty Six Thousand Two Hundred Fify Dollars ($26,250) per month within the</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frst ffeen (15) days of each month during the Term (each a “</w:t>
      </w:r>
      <w:r>
        <w:rPr>
          <w:rFonts w:ascii="Calibri" w:cs="Calibri" w:eastAsia="Calibri" w:hAnsi="Calibri"/>
          <w:sz w:val="20"/>
          <w:szCs w:val="20"/>
          <w:b w:val="1"/>
          <w:bCs w:val="1"/>
          <w:color w:val="auto"/>
        </w:rPr>
        <w:t>Monthly Fee</w:t>
      </w:r>
      <w:r>
        <w:rPr>
          <w:rFonts w:ascii="Calibri" w:cs="Calibri" w:eastAsia="Calibri" w:hAnsi="Calibri"/>
          <w:sz w:val="20"/>
          <w:szCs w:val="20"/>
          <w:color w:val="auto"/>
        </w:rPr>
        <w:t>”), commencing on August 6, 2024.</w:t>
      </w:r>
    </w:p>
    <w:p>
      <w:pPr>
        <w:spacing w:after="0" w:line="242" w:lineRule="exact"/>
        <w:rPr>
          <w:sz w:val="20"/>
          <w:szCs w:val="20"/>
          <w:color w:val="auto"/>
        </w:rPr>
      </w:pPr>
    </w:p>
    <w:p>
      <w:pPr>
        <w:ind w:left="380"/>
        <w:spacing w:after="0"/>
        <w:tabs>
          <w:tab w:leader="none" w:pos="920" w:val="left"/>
        </w:tabs>
        <w:rPr>
          <w:sz w:val="20"/>
          <w:szCs w:val="20"/>
          <w:color w:val="auto"/>
        </w:rPr>
      </w:pPr>
      <w:r>
        <w:rPr>
          <w:rFonts w:ascii="Calibri" w:cs="Calibri" w:eastAsia="Calibri" w:hAnsi="Calibri"/>
          <w:sz w:val="20"/>
          <w:szCs w:val="20"/>
          <w:b w:val="1"/>
          <w:bCs w:val="1"/>
          <w:color w:val="auto"/>
        </w:rPr>
        <w:t>(2.2)</w:t>
        <w:tab/>
        <w:t>EQUITY GRANTS</w:t>
      </w:r>
    </w:p>
    <w:p>
      <w:pPr>
        <w:spacing w:after="0" w:line="238" w:lineRule="exact"/>
        <w:rPr>
          <w:sz w:val="20"/>
          <w:szCs w:val="20"/>
          <w:color w:val="auto"/>
        </w:rPr>
      </w:pPr>
    </w:p>
    <w:p>
      <w:pPr>
        <w:jc w:val="both"/>
        <w:ind w:left="1220" w:hanging="847"/>
        <w:spacing w:after="0"/>
        <w:tabs>
          <w:tab w:leader="none" w:pos="1200" w:val="left"/>
        </w:tabs>
        <w:rPr>
          <w:sz w:val="20"/>
          <w:szCs w:val="20"/>
          <w:color w:val="auto"/>
        </w:rPr>
      </w:pPr>
      <w:r>
        <w:rPr>
          <w:rFonts w:ascii="Calibri" w:cs="Calibri" w:eastAsia="Calibri" w:hAnsi="Calibri"/>
          <w:sz w:val="20"/>
          <w:szCs w:val="20"/>
          <w:b w:val="1"/>
          <w:bCs w:val="1"/>
          <w:color w:val="auto"/>
        </w:rPr>
        <w:t>(2.2a)</w:t>
      </w:r>
      <w:r>
        <w:rPr>
          <w:sz w:val="20"/>
          <w:szCs w:val="20"/>
          <w:color w:val="auto"/>
        </w:rPr>
        <w:tab/>
      </w:r>
      <w:r>
        <w:rPr>
          <w:rFonts w:ascii="Calibri" w:cs="Calibri" w:eastAsia="Calibri" w:hAnsi="Calibri"/>
          <w:sz w:val="20"/>
          <w:szCs w:val="20"/>
          <w:b w:val="1"/>
          <w:bCs w:val="1"/>
          <w:color w:val="auto"/>
        </w:rPr>
        <w:t xml:space="preserve">GOING FORWARD EQUITY GRANTS </w:t>
      </w:r>
      <w:r>
        <w:rPr>
          <w:rFonts w:ascii="Calibri" w:cs="Calibri" w:eastAsia="Calibri" w:hAnsi="Calibri"/>
          <w:sz w:val="20"/>
          <w:szCs w:val="20"/>
          <w:color w:val="auto"/>
        </w:rPr>
        <w:t>– ourCHRO shall receive annual equity grants (“</w:t>
      </w:r>
      <w:r>
        <w:rPr>
          <w:rFonts w:ascii="Calibri" w:cs="Calibri" w:eastAsia="Calibri" w:hAnsi="Calibri"/>
          <w:sz w:val="20"/>
          <w:szCs w:val="20"/>
          <w:b w:val="1"/>
          <w:bCs w:val="1"/>
          <w:color w:val="auto"/>
        </w:rPr>
        <w:t>Equity Grants</w:t>
      </w:r>
      <w:r>
        <w:rPr>
          <w:rFonts w:ascii="Calibri" w:cs="Calibri" w:eastAsia="Calibri" w:hAnsi="Calibri"/>
          <w:sz w:val="20"/>
          <w:szCs w:val="20"/>
          <w:color w:val="auto"/>
        </w:rPr>
        <w:t>”) under the Cannabist</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Omnibus Long-Term Incentve Plan and any applicable award documents, as may be amended from tme to tme (“</w:t>
      </w:r>
      <w:r>
        <w:rPr>
          <w:rFonts w:ascii="Calibri" w:cs="Calibri" w:eastAsia="Calibri" w:hAnsi="Calibri"/>
          <w:sz w:val="20"/>
          <w:szCs w:val="20"/>
          <w:b w:val="1"/>
          <w:bCs w:val="1"/>
          <w:color w:val="auto"/>
        </w:rPr>
        <w:t>Omnibus Plan</w:t>
      </w:r>
      <w:r>
        <w:rPr>
          <w:rFonts w:ascii="Calibri" w:cs="Calibri" w:eastAsia="Calibri" w:hAnsi="Calibri"/>
          <w:sz w:val="20"/>
          <w:szCs w:val="20"/>
          <w:color w:val="auto"/>
        </w:rPr>
        <w:t>”), based upon achievement of corporate and individual goals. Such Equity Grants are subject to all of the terms and conditons of the Omnibus Plan and any applicable award documents. The vestng schedule, exercise tming, and price per unit (as defned in the applicable award agreement) will be determined in accordance with the Omnibus Plan, but will be consistent with the vestng provisions for C-Suite executves of Cannabist. The target annual Equity Grant amount is Five Hundred Thousand US Dollars ($500,000), the number of RSUs or other form of equity to be determined in a manner consistent with the calculatons use to determine the number of such equity units for the C-Suite executves of Cannabist.</w:t>
      </w:r>
    </w:p>
    <w:p>
      <w:pPr>
        <w:spacing w:after="0" w:line="200" w:lineRule="exact"/>
        <w:rPr>
          <w:sz w:val="20"/>
          <w:szCs w:val="20"/>
          <w:color w:val="auto"/>
        </w:rPr>
      </w:pPr>
    </w:p>
    <w:p>
      <w:pPr>
        <w:spacing w:after="0" w:line="236" w:lineRule="exact"/>
        <w:rPr>
          <w:sz w:val="20"/>
          <w:szCs w:val="20"/>
          <w:color w:val="auto"/>
        </w:rPr>
      </w:pPr>
    </w:p>
    <w:p>
      <w:pPr>
        <w:ind w:left="1220" w:hanging="821"/>
        <w:spacing w:after="0" w:line="228" w:lineRule="auto"/>
        <w:tabs>
          <w:tab w:leader="none" w:pos="1200" w:val="left"/>
        </w:tabs>
        <w:rPr>
          <w:sz w:val="20"/>
          <w:szCs w:val="20"/>
          <w:color w:val="auto"/>
        </w:rPr>
      </w:pPr>
      <w:r>
        <w:rPr>
          <w:rFonts w:ascii="Calibri" w:cs="Calibri" w:eastAsia="Calibri" w:hAnsi="Calibri"/>
          <w:sz w:val="20"/>
          <w:szCs w:val="20"/>
          <w:b w:val="1"/>
          <w:bCs w:val="1"/>
          <w:color w:val="auto"/>
        </w:rPr>
        <w:t>(2.2b)</w:t>
        <w:tab/>
        <w:t xml:space="preserve">PRIOR EQUITY GRANTS </w:t>
      </w:r>
      <w:r>
        <w:rPr>
          <w:rFonts w:ascii="Calibri" w:cs="Calibri" w:eastAsia="Calibri" w:hAnsi="Calibri"/>
          <w:sz w:val="20"/>
          <w:szCs w:val="20"/>
          <w:color w:val="auto"/>
        </w:rPr>
        <w:t>– Any outstanding unvested equity previously granted to Olson under the Omnibus Plan, or any</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prior equity plan of Cannabist, shall contnue to vest during the Term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260985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7" w:lineRule="exact"/>
        <w:rPr>
          <w:sz w:val="20"/>
          <w:szCs w:val="20"/>
          <w:color w:val="auto"/>
        </w:rPr>
      </w:pPr>
    </w:p>
    <w:p>
      <w:pPr>
        <w:ind w:left="80"/>
        <w:spacing w:after="0"/>
        <w:rPr>
          <w:sz w:val="20"/>
          <w:szCs w:val="20"/>
          <w:color w:val="auto"/>
        </w:rPr>
      </w:pPr>
      <w:r>
        <w:rPr>
          <w:rFonts w:ascii="Calibri" w:cs="Calibri" w:eastAsia="Calibri" w:hAnsi="Calibri"/>
          <w:sz w:val="20"/>
          <w:szCs w:val="20"/>
          <w:b w:val="1"/>
          <w:bCs w:val="1"/>
          <w:color w:val="auto"/>
        </w:rPr>
        <w:t xml:space="preserve">1 | </w:t>
      </w:r>
      <w:r>
        <w:rPr>
          <w:rFonts w:ascii="Calibri" w:cs="Calibri" w:eastAsia="Calibri" w:hAnsi="Calibri"/>
          <w:sz w:val="20"/>
          <w:szCs w:val="20"/>
          <w:color w:val="7F7F7F"/>
        </w:rPr>
        <w:t>Page</w:t>
      </w:r>
    </w:p>
    <w:p>
      <w:pPr>
        <w:sectPr>
          <w:pgSz w:w="11900" w:h="16838" w:orient="portrait"/>
          <w:cols w:equalWidth="0" w:num="1">
            <w:col w:w="11240"/>
          </w:cols>
          <w:pgMar w:left="320" w:top="1327" w:right="339" w:bottom="1440" w:gutter="0" w:footer="0" w:header="0"/>
        </w:sectPr>
      </w:pPr>
    </w:p>
    <w:bookmarkStart w:id="38" w:name="page39"/>
    <w:bookmarkEnd w:id="38"/>
    <w:p>
      <w:pPr>
        <w:jc w:val="center"/>
        <w:spacing w:after="0"/>
        <w:rPr>
          <w:sz w:val="20"/>
          <w:szCs w:val="20"/>
          <w:color w:val="auto"/>
        </w:rPr>
      </w:pPr>
      <w:r>
        <w:rPr>
          <w:rFonts w:ascii="Calibri" w:cs="Calibri" w:eastAsia="Calibri" w:hAnsi="Calibri"/>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539750" cy="5397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3">
                      <a:clrChange>
                        <a:clrFrom>
                          <a:srgbClr val="FFFFFF"/>
                        </a:clrFrom>
                        <a:clrTo>
                          <a:srgbClr val="FFFFFF">
                            <a:alpha val="0"/>
                          </a:srgbClr>
                        </a:clrTo>
                      </a:clrChange>
                      <a:extLst>
                        <a:ext uri="{28A0092B-C50C-407E-A947-70E740481C1C}"/>
                      </a:extLst>
                    </a:blip>
                    <a:srcRect/>
                    <a:stretch>
                      <a:fillRect/>
                    </a:stretch>
                  </pic:blipFill>
                  <pic:spPr bwMode="auto">
                    <a:xfrm>
                      <a:off x="0" y="0"/>
                      <a:ext cx="539750" cy="539750"/>
                    </a:xfrm>
                    <a:prstGeom prst="rect">
                      <a:avLst/>
                    </a:prstGeom>
                    <a:noFill/>
                  </pic:spPr>
                </pic:pic>
              </a:graphicData>
            </a:graphic>
          </wp:anchor>
        </w:drawing>
        <w:t>Fractonal CHRO Engagement Agreement</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300"/>
        <w:spacing w:after="0" w:line="228" w:lineRule="auto"/>
        <w:rPr>
          <w:sz w:val="20"/>
          <w:szCs w:val="20"/>
          <w:color w:val="auto"/>
        </w:rPr>
      </w:pPr>
      <w:r>
        <w:rPr>
          <w:rFonts w:ascii="Calibri" w:cs="Calibri" w:eastAsia="Calibri" w:hAnsi="Calibri"/>
          <w:sz w:val="20"/>
          <w:szCs w:val="20"/>
          <w:color w:val="auto"/>
        </w:rPr>
        <w:t>this Agreement. For the avoidance of doubt, services provided under this Agreement shall be considered a contnuaton of services to Cannabist under the applicable award agreements.</w:t>
      </w:r>
    </w:p>
    <w:p>
      <w:pPr>
        <w:spacing w:after="0" w:line="252" w:lineRule="exact"/>
        <w:rPr>
          <w:sz w:val="20"/>
          <w:szCs w:val="20"/>
          <w:color w:val="auto"/>
        </w:rPr>
      </w:pPr>
    </w:p>
    <w:p>
      <w:pPr>
        <w:jc w:val="both"/>
        <w:ind w:left="660" w:firstLine="183"/>
        <w:spacing w:after="0" w:line="233" w:lineRule="auto"/>
        <w:rPr>
          <w:sz w:val="20"/>
          <w:szCs w:val="20"/>
          <w:color w:val="auto"/>
        </w:rPr>
      </w:pPr>
      <w:r>
        <w:rPr>
          <w:rFonts w:ascii="Calibri" w:cs="Calibri" w:eastAsia="Calibri" w:hAnsi="Calibri"/>
          <w:sz w:val="20"/>
          <w:szCs w:val="20"/>
          <w:b w:val="1"/>
          <w:bCs w:val="1"/>
          <w:color w:val="auto"/>
        </w:rPr>
        <w:t xml:space="preserve">(2.3) 2024 BONUS </w:t>
      </w:r>
      <w:r>
        <w:rPr>
          <w:rFonts w:ascii="Calibri" w:cs="Calibri" w:eastAsia="Calibri" w:hAnsi="Calibri"/>
          <w:sz w:val="20"/>
          <w:szCs w:val="20"/>
          <w:color w:val="auto"/>
        </w:rPr>
        <w:t>– Olson will be eligible to partcipate in Cannabist’s discretonary executve bonus plan (the “</w:t>
      </w:r>
      <w:r>
        <w:rPr>
          <w:rFonts w:ascii="Calibri" w:cs="Calibri" w:eastAsia="Calibri" w:hAnsi="Calibri"/>
          <w:sz w:val="20"/>
          <w:szCs w:val="20"/>
          <w:b w:val="1"/>
          <w:bCs w:val="1"/>
          <w:color w:val="auto"/>
        </w:rPr>
        <w:t>Bonus Plan</w:t>
      </w:r>
      <w:r>
        <w:rPr>
          <w:rFonts w:ascii="Calibri" w:cs="Calibri" w:eastAsia="Calibri" w:hAnsi="Calibri"/>
          <w:sz w:val="20"/>
          <w:szCs w:val="20"/>
          <w:color w:val="auto"/>
        </w:rPr>
        <w:t>”)</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for 2024 (the “</w:t>
      </w:r>
      <w:r>
        <w:rPr>
          <w:rFonts w:ascii="Calibri" w:cs="Calibri" w:eastAsia="Calibri" w:hAnsi="Calibri"/>
          <w:sz w:val="20"/>
          <w:szCs w:val="20"/>
          <w:b w:val="1"/>
          <w:bCs w:val="1"/>
          <w:color w:val="auto"/>
        </w:rPr>
        <w:t>Bonus Separaton Payment</w:t>
      </w:r>
      <w:r>
        <w:rPr>
          <w:rFonts w:ascii="Calibri" w:cs="Calibri" w:eastAsia="Calibri" w:hAnsi="Calibri"/>
          <w:sz w:val="20"/>
          <w:szCs w:val="20"/>
          <w:color w:val="auto"/>
        </w:rPr>
        <w:t>”). Such partcipaton will be determined on a pro-rated basis covering the performance period from January 1, 2024 through July 31, 2024 (the “</w:t>
      </w:r>
      <w:r>
        <w:rPr>
          <w:rFonts w:ascii="Calibri" w:cs="Calibri" w:eastAsia="Calibri" w:hAnsi="Calibri"/>
          <w:sz w:val="20"/>
          <w:szCs w:val="20"/>
          <w:b w:val="1"/>
          <w:bCs w:val="1"/>
          <w:color w:val="auto"/>
        </w:rPr>
        <w:t>Bonus Performance Term</w:t>
      </w:r>
      <w:r>
        <w:rPr>
          <w:rFonts w:ascii="Calibri" w:cs="Calibri" w:eastAsia="Calibri" w:hAnsi="Calibri"/>
          <w:sz w:val="20"/>
          <w:szCs w:val="20"/>
          <w:color w:val="auto"/>
        </w:rPr>
        <w:t>”), subject to terms of the Bonus Plan, with a target bonus of 55% (subject to pro-raton) of Olson’s salary in efect during the Bonus Performance Term, and based upon the achievement of corporate and individual goals. The Bonus Separaton Payment will be paid to Olson on the same date that Cannabist pays bonuses to C-Suite executves under the Bonus Plan for 2024. The amount of the Bonus Separaton Payment will be determined by Cannabist in good faith.</w:t>
      </w:r>
    </w:p>
    <w:p>
      <w:pPr>
        <w:spacing w:after="0" w:line="244" w:lineRule="exact"/>
        <w:rPr>
          <w:sz w:val="20"/>
          <w:szCs w:val="20"/>
          <w:color w:val="auto"/>
        </w:rPr>
      </w:pPr>
    </w:p>
    <w:p>
      <w:pPr>
        <w:jc w:val="both"/>
        <w:ind w:left="660" w:firstLine="648"/>
        <w:spacing w:after="0" w:line="234" w:lineRule="auto"/>
        <w:rPr>
          <w:sz w:val="20"/>
          <w:szCs w:val="20"/>
          <w:color w:val="auto"/>
        </w:rPr>
      </w:pPr>
      <w:r>
        <w:rPr>
          <w:rFonts w:ascii="Calibri" w:cs="Calibri" w:eastAsia="Calibri" w:hAnsi="Calibri"/>
          <w:sz w:val="20"/>
          <w:szCs w:val="20"/>
          <w:b w:val="1"/>
          <w:bCs w:val="1"/>
          <w:color w:val="auto"/>
        </w:rPr>
        <w:t xml:space="preserve">(2.4) EXPENSES </w:t>
      </w:r>
      <w:r>
        <w:rPr>
          <w:rFonts w:ascii="Calibri" w:cs="Calibri" w:eastAsia="Calibri" w:hAnsi="Calibri"/>
          <w:sz w:val="20"/>
          <w:szCs w:val="20"/>
          <w:color w:val="auto"/>
        </w:rPr>
        <w:t>– In most instances, we antcipate that the Services will be provided without any additonal expenses.</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We will seek your pre-approval before incurring any expenses that would be passed on to you. You agree to reimburse our reasonable, pre-approved expenses incurred in performing the Services (“</w:t>
      </w:r>
      <w:r>
        <w:rPr>
          <w:rFonts w:ascii="Calibri" w:cs="Calibri" w:eastAsia="Calibri" w:hAnsi="Calibri"/>
          <w:sz w:val="20"/>
          <w:szCs w:val="20"/>
          <w:b w:val="1"/>
          <w:bCs w:val="1"/>
          <w:color w:val="auto"/>
        </w:rPr>
        <w:t>Expenses</w:t>
      </w:r>
      <w:r>
        <w:rPr>
          <w:rFonts w:ascii="Calibri" w:cs="Calibri" w:eastAsia="Calibri" w:hAnsi="Calibri"/>
          <w:sz w:val="20"/>
          <w:szCs w:val="20"/>
          <w:color w:val="auto"/>
        </w:rPr>
        <w:t>”) no later than thirty (30) days following your receipt of such invoice, provided that reimbursement for Expenses may be delayed untl such tme as we have furnished such documentaton for authorized expenses as you may reasonably request.</w:t>
      </w:r>
    </w:p>
    <w:p>
      <w:pPr>
        <w:spacing w:after="0" w:line="241" w:lineRule="exact"/>
        <w:rPr>
          <w:sz w:val="20"/>
          <w:szCs w:val="20"/>
          <w:color w:val="auto"/>
        </w:rPr>
      </w:pPr>
    </w:p>
    <w:p>
      <w:pPr>
        <w:ind w:right="20" w:firstLine="656"/>
        <w:spacing w:after="0" w:line="234" w:lineRule="auto"/>
        <w:tabs>
          <w:tab w:leader="none" w:pos="1114" w:val="left"/>
        </w:tabs>
        <w:numPr>
          <w:ilvl w:val="0"/>
          <w:numId w:val="21"/>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 xml:space="preserve">TERM </w:t>
      </w:r>
      <w:r>
        <w:rPr>
          <w:rFonts w:ascii="Calibri" w:cs="Calibri" w:eastAsia="Calibri" w:hAnsi="Calibri"/>
          <w:sz w:val="20"/>
          <w:szCs w:val="20"/>
          <w:color w:val="auto"/>
        </w:rPr>
        <w:t>– The term of this Agreement will begin on August 6, 2024, and contnue untl August 5, 2025, and shall contnue</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from year to year thereafer untl the efectve date of a terminaton as described in Secton 4 below (the “</w:t>
      </w:r>
      <w:r>
        <w:rPr>
          <w:rFonts w:ascii="Calibri" w:cs="Calibri" w:eastAsia="Calibri" w:hAnsi="Calibri"/>
          <w:sz w:val="20"/>
          <w:szCs w:val="20"/>
          <w:b w:val="1"/>
          <w:bCs w:val="1"/>
          <w:color w:val="auto"/>
        </w:rPr>
        <w:t>Term</w:t>
      </w:r>
      <w:r>
        <w:rPr>
          <w:rFonts w:ascii="Calibri" w:cs="Calibri" w:eastAsia="Calibri" w:hAnsi="Calibri"/>
          <w:sz w:val="20"/>
          <w:szCs w:val="20"/>
          <w:color w:val="auto"/>
        </w:rPr>
        <w:t>”).</w:t>
      </w:r>
    </w:p>
    <w:p>
      <w:pPr>
        <w:spacing w:after="0" w:line="229" w:lineRule="exact"/>
        <w:rPr>
          <w:rFonts w:ascii="Calibri" w:cs="Calibri" w:eastAsia="Calibri" w:hAnsi="Calibri"/>
          <w:sz w:val="20"/>
          <w:szCs w:val="20"/>
          <w:b w:val="1"/>
          <w:bCs w:val="1"/>
          <w:color w:val="auto"/>
        </w:rPr>
      </w:pPr>
    </w:p>
    <w:p>
      <w:pPr>
        <w:ind w:left="1060" w:hanging="404"/>
        <w:spacing w:after="0"/>
        <w:tabs>
          <w:tab w:leader="none" w:pos="1060" w:val="left"/>
        </w:tabs>
        <w:numPr>
          <w:ilvl w:val="0"/>
          <w:numId w:val="21"/>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TERMINATION</w:t>
      </w:r>
    </w:p>
    <w:p>
      <w:pPr>
        <w:spacing w:after="0" w:line="252" w:lineRule="exact"/>
        <w:rPr>
          <w:sz w:val="20"/>
          <w:szCs w:val="20"/>
          <w:color w:val="auto"/>
        </w:rPr>
      </w:pPr>
    </w:p>
    <w:p>
      <w:pPr>
        <w:jc w:val="both"/>
        <w:ind w:left="660" w:firstLine="648"/>
        <w:spacing w:after="0" w:line="233" w:lineRule="auto"/>
        <w:rPr>
          <w:sz w:val="20"/>
          <w:szCs w:val="20"/>
          <w:color w:val="auto"/>
        </w:rPr>
      </w:pPr>
      <w:r>
        <w:rPr>
          <w:rFonts w:ascii="Calibri" w:cs="Calibri" w:eastAsia="Calibri" w:hAnsi="Calibri"/>
          <w:sz w:val="20"/>
          <w:szCs w:val="20"/>
          <w:b w:val="1"/>
          <w:bCs w:val="1"/>
          <w:color w:val="auto"/>
        </w:rPr>
        <w:t xml:space="preserve">(4.1) TERMINATION FOR CAUSE </w:t>
      </w:r>
      <w:r>
        <w:rPr>
          <w:rFonts w:ascii="Calibri" w:cs="Calibri" w:eastAsia="Calibri" w:hAnsi="Calibri"/>
          <w:sz w:val="20"/>
          <w:szCs w:val="20"/>
          <w:color w:val="auto"/>
        </w:rPr>
        <w:t>– Cannabist may terminate the Agreement by providing writen notce of its intenton</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to terminate the Agreement for Cause. Except as otherwise described in this Secton (4.1), such terminaton shall be efectve as of the date following the provision of such notce, as determined by Cannabist. “</w:t>
      </w:r>
      <w:r>
        <w:rPr>
          <w:rFonts w:ascii="Calibri" w:cs="Calibri" w:eastAsia="Calibri" w:hAnsi="Calibri"/>
          <w:sz w:val="20"/>
          <w:szCs w:val="20"/>
          <w:b w:val="1"/>
          <w:bCs w:val="1"/>
          <w:color w:val="auto"/>
        </w:rPr>
        <w:t>Cause</w:t>
      </w:r>
      <w:r>
        <w:rPr>
          <w:rFonts w:ascii="Calibri" w:cs="Calibri" w:eastAsia="Calibri" w:hAnsi="Calibri"/>
          <w:sz w:val="20"/>
          <w:szCs w:val="20"/>
          <w:color w:val="auto"/>
        </w:rPr>
        <w:t>” means Olson’s or ourCHRO’s: (i) engaging in illegal conduct that was or is materially injurious to Cannabist or its afliates; (ii) violatng a federal or state law or regulaton applicable to Cannabist’s business which violaton was or is reasonably likely to be injurious to Cannabist, except for any violaton of the Controlled Substances Act arising from Cannabist’s cultvaton and distributon of marijuana; (iii) material breach of the material terms of this Agreement; (iv) commission of a felony or commitng any act of moral turpitude or the misappropriaton of material property belonging to Cannabist or its afliates; (v) engaging in any act that consttutes material misconduct, thef, fraud, embezzlement, misrepresentaton, confict of interest, or breach of fduciary obligatons to Cannabist;</w:t>
      </w:r>
    </w:p>
    <w:p>
      <w:pPr>
        <w:spacing w:after="0" w:line="5" w:lineRule="exact"/>
        <w:rPr>
          <w:sz w:val="20"/>
          <w:szCs w:val="20"/>
          <w:color w:val="auto"/>
        </w:rPr>
      </w:pPr>
    </w:p>
    <w:p>
      <w:pPr>
        <w:jc w:val="both"/>
        <w:ind w:left="660" w:hanging="4"/>
        <w:spacing w:after="0"/>
        <w:tabs>
          <w:tab w:leader="none" w:pos="980" w:val="left"/>
        </w:tabs>
        <w:numPr>
          <w:ilvl w:val="0"/>
          <w:numId w:val="22"/>
        </w:numPr>
        <w:rPr>
          <w:rFonts w:ascii="Calibri" w:cs="Calibri" w:eastAsia="Calibri" w:hAnsi="Calibri"/>
          <w:sz w:val="20"/>
          <w:szCs w:val="20"/>
          <w:color w:val="auto"/>
        </w:rPr>
      </w:pPr>
      <w:r>
        <w:rPr>
          <w:rFonts w:ascii="Calibri" w:cs="Calibri" w:eastAsia="Calibri" w:hAnsi="Calibri"/>
          <w:sz w:val="20"/>
          <w:szCs w:val="20"/>
          <w:color w:val="auto"/>
        </w:rPr>
        <w:t>gross negligence or willful failure to follow lawful directons of the Board or the Chief Executve Ofcer of Cannabist, other than due to illness or incapacity; (vii) unauthorized use or disclosure of proprietary informaton of Cannabist; (viii) actons or conduct which is detrimental to the business or fnancial reputaton of Cannabist; or (ix) material violaton of any material policies of Cannabist; provided that, with respect to subpart (ix), Olson and/or ourCHRO must be provided with writen notce of terminaton for Cause (including an explanaton of the basis for Cause) and be provided with a 30-day period following receipt of such notce to cure the event(s) that trigger Cause. The Chief Executve Ofcer and/or the Compensaton Commitee of the Board of Directors of Cannabist shall make the fnal determinaton in good faith as to whether Olson and/or ourCRHO has cured the existence of Cause.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530225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80"/>
        <w:spacing w:after="0"/>
        <w:rPr>
          <w:sz w:val="20"/>
          <w:szCs w:val="20"/>
          <w:color w:val="auto"/>
        </w:rPr>
      </w:pPr>
      <w:r>
        <w:rPr>
          <w:rFonts w:ascii="Calibri" w:cs="Calibri" w:eastAsia="Calibri" w:hAnsi="Calibri"/>
          <w:sz w:val="20"/>
          <w:szCs w:val="20"/>
          <w:b w:val="1"/>
          <w:bCs w:val="1"/>
          <w:color w:val="auto"/>
        </w:rPr>
        <w:t xml:space="preserve">2 | </w:t>
      </w:r>
      <w:r>
        <w:rPr>
          <w:rFonts w:ascii="Calibri" w:cs="Calibri" w:eastAsia="Calibri" w:hAnsi="Calibri"/>
          <w:sz w:val="20"/>
          <w:szCs w:val="20"/>
          <w:color w:val="7F7F7F"/>
        </w:rPr>
        <w:t>Page</w:t>
      </w:r>
    </w:p>
    <w:p>
      <w:pPr>
        <w:sectPr>
          <w:pgSz w:w="11900" w:h="16838" w:orient="portrait"/>
          <w:cols w:equalWidth="0" w:num="1">
            <w:col w:w="11240"/>
          </w:cols>
          <w:pgMar w:left="320" w:top="1327" w:right="339" w:bottom="1440" w:gutter="0" w:footer="0" w:header="0"/>
        </w:sectPr>
      </w:pPr>
    </w:p>
    <w:bookmarkStart w:id="39" w:name="page40"/>
    <w:bookmarkEnd w:id="39"/>
    <w:p>
      <w:pPr>
        <w:jc w:val="center"/>
        <w:spacing w:after="0"/>
        <w:rPr>
          <w:sz w:val="20"/>
          <w:szCs w:val="20"/>
          <w:color w:val="auto"/>
        </w:rPr>
      </w:pPr>
      <w:r>
        <w:rPr>
          <w:rFonts w:ascii="Calibri" w:cs="Calibri" w:eastAsia="Calibri" w:hAnsi="Calibri"/>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539750" cy="5397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5">
                      <a:clrChange>
                        <a:clrFrom>
                          <a:srgbClr val="FFFFFF"/>
                        </a:clrFrom>
                        <a:clrTo>
                          <a:srgbClr val="FFFFFF">
                            <a:alpha val="0"/>
                          </a:srgbClr>
                        </a:clrTo>
                      </a:clrChange>
                      <a:extLst>
                        <a:ext uri="{28A0092B-C50C-407E-A947-70E740481C1C}"/>
                      </a:extLst>
                    </a:blip>
                    <a:srcRect/>
                    <a:stretch>
                      <a:fillRect/>
                    </a:stretch>
                  </pic:blipFill>
                  <pic:spPr bwMode="auto">
                    <a:xfrm>
                      <a:off x="0" y="0"/>
                      <a:ext cx="539750" cy="539750"/>
                    </a:xfrm>
                    <a:prstGeom prst="rect">
                      <a:avLst/>
                    </a:prstGeom>
                    <a:noFill/>
                  </pic:spPr>
                </pic:pic>
              </a:graphicData>
            </a:graphic>
          </wp:anchor>
        </w:drawing>
        <w:t>Fractonal CHRO Engagement Agreement</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ind w:left="660" w:firstLine="648"/>
        <w:spacing w:after="0" w:line="231" w:lineRule="auto"/>
        <w:rPr>
          <w:sz w:val="20"/>
          <w:szCs w:val="20"/>
          <w:color w:val="auto"/>
        </w:rPr>
      </w:pPr>
      <w:r>
        <w:rPr>
          <w:rFonts w:ascii="Calibri" w:cs="Calibri" w:eastAsia="Calibri" w:hAnsi="Calibri"/>
          <w:sz w:val="20"/>
          <w:szCs w:val="20"/>
          <w:b w:val="1"/>
          <w:bCs w:val="1"/>
          <w:color w:val="auto"/>
        </w:rPr>
        <w:t xml:space="preserve">(4.2) TERMINATION WITH NOTICE; OR WITH PAYMENT IN LIEU OF NOTICE </w:t>
      </w:r>
      <w:r>
        <w:rPr>
          <w:rFonts w:ascii="Calibri" w:cs="Calibri" w:eastAsia="Calibri" w:hAnsi="Calibri"/>
          <w:sz w:val="20"/>
          <w:szCs w:val="20"/>
          <w:color w:val="auto"/>
        </w:rPr>
        <w:t>– Olson may terminate this Agreement at</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 xml:space="preserve">any tme and for any reason, provided that writen notce is sent at least twelve (12) months prior to the efectve date of terminaton. Beginning on January 6, 2025, Cannabist may terminate this Agreement at any tme and for any reason, provided that writen notce is sent at least twelve (12) months prior to the efectve date of terminaton. </w:t>
      </w:r>
      <w:r>
        <w:rPr>
          <w:rFonts w:ascii="Calibri" w:cs="Calibri" w:eastAsia="Calibri" w:hAnsi="Calibri"/>
          <w:sz w:val="20"/>
          <w:szCs w:val="20"/>
          <w:color w:val="242424"/>
        </w:rPr>
        <w:t>Cannabist may, at its absolute</w:t>
      </w:r>
      <w:r>
        <w:rPr>
          <w:rFonts w:ascii="Calibri" w:cs="Calibri" w:eastAsia="Calibri" w:hAnsi="Calibri"/>
          <w:sz w:val="20"/>
          <w:szCs w:val="20"/>
          <w:color w:val="auto"/>
        </w:rPr>
        <w:t xml:space="preserve"> </w:t>
      </w:r>
      <w:r>
        <w:rPr>
          <w:rFonts w:ascii="Calibri" w:cs="Calibri" w:eastAsia="Calibri" w:hAnsi="Calibri"/>
          <w:sz w:val="20"/>
          <w:szCs w:val="20"/>
          <w:color w:val="242424"/>
        </w:rPr>
        <w:t>discreton, when terminatng Agreement pursuant to Secton (4.2), elect to notfy ourCHRO in writng that it is exercising its right to terminate the Agreement with immediate efect and that it will be making a payment to ourCHRO in lieu of notce. Cannabist’s payment in lieu of notce shall be equivalent to twelve (12) tmes the Monthly Fee.</w:t>
      </w:r>
    </w:p>
    <w:p>
      <w:pPr>
        <w:spacing w:after="0" w:line="259" w:lineRule="exact"/>
        <w:rPr>
          <w:sz w:val="20"/>
          <w:szCs w:val="20"/>
          <w:color w:val="auto"/>
        </w:rPr>
      </w:pPr>
    </w:p>
    <w:p>
      <w:pPr>
        <w:jc w:val="both"/>
        <w:ind w:firstLine="656"/>
        <w:spacing w:after="0" w:line="233" w:lineRule="auto"/>
        <w:tabs>
          <w:tab w:leader="none" w:pos="1132" w:val="left"/>
        </w:tabs>
        <w:numPr>
          <w:ilvl w:val="0"/>
          <w:numId w:val="23"/>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 xml:space="preserve">INDEPENDENT CONTRACT RELATIONSHIP </w:t>
      </w:r>
      <w:r>
        <w:rPr>
          <w:rFonts w:ascii="Calibri" w:cs="Calibri" w:eastAsia="Calibri" w:hAnsi="Calibri"/>
          <w:sz w:val="20"/>
          <w:szCs w:val="20"/>
          <w:color w:val="auto"/>
        </w:rPr>
        <w:t>– ourCHRO’s relatonship with Cannabist is that of an independent contractor,</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and nothing in this Agreement is intended to, or shall be construed to, create a partnership, agency, joint venture, employment or similar relatonship. We are solely responsible for all tax returns and payments required to be fled with, or made to, any federal, state or local tax authority with respect to the performance of services and receipt of fees under this Agreement.</w:t>
      </w:r>
    </w:p>
    <w:p>
      <w:pPr>
        <w:spacing w:after="0" w:line="239" w:lineRule="exact"/>
        <w:rPr>
          <w:rFonts w:ascii="Calibri" w:cs="Calibri" w:eastAsia="Calibri" w:hAnsi="Calibri"/>
          <w:sz w:val="20"/>
          <w:szCs w:val="20"/>
          <w:b w:val="1"/>
          <w:bCs w:val="1"/>
          <w:color w:val="auto"/>
        </w:rPr>
      </w:pPr>
    </w:p>
    <w:p>
      <w:pPr>
        <w:jc w:val="both"/>
        <w:ind w:firstLine="656"/>
        <w:spacing w:after="0" w:line="233" w:lineRule="auto"/>
        <w:tabs>
          <w:tab w:leader="none" w:pos="1162" w:val="left"/>
        </w:tabs>
        <w:numPr>
          <w:ilvl w:val="0"/>
          <w:numId w:val="23"/>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 xml:space="preserve">CONFIDENTIALITY </w:t>
      </w:r>
      <w:r>
        <w:rPr>
          <w:rFonts w:ascii="Calibri" w:cs="Calibri" w:eastAsia="Calibri" w:hAnsi="Calibri"/>
          <w:sz w:val="20"/>
          <w:szCs w:val="20"/>
          <w:color w:val="auto"/>
        </w:rPr>
        <w:t>– We understand that all informaton regarding Cannabist or any of your ofcers or employees that is</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made available, furnished or communicated to us, or that we otherwise learn during the course of work in connecton with this Agreement and any advice, informaton or recommendatons that we provide to Cannabist or any of the above individuals is considered to be confdental, sensitve or proprietary informaton, and we agree that we will not disclose any such informaton to any third partes, except and only to the extent required by law in the writen opinion of our outside legal counsel afer prompt notce to Cannabist (in which case we will cooperate in any reasonable eforts by Cannabist to obtain confdental or other protectve treatment of the informaton) or as otherwise authorized by Cannabist. This paragraph shall not apply to informaton that is or becomes publicly available through no fault of ourCHRO. Notwithstanding the foregoing, we may retain archival copies of such confdental informaton, provided that such retained confdental informaton shall remain subject to the terms of this Agreement.</w:t>
      </w:r>
    </w:p>
    <w:p>
      <w:pPr>
        <w:spacing w:after="0" w:line="256" w:lineRule="exact"/>
        <w:rPr>
          <w:rFonts w:ascii="Calibri" w:cs="Calibri" w:eastAsia="Calibri" w:hAnsi="Calibri"/>
          <w:sz w:val="20"/>
          <w:szCs w:val="20"/>
          <w:b w:val="1"/>
          <w:bCs w:val="1"/>
          <w:color w:val="auto"/>
        </w:rPr>
      </w:pPr>
    </w:p>
    <w:p>
      <w:pPr>
        <w:jc w:val="both"/>
        <w:ind w:firstLine="656"/>
        <w:spacing w:after="0"/>
        <w:tabs>
          <w:tab w:leader="none" w:pos="1131" w:val="left"/>
        </w:tabs>
        <w:numPr>
          <w:ilvl w:val="0"/>
          <w:numId w:val="23"/>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 xml:space="preserve">NO CONFLICT OF INTEREST </w:t>
      </w:r>
      <w:r>
        <w:rPr>
          <w:rFonts w:ascii="Calibri" w:cs="Calibri" w:eastAsia="Calibri" w:hAnsi="Calibri"/>
          <w:sz w:val="20"/>
          <w:szCs w:val="20"/>
          <w:color w:val="auto"/>
        </w:rPr>
        <w:t>– During the Term of this Agreement, we will not accept work, enter into a contract, or accept</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an obligaton inconsistent or incompatble with our obligatons, or the scope of services to be rendered for Cannabist under this Agreement.</w:t>
      </w:r>
    </w:p>
    <w:p>
      <w:pPr>
        <w:spacing w:after="0" w:line="200" w:lineRule="exact"/>
        <w:rPr>
          <w:rFonts w:ascii="Calibri" w:cs="Calibri" w:eastAsia="Calibri" w:hAnsi="Calibri"/>
          <w:sz w:val="20"/>
          <w:szCs w:val="20"/>
          <w:b w:val="1"/>
          <w:bCs w:val="1"/>
          <w:color w:val="auto"/>
        </w:rPr>
      </w:pPr>
    </w:p>
    <w:p>
      <w:pPr>
        <w:spacing w:after="0" w:line="270" w:lineRule="exact"/>
        <w:rPr>
          <w:rFonts w:ascii="Calibri" w:cs="Calibri" w:eastAsia="Calibri" w:hAnsi="Calibri"/>
          <w:sz w:val="20"/>
          <w:szCs w:val="20"/>
          <w:b w:val="1"/>
          <w:bCs w:val="1"/>
          <w:color w:val="auto"/>
        </w:rPr>
      </w:pPr>
    </w:p>
    <w:p>
      <w:pPr>
        <w:jc w:val="both"/>
        <w:ind w:firstLine="656"/>
        <w:spacing w:after="0" w:line="232" w:lineRule="auto"/>
        <w:tabs>
          <w:tab w:leader="none" w:pos="1154" w:val="left"/>
        </w:tabs>
        <w:numPr>
          <w:ilvl w:val="0"/>
          <w:numId w:val="23"/>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 xml:space="preserve">INDEMNIFICATION </w:t>
      </w:r>
      <w:r>
        <w:rPr>
          <w:rFonts w:ascii="Calibri" w:cs="Calibri" w:eastAsia="Calibri" w:hAnsi="Calibri"/>
          <w:sz w:val="20"/>
          <w:szCs w:val="20"/>
          <w:color w:val="auto"/>
        </w:rPr>
        <w:t>– In the event that Olson is made a party or threatened to be made a party to any acton, suit, or</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proceeding, whether civil, criminal, administratve or investgatve (collectvely, a “</w:t>
      </w:r>
      <w:r>
        <w:rPr>
          <w:rFonts w:ascii="Calibri" w:cs="Calibri" w:eastAsia="Calibri" w:hAnsi="Calibri"/>
          <w:sz w:val="20"/>
          <w:szCs w:val="20"/>
          <w:b w:val="1"/>
          <w:bCs w:val="1"/>
          <w:color w:val="auto"/>
        </w:rPr>
        <w:t>Proceeding</w:t>
      </w:r>
      <w:r>
        <w:rPr>
          <w:rFonts w:ascii="Calibri" w:cs="Calibri" w:eastAsia="Calibri" w:hAnsi="Calibri"/>
          <w:sz w:val="20"/>
          <w:szCs w:val="20"/>
          <w:color w:val="auto"/>
        </w:rPr>
        <w:t>”) by reason of the fact that he is or was a former employee or ofcer of Cannabist, or is or was serving at the request of Cannabist as an ofcer, employee or agent of another corporaton, subsidiary, afliate or a partnership, joint venture, trust or other enterprise (excluding ourCHRO) , or because of conduct properly undertaken by Olson in executng his dutes pursuant to this Agreement or otherwise actng at the directon of Cannabist, he shall be indemnifed and held harmless by Cannabist to the fullest extent permited by, and except as prohibited under applicable law, from and against any liabilites, costs, claims and expenses, including all costs and expenses incurred in defense of any Proceeding (including atorneys’ fees). Notwithstanding the foregoing, this indemnifcaton provision shall not apply to any Proceeding initated by Olson or Cannabist relatng to any dispute between Olson and Cannabist. Olson shall be required to reimburse Cannabist for any amounts for which Cannabist indemnifed him if he is found by a court of competent jurisdicton to have engaged in willful misconduct with respect to the claims for which he was previously indemnifed.</w:t>
      </w:r>
    </w:p>
    <w:p>
      <w:pPr>
        <w:spacing w:after="0" w:line="242" w:lineRule="exact"/>
        <w:rPr>
          <w:rFonts w:ascii="Calibri" w:cs="Calibri" w:eastAsia="Calibri" w:hAnsi="Calibri"/>
          <w:sz w:val="20"/>
          <w:szCs w:val="20"/>
          <w:b w:val="1"/>
          <w:bCs w:val="1"/>
          <w:color w:val="auto"/>
        </w:rPr>
      </w:pPr>
    </w:p>
    <w:p>
      <w:pPr>
        <w:ind w:left="1120" w:hanging="464"/>
        <w:spacing w:after="0"/>
        <w:tabs>
          <w:tab w:leader="none" w:pos="1120" w:val="left"/>
        </w:tabs>
        <w:numPr>
          <w:ilvl w:val="0"/>
          <w:numId w:val="23"/>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GENERAL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415290</wp:posOffset>
            </wp:positionV>
            <wp:extent cx="71323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80"/>
        <w:spacing w:after="0"/>
        <w:rPr>
          <w:sz w:val="20"/>
          <w:szCs w:val="20"/>
          <w:color w:val="auto"/>
        </w:rPr>
      </w:pPr>
      <w:r>
        <w:rPr>
          <w:rFonts w:ascii="Calibri" w:cs="Calibri" w:eastAsia="Calibri" w:hAnsi="Calibri"/>
          <w:sz w:val="20"/>
          <w:szCs w:val="20"/>
          <w:b w:val="1"/>
          <w:bCs w:val="1"/>
          <w:color w:val="auto"/>
        </w:rPr>
        <w:t xml:space="preserve">3 | </w:t>
      </w:r>
      <w:r>
        <w:rPr>
          <w:rFonts w:ascii="Calibri" w:cs="Calibri" w:eastAsia="Calibri" w:hAnsi="Calibri"/>
          <w:sz w:val="20"/>
          <w:szCs w:val="20"/>
          <w:color w:val="7F7F7F"/>
        </w:rPr>
        <w:t>Page</w:t>
      </w:r>
    </w:p>
    <w:p>
      <w:pPr>
        <w:sectPr>
          <w:pgSz w:w="11900" w:h="16838" w:orient="portrait"/>
          <w:cols w:equalWidth="0" w:num="1">
            <w:col w:w="11240"/>
          </w:cols>
          <w:pgMar w:left="320" w:top="1327" w:right="339" w:bottom="1440" w:gutter="0" w:footer="0" w:header="0"/>
        </w:sectPr>
      </w:pPr>
    </w:p>
    <w:bookmarkStart w:id="40" w:name="page41"/>
    <w:bookmarkEnd w:id="40"/>
    <w:p>
      <w:pPr>
        <w:jc w:val="center"/>
        <w:spacing w:after="0"/>
        <w:rPr>
          <w:sz w:val="20"/>
          <w:szCs w:val="20"/>
          <w:color w:val="auto"/>
        </w:rPr>
      </w:pPr>
      <w:r>
        <w:rPr>
          <w:rFonts w:ascii="Calibri" w:cs="Calibri" w:eastAsia="Calibri" w:hAnsi="Calibri"/>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539750" cy="5397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7">
                      <a:clrChange>
                        <a:clrFrom>
                          <a:srgbClr val="FFFFFF"/>
                        </a:clrFrom>
                        <a:clrTo>
                          <a:srgbClr val="FFFFFF">
                            <a:alpha val="0"/>
                          </a:srgbClr>
                        </a:clrTo>
                      </a:clrChange>
                      <a:extLst>
                        <a:ext uri="{28A0092B-C50C-407E-A947-70E740481C1C}"/>
                      </a:extLst>
                    </a:blip>
                    <a:srcRect/>
                    <a:stretch>
                      <a:fillRect/>
                    </a:stretch>
                  </pic:blipFill>
                  <pic:spPr bwMode="auto">
                    <a:xfrm>
                      <a:off x="0" y="0"/>
                      <a:ext cx="539750" cy="539750"/>
                    </a:xfrm>
                    <a:prstGeom prst="rect">
                      <a:avLst/>
                    </a:prstGeom>
                    <a:noFill/>
                  </pic:spPr>
                </pic:pic>
              </a:graphicData>
            </a:graphic>
          </wp:anchor>
        </w:drawing>
        <w:t>Fractonal CHRO Engagement Agreement</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ind w:left="660" w:firstLine="648"/>
        <w:spacing w:after="0" w:line="228" w:lineRule="auto"/>
        <w:rPr>
          <w:sz w:val="20"/>
          <w:szCs w:val="20"/>
          <w:color w:val="auto"/>
        </w:rPr>
      </w:pPr>
      <w:r>
        <w:rPr>
          <w:rFonts w:ascii="Calibri" w:cs="Calibri" w:eastAsia="Calibri" w:hAnsi="Calibri"/>
          <w:sz w:val="20"/>
          <w:szCs w:val="20"/>
          <w:b w:val="1"/>
          <w:bCs w:val="1"/>
          <w:color w:val="auto"/>
        </w:rPr>
        <w:t xml:space="preserve">(9.1) CANNABIST ISSUED COMPUTER EQUIPMENT </w:t>
      </w:r>
      <w:r>
        <w:rPr>
          <w:rFonts w:ascii="Calibri" w:cs="Calibri" w:eastAsia="Calibri" w:hAnsi="Calibri"/>
          <w:sz w:val="20"/>
          <w:szCs w:val="20"/>
          <w:color w:val="auto"/>
        </w:rPr>
        <w:t>– All computer equipment issued by Cannabist to Olson during his</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tme employed by the Company, shall be retained by him during the Term of this Agreement.</w:t>
      </w:r>
    </w:p>
    <w:p>
      <w:pPr>
        <w:spacing w:after="0" w:line="360" w:lineRule="exact"/>
        <w:rPr>
          <w:sz w:val="20"/>
          <w:szCs w:val="20"/>
          <w:color w:val="auto"/>
        </w:rPr>
      </w:pPr>
    </w:p>
    <w:p>
      <w:pPr>
        <w:jc w:val="both"/>
        <w:ind w:left="660" w:firstLine="648"/>
        <w:spacing w:after="0" w:line="233" w:lineRule="auto"/>
        <w:rPr>
          <w:sz w:val="20"/>
          <w:szCs w:val="20"/>
          <w:color w:val="auto"/>
        </w:rPr>
      </w:pPr>
      <w:r>
        <w:rPr>
          <w:rFonts w:ascii="Calibri" w:cs="Calibri" w:eastAsia="Calibri" w:hAnsi="Calibri"/>
          <w:sz w:val="20"/>
          <w:szCs w:val="20"/>
          <w:b w:val="1"/>
          <w:bCs w:val="1"/>
          <w:color w:val="auto"/>
        </w:rPr>
        <w:t xml:space="preserve">(9.2) GOVERNNING LAW </w:t>
      </w:r>
      <w:r>
        <w:rPr>
          <w:rFonts w:ascii="Calibri" w:cs="Calibri" w:eastAsia="Calibri" w:hAnsi="Calibri"/>
          <w:sz w:val="20"/>
          <w:szCs w:val="20"/>
          <w:color w:val="auto"/>
        </w:rPr>
        <w:t>– This Agreement will be governed by the laws of the State of Florida. In the event of any</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dispute or controversy between the partes with respect to the maters contemplated in the Agreement, the partes consent to the sole and exclusive jurisdicton of the state and federal courts sitng in the State of Florida and waive any defense to the jurisdicton thereof based on lack of jurisdicton, improper venue, forum non conveniens, or otherwise.</w:t>
      </w:r>
    </w:p>
    <w:p>
      <w:pPr>
        <w:spacing w:after="0" w:line="240" w:lineRule="exact"/>
        <w:rPr>
          <w:sz w:val="20"/>
          <w:szCs w:val="20"/>
          <w:color w:val="auto"/>
        </w:rPr>
      </w:pPr>
    </w:p>
    <w:p>
      <w:pPr>
        <w:jc w:val="both"/>
        <w:ind w:left="660" w:right="20" w:firstLine="648"/>
        <w:spacing w:after="0" w:line="234" w:lineRule="auto"/>
        <w:rPr>
          <w:sz w:val="20"/>
          <w:szCs w:val="20"/>
          <w:color w:val="auto"/>
        </w:rPr>
      </w:pPr>
      <w:r>
        <w:rPr>
          <w:rFonts w:ascii="Calibri" w:cs="Calibri" w:eastAsia="Calibri" w:hAnsi="Calibri"/>
          <w:sz w:val="20"/>
          <w:szCs w:val="20"/>
          <w:b w:val="1"/>
          <w:bCs w:val="1"/>
          <w:color w:val="auto"/>
        </w:rPr>
        <w:t xml:space="preserve">(9.3) SUCESSORS AND ASSIGNS </w:t>
      </w:r>
      <w:r>
        <w:rPr>
          <w:rFonts w:ascii="Calibri" w:cs="Calibri" w:eastAsia="Calibri" w:hAnsi="Calibri"/>
          <w:sz w:val="20"/>
          <w:szCs w:val="20"/>
          <w:color w:val="auto"/>
        </w:rPr>
        <w:t>– This Agreement will be binding on and inure to the beneft of the successors and</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assigns of the respectve partes, including (without limitaton) any successor organizaton to your company.</w:t>
      </w:r>
    </w:p>
    <w:p>
      <w:pPr>
        <w:spacing w:after="0" w:line="253" w:lineRule="exact"/>
        <w:rPr>
          <w:sz w:val="20"/>
          <w:szCs w:val="20"/>
          <w:color w:val="auto"/>
        </w:rPr>
      </w:pPr>
    </w:p>
    <w:p>
      <w:pPr>
        <w:jc w:val="both"/>
        <w:ind w:left="660" w:firstLine="648"/>
        <w:spacing w:after="0" w:line="230" w:lineRule="auto"/>
        <w:rPr>
          <w:sz w:val="20"/>
          <w:szCs w:val="20"/>
          <w:color w:val="auto"/>
        </w:rPr>
      </w:pPr>
      <w:r>
        <w:rPr>
          <w:rFonts w:ascii="Calibri" w:cs="Calibri" w:eastAsia="Calibri" w:hAnsi="Calibri"/>
          <w:sz w:val="20"/>
          <w:szCs w:val="20"/>
          <w:b w:val="1"/>
          <w:bCs w:val="1"/>
          <w:color w:val="auto"/>
        </w:rPr>
        <w:t xml:space="preserve">(9.4) ENTIRE AGREEMENT </w:t>
      </w:r>
      <w:r>
        <w:rPr>
          <w:rFonts w:ascii="Calibri" w:cs="Calibri" w:eastAsia="Calibri" w:hAnsi="Calibri"/>
          <w:sz w:val="20"/>
          <w:szCs w:val="20"/>
          <w:color w:val="auto"/>
        </w:rPr>
        <w:t>– This Agreement contains the entre understanding of the partes with respect to the</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subject mater contained in the Agreement. All express or implied representatons, agreements and understandings with respect to the subject mater of the Agreement, either oral or writen, previously made are expressly superseded by this Agreement. This Agreement may be amended or modifed only by a writen instrument duly executed by both partes.</w:t>
      </w: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5560" w:type="dxa"/>
            <w:vAlign w:val="bottom"/>
            <w:gridSpan w:val="3"/>
          </w:tcPr>
          <w:p>
            <w:pPr>
              <w:spacing w:after="0"/>
              <w:rPr>
                <w:sz w:val="20"/>
                <w:szCs w:val="20"/>
                <w:color w:val="auto"/>
              </w:rPr>
            </w:pPr>
            <w:r>
              <w:rPr>
                <w:rFonts w:ascii="Calibri" w:cs="Calibri" w:eastAsia="Calibri" w:hAnsi="Calibri"/>
                <w:sz w:val="20"/>
                <w:szCs w:val="20"/>
                <w:color w:val="auto"/>
              </w:rPr>
              <w:t>The partes have executed this Agreement as of the Efectve Date.</w:t>
            </w:r>
          </w:p>
        </w:tc>
        <w:tc>
          <w:tcPr>
            <w:tcW w:w="4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160" w:type="dxa"/>
            <w:vAlign w:val="bottom"/>
          </w:tcPr>
          <w:p>
            <w:pPr>
              <w:spacing w:after="0"/>
              <w:rPr>
                <w:sz w:val="21"/>
                <w:szCs w:val="21"/>
                <w:color w:val="auto"/>
              </w:rPr>
            </w:pPr>
          </w:p>
        </w:tc>
      </w:tr>
      <w:tr>
        <w:trPr>
          <w:trHeight w:val="540"/>
        </w:trPr>
        <w:tc>
          <w:tcPr>
            <w:tcW w:w="5560" w:type="dxa"/>
            <w:vAlign w:val="bottom"/>
            <w:gridSpan w:val="3"/>
          </w:tcPr>
          <w:p>
            <w:pPr>
              <w:ind w:left="80"/>
              <w:spacing w:after="0"/>
              <w:rPr>
                <w:sz w:val="20"/>
                <w:szCs w:val="20"/>
                <w:color w:val="auto"/>
              </w:rPr>
            </w:pPr>
            <w:r>
              <w:rPr>
                <w:rFonts w:ascii="Calibri" w:cs="Calibri" w:eastAsia="Calibri" w:hAnsi="Calibri"/>
                <w:sz w:val="20"/>
                <w:szCs w:val="20"/>
                <w:b w:val="1"/>
                <w:bCs w:val="1"/>
                <w:color w:val="auto"/>
              </w:rPr>
              <w:t>ourCHRO, LLC</w:t>
            </w:r>
          </w:p>
        </w:tc>
        <w:tc>
          <w:tcPr>
            <w:tcW w:w="3740" w:type="dxa"/>
            <w:vAlign w:val="bottom"/>
            <w:gridSpan w:val="3"/>
          </w:tcPr>
          <w:p>
            <w:pPr>
              <w:ind w:left="140"/>
              <w:spacing w:after="0"/>
              <w:rPr>
                <w:sz w:val="20"/>
                <w:szCs w:val="20"/>
                <w:color w:val="auto"/>
              </w:rPr>
            </w:pPr>
            <w:r>
              <w:rPr>
                <w:rFonts w:ascii="Calibri" w:cs="Calibri" w:eastAsia="Calibri" w:hAnsi="Calibri"/>
                <w:sz w:val="20"/>
                <w:szCs w:val="20"/>
                <w:b w:val="1"/>
                <w:bCs w:val="1"/>
                <w:color w:val="auto"/>
              </w:rPr>
              <w:t>THE CANNABIST COMPANY HOLDINGS INC.</w:t>
            </w:r>
          </w:p>
        </w:tc>
      </w:tr>
      <w:tr>
        <w:trPr>
          <w:trHeight w:val="681"/>
        </w:trPr>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440" w:type="dxa"/>
            <w:vAlign w:val="bottom"/>
          </w:tcPr>
          <w:p>
            <w:pPr>
              <w:ind w:left="140"/>
              <w:spacing w:after="0"/>
              <w:rPr>
                <w:sz w:val="20"/>
                <w:szCs w:val="20"/>
                <w:color w:val="auto"/>
              </w:rPr>
            </w:pPr>
            <w:r>
              <w:rPr>
                <w:rFonts w:ascii="Calibri" w:cs="Calibri" w:eastAsia="Calibri" w:hAnsi="Calibri"/>
                <w:sz w:val="20"/>
                <w:szCs w:val="20"/>
                <w:color w:val="auto"/>
              </w:rPr>
              <w:t>By:</w:t>
            </w:r>
          </w:p>
        </w:tc>
        <w:tc>
          <w:tcPr>
            <w:tcW w:w="1140" w:type="dxa"/>
            <w:vAlign w:val="bottom"/>
            <w:tcBorders>
              <w:bottom w:val="single" w:sz="8" w:color="auto"/>
            </w:tcBorders>
          </w:tcPr>
          <w:p>
            <w:pPr>
              <w:spacing w:after="0"/>
              <w:rPr>
                <w:sz w:val="24"/>
                <w:szCs w:val="24"/>
                <w:color w:val="auto"/>
              </w:rPr>
            </w:pPr>
          </w:p>
        </w:tc>
        <w:tc>
          <w:tcPr>
            <w:tcW w:w="2160" w:type="dxa"/>
            <w:vAlign w:val="bottom"/>
          </w:tcPr>
          <w:p>
            <w:pPr>
              <w:spacing w:after="0"/>
              <w:rPr>
                <w:sz w:val="24"/>
                <w:szCs w:val="24"/>
                <w:color w:val="auto"/>
              </w:rPr>
            </w:pPr>
          </w:p>
        </w:tc>
      </w:tr>
      <w:tr>
        <w:trPr>
          <w:trHeight w:val="223"/>
        </w:trPr>
        <w:tc>
          <w:tcPr>
            <w:tcW w:w="380" w:type="dxa"/>
            <w:vAlign w:val="bottom"/>
          </w:tcPr>
          <w:p>
            <w:pPr>
              <w:ind w:left="80"/>
              <w:spacing w:after="0" w:line="223" w:lineRule="exact"/>
              <w:rPr>
                <w:sz w:val="20"/>
                <w:szCs w:val="20"/>
                <w:color w:val="auto"/>
              </w:rPr>
            </w:pPr>
            <w:r>
              <w:rPr>
                <w:rFonts w:ascii="Calibri" w:cs="Calibri" w:eastAsia="Calibri" w:hAnsi="Calibri"/>
                <w:sz w:val="20"/>
                <w:szCs w:val="20"/>
                <w:color w:val="auto"/>
              </w:rPr>
              <w:t>By:</w:t>
            </w:r>
          </w:p>
        </w:tc>
        <w:tc>
          <w:tcPr>
            <w:tcW w:w="1100" w:type="dxa"/>
            <w:vAlign w:val="bottom"/>
            <w:tcBorders>
              <w:bottom w:val="single" w:sz="8" w:color="auto"/>
            </w:tcBorders>
          </w:tcPr>
          <w:p>
            <w:pPr>
              <w:spacing w:after="0"/>
              <w:rPr>
                <w:sz w:val="19"/>
                <w:szCs w:val="19"/>
                <w:color w:val="auto"/>
              </w:rPr>
            </w:pPr>
          </w:p>
        </w:tc>
        <w:tc>
          <w:tcPr>
            <w:tcW w:w="4080" w:type="dxa"/>
            <w:vAlign w:val="bottom"/>
          </w:tcPr>
          <w:p>
            <w:pPr>
              <w:spacing w:after="0"/>
              <w:rPr>
                <w:sz w:val="19"/>
                <w:szCs w:val="19"/>
                <w:color w:val="auto"/>
              </w:rPr>
            </w:pPr>
          </w:p>
        </w:tc>
        <w:tc>
          <w:tcPr>
            <w:tcW w:w="3740" w:type="dxa"/>
            <w:vAlign w:val="bottom"/>
            <w:gridSpan w:val="3"/>
          </w:tcPr>
          <w:p>
            <w:pPr>
              <w:ind w:left="140"/>
              <w:spacing w:after="0" w:line="223" w:lineRule="exact"/>
              <w:rPr>
                <w:sz w:val="20"/>
                <w:szCs w:val="20"/>
                <w:color w:val="auto"/>
              </w:rPr>
            </w:pPr>
            <w:r>
              <w:rPr>
                <w:rFonts w:ascii="Calibri" w:cs="Calibri" w:eastAsia="Calibri" w:hAnsi="Calibri"/>
                <w:sz w:val="20"/>
                <w:szCs w:val="20"/>
                <w:color w:val="auto"/>
              </w:rPr>
              <w:t>Name: David Hart</w:t>
            </w:r>
          </w:p>
        </w:tc>
      </w:tr>
      <w:tr>
        <w:trPr>
          <w:trHeight w:val="253"/>
        </w:trPr>
        <w:tc>
          <w:tcPr>
            <w:tcW w:w="5560" w:type="dxa"/>
            <w:vAlign w:val="bottom"/>
            <w:gridSpan w:val="3"/>
          </w:tcPr>
          <w:p>
            <w:pPr>
              <w:ind w:left="80"/>
              <w:spacing w:after="0"/>
              <w:rPr>
                <w:sz w:val="20"/>
                <w:szCs w:val="20"/>
                <w:color w:val="auto"/>
              </w:rPr>
            </w:pPr>
            <w:r>
              <w:rPr>
                <w:rFonts w:ascii="Calibri" w:cs="Calibri" w:eastAsia="Calibri" w:hAnsi="Calibri"/>
                <w:sz w:val="20"/>
                <w:szCs w:val="20"/>
                <w:color w:val="auto"/>
              </w:rPr>
              <w:t>Name: Bryan L. Olson</w:t>
            </w:r>
          </w:p>
        </w:tc>
        <w:tc>
          <w:tcPr>
            <w:tcW w:w="3740" w:type="dxa"/>
            <w:vAlign w:val="bottom"/>
            <w:gridSpan w:val="3"/>
          </w:tcPr>
          <w:p>
            <w:pPr>
              <w:ind w:left="140"/>
              <w:spacing w:after="0"/>
              <w:rPr>
                <w:sz w:val="20"/>
                <w:szCs w:val="20"/>
                <w:color w:val="auto"/>
              </w:rPr>
            </w:pPr>
            <w:r>
              <w:rPr>
                <w:rFonts w:ascii="Calibri" w:cs="Calibri" w:eastAsia="Calibri" w:hAnsi="Calibri"/>
                <w:sz w:val="20"/>
                <w:szCs w:val="20"/>
                <w:color w:val="auto"/>
              </w:rPr>
              <w:t>Title: Chief Executve Ofcer</w:t>
            </w:r>
          </w:p>
        </w:tc>
      </w:tr>
      <w:tr>
        <w:trPr>
          <w:trHeight w:val="234"/>
        </w:trPr>
        <w:tc>
          <w:tcPr>
            <w:tcW w:w="5560" w:type="dxa"/>
            <w:vAlign w:val="bottom"/>
            <w:gridSpan w:val="3"/>
          </w:tcPr>
          <w:p>
            <w:pPr>
              <w:ind w:left="80"/>
              <w:spacing w:after="0" w:line="234" w:lineRule="exact"/>
              <w:rPr>
                <w:sz w:val="20"/>
                <w:szCs w:val="20"/>
                <w:color w:val="auto"/>
              </w:rPr>
            </w:pPr>
            <w:r>
              <w:rPr>
                <w:rFonts w:ascii="Calibri" w:cs="Calibri" w:eastAsia="Calibri" w:hAnsi="Calibri"/>
                <w:sz w:val="20"/>
                <w:szCs w:val="20"/>
                <w:color w:val="auto"/>
              </w:rPr>
              <w:t>Title: Founder &amp; Global Managing Partner</w:t>
            </w:r>
          </w:p>
        </w:tc>
        <w:tc>
          <w:tcPr>
            <w:tcW w:w="4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1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887095</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80"/>
        <w:spacing w:after="0"/>
        <w:rPr>
          <w:sz w:val="20"/>
          <w:szCs w:val="20"/>
          <w:color w:val="auto"/>
        </w:rPr>
      </w:pPr>
      <w:r>
        <w:rPr>
          <w:rFonts w:ascii="Calibri" w:cs="Calibri" w:eastAsia="Calibri" w:hAnsi="Calibri"/>
          <w:sz w:val="20"/>
          <w:szCs w:val="20"/>
          <w:b w:val="1"/>
          <w:bCs w:val="1"/>
          <w:color w:val="auto"/>
        </w:rPr>
        <w:t xml:space="preserve">4 | </w:t>
      </w:r>
      <w:r>
        <w:rPr>
          <w:rFonts w:ascii="Calibri" w:cs="Calibri" w:eastAsia="Calibri" w:hAnsi="Calibri"/>
          <w:sz w:val="20"/>
          <w:szCs w:val="20"/>
          <w:color w:val="7F7F7F"/>
        </w:rPr>
        <w:t>Page</w:t>
      </w:r>
    </w:p>
    <w:p>
      <w:pPr>
        <w:sectPr>
          <w:pgSz w:w="11900" w:h="16838" w:orient="portrait"/>
          <w:cols w:equalWidth="0" w:num="1">
            <w:col w:w="11240"/>
          </w:cols>
          <w:pgMar w:left="320" w:top="1327" w:right="339" w:bottom="1440" w:gutter="0" w:footer="0" w:header="0"/>
        </w:sectPr>
      </w:pPr>
    </w:p>
    <w:bookmarkStart w:id="41" w:name="page42"/>
    <w:bookmarkEnd w:id="41"/>
    <w:p>
      <w:pPr>
        <w:jc w:val="center"/>
        <w:spacing w:after="0"/>
        <w:rPr>
          <w:sz w:val="20"/>
          <w:szCs w:val="20"/>
          <w:color w:val="auto"/>
        </w:rPr>
      </w:pPr>
      <w:r>
        <w:rPr>
          <w:rFonts w:ascii="Calibri" w:cs="Calibri" w:eastAsia="Calibri" w:hAnsi="Calibri"/>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539750" cy="5397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9">
                      <a:clrChange>
                        <a:clrFrom>
                          <a:srgbClr val="FFFFFF"/>
                        </a:clrFrom>
                        <a:clrTo>
                          <a:srgbClr val="FFFFFF">
                            <a:alpha val="0"/>
                          </a:srgbClr>
                        </a:clrTo>
                      </a:clrChange>
                      <a:extLst>
                        <a:ext uri="{28A0092B-C50C-407E-A947-70E740481C1C}"/>
                      </a:extLst>
                    </a:blip>
                    <a:srcRect/>
                    <a:stretch>
                      <a:fillRect/>
                    </a:stretch>
                  </pic:blipFill>
                  <pic:spPr bwMode="auto">
                    <a:xfrm>
                      <a:off x="0" y="0"/>
                      <a:ext cx="539750" cy="539750"/>
                    </a:xfrm>
                    <a:prstGeom prst="rect">
                      <a:avLst/>
                    </a:prstGeom>
                    <a:noFill/>
                  </pic:spPr>
                </pic:pic>
              </a:graphicData>
            </a:graphic>
          </wp:anchor>
        </w:drawing>
        <w:t>Fractonal CHRO Engagement Agreement</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u w:val="single" w:color="auto"/>
          <w:color w:val="auto"/>
        </w:rPr>
        <w:t>EXHIBIT A</w:t>
      </w:r>
    </w:p>
    <w:p>
      <w:pPr>
        <w:jc w:val="center"/>
        <w:spacing w:after="0" w:line="225" w:lineRule="auto"/>
        <w:rPr>
          <w:sz w:val="20"/>
          <w:szCs w:val="20"/>
          <w:color w:val="auto"/>
        </w:rPr>
      </w:pPr>
      <w:r>
        <w:rPr>
          <w:rFonts w:ascii="Calibri" w:cs="Calibri" w:eastAsia="Calibri" w:hAnsi="Calibri"/>
          <w:sz w:val="20"/>
          <w:szCs w:val="20"/>
          <w:color w:val="auto"/>
        </w:rPr>
        <w:t>Descripton of Services</w:t>
      </w:r>
    </w:p>
    <w:p>
      <w:pPr>
        <w:spacing w:after="0" w:line="242" w:lineRule="exact"/>
        <w:rPr>
          <w:sz w:val="20"/>
          <w:szCs w:val="20"/>
          <w:color w:val="auto"/>
        </w:rPr>
      </w:pPr>
    </w:p>
    <w:p>
      <w:pPr>
        <w:spacing w:after="0"/>
        <w:rPr>
          <w:sz w:val="20"/>
          <w:szCs w:val="20"/>
          <w:color w:val="auto"/>
        </w:rPr>
      </w:pPr>
      <w:r>
        <w:rPr>
          <w:rFonts w:ascii="Calibri" w:cs="Calibri" w:eastAsia="Calibri" w:hAnsi="Calibri"/>
          <w:sz w:val="20"/>
          <w:szCs w:val="20"/>
          <w:color w:val="auto"/>
        </w:rPr>
        <w:t>The Services to be provided under this Agreement are as follows:</w:t>
      </w:r>
    </w:p>
    <w:p>
      <w:pPr>
        <w:spacing w:after="0" w:line="265" w:lineRule="exact"/>
        <w:rPr>
          <w:sz w:val="20"/>
          <w:szCs w:val="20"/>
          <w:color w:val="auto"/>
        </w:rPr>
      </w:pPr>
    </w:p>
    <w:p>
      <w:pPr>
        <w:ind w:left="660" w:hanging="328"/>
        <w:spacing w:after="0" w:line="228" w:lineRule="auto"/>
        <w:tabs>
          <w:tab w:leader="none" w:pos="648" w:val="left"/>
        </w:tabs>
        <w:numPr>
          <w:ilvl w:val="0"/>
          <w:numId w:val="24"/>
        </w:numPr>
        <w:rPr>
          <w:rFonts w:ascii="Times New Roman" w:cs="Times New Roman" w:eastAsia="Times New Roman" w:hAnsi="Times New Roman"/>
          <w:sz w:val="20"/>
          <w:szCs w:val="20"/>
          <w:color w:val="auto"/>
        </w:rPr>
      </w:pPr>
      <w:r>
        <w:rPr>
          <w:rFonts w:ascii="Calibri" w:cs="Calibri" w:eastAsia="Calibri" w:hAnsi="Calibri"/>
          <w:sz w:val="20"/>
          <w:szCs w:val="20"/>
          <w:color w:val="auto"/>
        </w:rPr>
        <w:t>Bryan Olson to allocate ffy percent (50%) of his working tme to functon as the Chief HR Ofcer for Cannabist, with the following key deliverables:</w:t>
      </w:r>
    </w:p>
    <w:p>
      <w:pPr>
        <w:spacing w:after="0" w:line="252" w:lineRule="exact"/>
        <w:rPr>
          <w:sz w:val="20"/>
          <w:szCs w:val="20"/>
          <w:color w:val="auto"/>
        </w:rPr>
      </w:pPr>
    </w:p>
    <w:p>
      <w:pPr>
        <w:jc w:val="both"/>
        <w:ind w:left="1300" w:hanging="320"/>
        <w:spacing w:after="0"/>
        <w:tabs>
          <w:tab w:leader="none" w:pos="1300" w:val="left"/>
        </w:tabs>
        <w:numPr>
          <w:ilvl w:val="1"/>
          <w:numId w:val="25"/>
        </w:numPr>
        <w:rPr>
          <w:rFonts w:ascii="Courier New" w:cs="Courier New" w:eastAsia="Courier New" w:hAnsi="Courier New"/>
          <w:sz w:val="20"/>
          <w:szCs w:val="20"/>
          <w:color w:val="auto"/>
        </w:rPr>
      </w:pPr>
      <w:r>
        <w:rPr>
          <w:rFonts w:ascii="Calibri" w:cs="Calibri" w:eastAsia="Calibri" w:hAnsi="Calibri"/>
          <w:sz w:val="20"/>
          <w:szCs w:val="20"/>
          <w:color w:val="auto"/>
        </w:rPr>
        <w:t>Overseeing all aspects of the Human Resources functon, including developing and executng human resource strategy in support of the overall business plan and strategic directon of the organizaton, specifcally in the areas of labor &amp; employee relatons, recruitng, talent management, change management, organizatonal design, culture, employee engagement, performance management, training &amp; development, diversity &amp; inclusion, payroll, and compensaton &amp; benefts</w:t>
      </w:r>
    </w:p>
    <w:p>
      <w:pPr>
        <w:spacing w:after="0" w:line="200" w:lineRule="exact"/>
        <w:rPr>
          <w:rFonts w:ascii="Courier New" w:cs="Courier New" w:eastAsia="Courier New" w:hAnsi="Courier New"/>
          <w:sz w:val="20"/>
          <w:szCs w:val="20"/>
          <w:color w:val="auto"/>
        </w:rPr>
      </w:pPr>
    </w:p>
    <w:p>
      <w:pPr>
        <w:spacing w:after="0" w:line="248" w:lineRule="exact"/>
        <w:rPr>
          <w:rFonts w:ascii="Courier New" w:cs="Courier New" w:eastAsia="Courier New" w:hAnsi="Courier New"/>
          <w:sz w:val="20"/>
          <w:szCs w:val="20"/>
          <w:color w:val="auto"/>
        </w:rPr>
      </w:pPr>
    </w:p>
    <w:p>
      <w:pPr>
        <w:ind w:left="1300" w:hanging="320"/>
        <w:spacing w:after="0" w:line="225" w:lineRule="auto"/>
        <w:tabs>
          <w:tab w:leader="none" w:pos="1300" w:val="left"/>
        </w:tabs>
        <w:numPr>
          <w:ilvl w:val="1"/>
          <w:numId w:val="25"/>
        </w:numPr>
        <w:rPr>
          <w:rFonts w:ascii="Courier New" w:cs="Courier New" w:eastAsia="Courier New" w:hAnsi="Courier New"/>
          <w:sz w:val="20"/>
          <w:szCs w:val="20"/>
          <w:color w:val="auto"/>
        </w:rPr>
      </w:pPr>
      <w:r>
        <w:rPr>
          <w:rFonts w:ascii="Calibri" w:cs="Calibri" w:eastAsia="Calibri" w:hAnsi="Calibri"/>
          <w:sz w:val="20"/>
          <w:szCs w:val="20"/>
          <w:color w:val="auto"/>
        </w:rPr>
        <w:t>Manage the relatonship with the Compensaton Commitee of the Board of Directors and functon as its Secretary and, upon request, assist with transiton of those responsibilites</w:t>
      </w:r>
    </w:p>
    <w:p>
      <w:pPr>
        <w:spacing w:after="0" w:line="235" w:lineRule="exact"/>
        <w:rPr>
          <w:rFonts w:ascii="Courier New" w:cs="Courier New" w:eastAsia="Courier New" w:hAnsi="Courier New"/>
          <w:sz w:val="20"/>
          <w:szCs w:val="20"/>
          <w:color w:val="auto"/>
        </w:rPr>
      </w:pPr>
    </w:p>
    <w:p>
      <w:pPr>
        <w:ind w:left="1300" w:hanging="320"/>
        <w:spacing w:after="0"/>
        <w:tabs>
          <w:tab w:leader="none" w:pos="1300" w:val="left"/>
        </w:tabs>
        <w:numPr>
          <w:ilvl w:val="1"/>
          <w:numId w:val="25"/>
        </w:numPr>
        <w:rPr>
          <w:rFonts w:ascii="Courier New" w:cs="Courier New" w:eastAsia="Courier New" w:hAnsi="Courier New"/>
          <w:sz w:val="20"/>
          <w:szCs w:val="20"/>
          <w:color w:val="auto"/>
        </w:rPr>
      </w:pPr>
      <w:r>
        <w:rPr>
          <w:rFonts w:ascii="Calibri" w:cs="Calibri" w:eastAsia="Calibri" w:hAnsi="Calibri"/>
          <w:sz w:val="20"/>
          <w:szCs w:val="20"/>
          <w:color w:val="auto"/>
        </w:rPr>
        <w:t>Providing guidance, advice, counsel, and support to executves in the Human Resources functon</w:t>
      </w:r>
    </w:p>
    <w:p>
      <w:pPr>
        <w:spacing w:after="0" w:line="235" w:lineRule="exact"/>
        <w:rPr>
          <w:rFonts w:ascii="Courier New" w:cs="Courier New" w:eastAsia="Courier New" w:hAnsi="Courier New"/>
          <w:sz w:val="20"/>
          <w:szCs w:val="20"/>
          <w:color w:val="auto"/>
        </w:rPr>
      </w:pPr>
    </w:p>
    <w:p>
      <w:pPr>
        <w:ind w:left="1300" w:hanging="320"/>
        <w:spacing w:after="0"/>
        <w:tabs>
          <w:tab w:leader="none" w:pos="1300" w:val="left"/>
        </w:tabs>
        <w:numPr>
          <w:ilvl w:val="1"/>
          <w:numId w:val="25"/>
        </w:numPr>
        <w:rPr>
          <w:rFonts w:ascii="Courier New" w:cs="Courier New" w:eastAsia="Courier New" w:hAnsi="Courier New"/>
          <w:sz w:val="20"/>
          <w:szCs w:val="20"/>
          <w:color w:val="auto"/>
        </w:rPr>
      </w:pPr>
      <w:r>
        <w:rPr>
          <w:rFonts w:ascii="Calibri" w:cs="Calibri" w:eastAsia="Calibri" w:hAnsi="Calibri"/>
          <w:sz w:val="20"/>
          <w:szCs w:val="20"/>
          <w:color w:val="auto"/>
        </w:rPr>
        <w:t>Functoning as a member of, and strategic advisor to, the senior leadership team</w:t>
      </w:r>
    </w:p>
    <w:p>
      <w:pPr>
        <w:spacing w:after="0" w:line="222" w:lineRule="exact"/>
        <w:rPr>
          <w:rFonts w:ascii="Courier New" w:cs="Courier New" w:eastAsia="Courier New" w:hAnsi="Courier New"/>
          <w:sz w:val="20"/>
          <w:szCs w:val="20"/>
          <w:color w:val="auto"/>
        </w:rPr>
      </w:pPr>
    </w:p>
    <w:p>
      <w:pPr>
        <w:ind w:left="1300" w:hanging="320"/>
        <w:spacing w:after="0"/>
        <w:tabs>
          <w:tab w:leader="none" w:pos="1300" w:val="left"/>
        </w:tabs>
        <w:numPr>
          <w:ilvl w:val="1"/>
          <w:numId w:val="25"/>
        </w:numPr>
        <w:rPr>
          <w:rFonts w:ascii="Courier New" w:cs="Courier New" w:eastAsia="Courier New" w:hAnsi="Courier New"/>
          <w:sz w:val="20"/>
          <w:szCs w:val="20"/>
          <w:color w:val="auto"/>
        </w:rPr>
      </w:pPr>
      <w:r>
        <w:rPr>
          <w:rFonts w:ascii="Calibri" w:cs="Calibri" w:eastAsia="Calibri" w:hAnsi="Calibri"/>
          <w:sz w:val="20"/>
          <w:szCs w:val="20"/>
          <w:color w:val="auto"/>
        </w:rPr>
        <w:t>Contnuing to represent Cannabist on the A-Frame Board, and remaining listed on cannabis licenses, as needed</w:t>
      </w:r>
    </w:p>
    <w:p>
      <w:pPr>
        <w:spacing w:after="0" w:line="265" w:lineRule="exact"/>
        <w:rPr>
          <w:rFonts w:ascii="Courier New" w:cs="Courier New" w:eastAsia="Courier New" w:hAnsi="Courier New"/>
          <w:sz w:val="20"/>
          <w:szCs w:val="20"/>
          <w:color w:val="auto"/>
        </w:rPr>
      </w:pPr>
    </w:p>
    <w:p>
      <w:pPr>
        <w:jc w:val="both"/>
        <w:ind w:left="660" w:hanging="328"/>
        <w:spacing w:after="0" w:line="231" w:lineRule="auto"/>
        <w:tabs>
          <w:tab w:leader="none" w:pos="648" w:val="left"/>
        </w:tabs>
        <w:numPr>
          <w:ilvl w:val="0"/>
          <w:numId w:val="25"/>
        </w:numPr>
        <w:rPr>
          <w:rFonts w:ascii="Times New Roman" w:cs="Times New Roman" w:eastAsia="Times New Roman" w:hAnsi="Times New Roman"/>
          <w:sz w:val="20"/>
          <w:szCs w:val="20"/>
          <w:color w:val="auto"/>
        </w:rPr>
      </w:pPr>
      <w:r>
        <w:rPr>
          <w:rFonts w:ascii="Calibri" w:cs="Calibri" w:eastAsia="Calibri" w:hAnsi="Calibri"/>
          <w:sz w:val="20"/>
          <w:szCs w:val="20"/>
          <w:color w:val="auto"/>
        </w:rPr>
        <w:t>If the agreement with Sherry Gingerich (currently contracted under an agreement between Cannabist and Ask Sherry LLC) is contnued beyond March 2025, her services would be provided under this Agreement, and would reduce Olson’s tme allocated to Cannabist on an hour-for-hour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262255</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9" w:lineRule="exact"/>
        <w:rPr>
          <w:sz w:val="20"/>
          <w:szCs w:val="20"/>
          <w:color w:val="auto"/>
        </w:rPr>
      </w:pPr>
    </w:p>
    <w:p>
      <w:pPr>
        <w:ind w:left="80"/>
        <w:spacing w:after="0"/>
        <w:rPr>
          <w:sz w:val="20"/>
          <w:szCs w:val="20"/>
          <w:color w:val="auto"/>
        </w:rPr>
      </w:pPr>
      <w:r>
        <w:rPr>
          <w:rFonts w:ascii="Calibri" w:cs="Calibri" w:eastAsia="Calibri" w:hAnsi="Calibri"/>
          <w:sz w:val="20"/>
          <w:szCs w:val="20"/>
          <w:b w:val="1"/>
          <w:bCs w:val="1"/>
          <w:color w:val="auto"/>
        </w:rPr>
        <w:t xml:space="preserve">5 | </w:t>
      </w:r>
      <w:r>
        <w:rPr>
          <w:rFonts w:ascii="Calibri" w:cs="Calibri" w:eastAsia="Calibri" w:hAnsi="Calibri"/>
          <w:sz w:val="20"/>
          <w:szCs w:val="20"/>
          <w:color w:val="7F7F7F"/>
        </w:rPr>
        <w:t>Page</w:t>
      </w:r>
    </w:p>
    <w:p>
      <w:pPr>
        <w:sectPr>
          <w:pgSz w:w="11900" w:h="16838" w:orient="portrait"/>
          <w:cols w:equalWidth="0" w:num="1">
            <w:col w:w="11240"/>
          </w:cols>
          <w:pgMar w:left="320" w:top="1327" w:right="339" w:bottom="1440" w:gutter="0" w:footer="0" w:header="0"/>
        </w:sectPr>
      </w:pPr>
    </w:p>
    <w:bookmarkStart w:id="42" w:name="page43"/>
    <w:bookmarkEnd w:id="42"/>
    <w:p>
      <w:pPr>
        <w:spacing w:after="0" w:line="377" w:lineRule="exact"/>
        <w:rPr>
          <w:sz w:val="20"/>
          <w:szCs w:val="20"/>
          <w:color w:val="auto"/>
        </w:rPr>
      </w:pPr>
    </w:p>
    <w:p>
      <w:pPr>
        <w:ind w:left="5340"/>
        <w:spacing w:after="0"/>
        <w:rPr>
          <w:sz w:val="20"/>
          <w:szCs w:val="20"/>
          <w:color w:val="auto"/>
        </w:rPr>
      </w:pPr>
      <w:r>
        <w:rPr>
          <w:rFonts w:ascii="Arial" w:cs="Arial" w:eastAsia="Arial" w:hAnsi="Arial"/>
          <w:sz w:val="20"/>
          <w:szCs w:val="20"/>
          <w:b w:val="1"/>
          <w:bCs w:val="1"/>
          <w:color w:val="auto"/>
        </w:rPr>
        <w:t>Exhibit 10.10</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SECOND AMENDMENT TO EXCHANGE AGREEMENT</w:t>
      </w:r>
    </w:p>
    <w:p>
      <w:pPr>
        <w:spacing w:after="0" w:line="160"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9"/>
          <w:szCs w:val="19"/>
          <w:b w:val="1"/>
          <w:bCs w:val="1"/>
          <w:color w:val="auto"/>
        </w:rPr>
        <w:t xml:space="preserve">SECOND AMENDMENT dated September 30, 2024 </w:t>
      </w:r>
      <w:r>
        <w:rPr>
          <w:rFonts w:ascii="Arial" w:cs="Arial" w:eastAsia="Arial" w:hAnsi="Arial"/>
          <w:sz w:val="19"/>
          <w:szCs w:val="19"/>
          <w:color w:val="auto"/>
        </w:rPr>
        <w:t>(the “</w:t>
      </w:r>
      <w:r>
        <w:rPr>
          <w:rFonts w:ascii="Arial" w:cs="Arial" w:eastAsia="Arial" w:hAnsi="Arial"/>
          <w:sz w:val="19"/>
          <w:szCs w:val="19"/>
          <w:b w:val="1"/>
          <w:bCs w:val="1"/>
          <w:color w:val="auto"/>
        </w:rPr>
        <w:t>Second Amendment</w:t>
      </w:r>
      <w:r>
        <w:rPr>
          <w:rFonts w:ascii="Arial" w:cs="Arial" w:eastAsia="Arial" w:hAnsi="Arial"/>
          <w:sz w:val="19"/>
          <w:szCs w:val="19"/>
          <w:color w:val="auto"/>
        </w:rPr>
        <w:t>”) to the Exchange Agreement (the “</w:t>
      </w:r>
      <w:r>
        <w:rPr>
          <w:rFonts w:ascii="Arial" w:cs="Arial" w:eastAsia="Arial" w:hAnsi="Arial"/>
          <w:sz w:val="19"/>
          <w:szCs w:val="19"/>
          <w:b w:val="1"/>
          <w:bCs w:val="1"/>
          <w:color w:val="auto"/>
        </w:rPr>
        <w:t>Exchange Agreement</w:t>
      </w:r>
      <w:r>
        <w:rPr>
          <w:rFonts w:ascii="Arial" w:cs="Arial" w:eastAsia="Arial" w:hAnsi="Arial"/>
          <w:sz w:val="19"/>
          <w:szCs w:val="19"/>
          <w:color w:val="auto"/>
        </w:rPr>
        <w:t>”) dated January 22, 2024 and amended June 30, 2024, between The Cannabist Company Holdings Inc., a British</w:t>
      </w:r>
      <w:r>
        <w:rPr>
          <w:rFonts w:ascii="Arial" w:cs="Arial" w:eastAsia="Arial" w:hAnsi="Arial"/>
          <w:sz w:val="19"/>
          <w:szCs w:val="19"/>
          <w:b w:val="1"/>
          <w:bCs w:val="1"/>
          <w:color w:val="auto"/>
        </w:rPr>
        <w:t xml:space="preserve"> </w:t>
      </w:r>
      <w:r>
        <w:rPr>
          <w:rFonts w:ascii="Arial" w:cs="Arial" w:eastAsia="Arial" w:hAnsi="Arial"/>
          <w:sz w:val="19"/>
          <w:szCs w:val="19"/>
          <w:color w:val="auto"/>
        </w:rPr>
        <w:t>Columbia company (the “</w:t>
      </w:r>
      <w:r>
        <w:rPr>
          <w:rFonts w:ascii="Arial" w:cs="Arial" w:eastAsia="Arial" w:hAnsi="Arial"/>
          <w:sz w:val="19"/>
          <w:szCs w:val="19"/>
          <w:b w:val="1"/>
          <w:bCs w:val="1"/>
          <w:color w:val="auto"/>
        </w:rPr>
        <w:t>Company</w:t>
      </w:r>
      <w:r>
        <w:rPr>
          <w:rFonts w:ascii="Arial" w:cs="Arial" w:eastAsia="Arial" w:hAnsi="Arial"/>
          <w:sz w:val="19"/>
          <w:szCs w:val="19"/>
          <w:color w:val="auto"/>
        </w:rPr>
        <w:t>”), Nomis Bay Ltd. and BPY Limited (collectively, the “</w:t>
      </w:r>
      <w:r>
        <w:rPr>
          <w:rFonts w:ascii="Arial" w:cs="Arial" w:eastAsia="Arial" w:hAnsi="Arial"/>
          <w:sz w:val="19"/>
          <w:szCs w:val="19"/>
          <w:b w:val="1"/>
          <w:bCs w:val="1"/>
          <w:color w:val="auto"/>
        </w:rPr>
        <w:t>Holders</w:t>
      </w:r>
      <w:r>
        <w:rPr>
          <w:rFonts w:ascii="Arial" w:cs="Arial" w:eastAsia="Arial" w:hAnsi="Arial"/>
          <w:sz w:val="19"/>
          <w:szCs w:val="19"/>
          <w:color w:val="auto"/>
        </w:rPr>
        <w:t>” and together with the Company, the “</w:t>
      </w:r>
      <w:r>
        <w:rPr>
          <w:rFonts w:ascii="Arial" w:cs="Arial" w:eastAsia="Arial" w:hAnsi="Arial"/>
          <w:sz w:val="19"/>
          <w:szCs w:val="19"/>
          <w:b w:val="1"/>
          <w:bCs w:val="1"/>
          <w:color w:val="auto"/>
        </w:rPr>
        <w:t>Parties</w:t>
      </w:r>
      <w:r>
        <w:rPr>
          <w:rFonts w:ascii="Arial" w:cs="Arial" w:eastAsia="Arial" w:hAnsi="Arial"/>
          <w:sz w:val="19"/>
          <w:szCs w:val="19"/>
          <w:color w:val="auto"/>
        </w:rPr>
        <w:t>”).</w:t>
      </w:r>
    </w:p>
    <w:p>
      <w:pPr>
        <w:spacing w:after="0" w:line="88" w:lineRule="exact"/>
        <w:rPr>
          <w:sz w:val="20"/>
          <w:szCs w:val="20"/>
          <w:color w:val="auto"/>
        </w:rPr>
      </w:pPr>
    </w:p>
    <w:p>
      <w:pPr>
        <w:ind w:left="340"/>
        <w:spacing w:after="0"/>
        <w:rPr>
          <w:sz w:val="20"/>
          <w:szCs w:val="20"/>
          <w:color w:val="auto"/>
        </w:rPr>
      </w:pPr>
      <w:r>
        <w:rPr>
          <w:rFonts w:ascii="Arial" w:cs="Arial" w:eastAsia="Arial" w:hAnsi="Arial"/>
          <w:sz w:val="19"/>
          <w:szCs w:val="19"/>
          <w:b w:val="1"/>
          <w:bCs w:val="1"/>
          <w:color w:val="auto"/>
        </w:rPr>
        <w:t xml:space="preserve">WHEREAS </w:t>
      </w:r>
      <w:r>
        <w:rPr>
          <w:rFonts w:ascii="Arial" w:cs="Arial" w:eastAsia="Arial" w:hAnsi="Arial"/>
          <w:sz w:val="19"/>
          <w:szCs w:val="19"/>
          <w:color w:val="auto"/>
        </w:rPr>
        <w:t>the Parties wish to amend the Exchange Agreement as contemplated in this Second Amendment,</w:t>
      </w:r>
    </w:p>
    <w:p>
      <w:pPr>
        <w:spacing w:after="0" w:line="227"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9"/>
          <w:szCs w:val="19"/>
          <w:b w:val="1"/>
          <w:bCs w:val="1"/>
          <w:color w:val="auto"/>
        </w:rPr>
        <w:t xml:space="preserve">NOW THEREFORE, </w:t>
      </w:r>
      <w:r>
        <w:rPr>
          <w:rFonts w:ascii="Arial" w:cs="Arial" w:eastAsia="Arial" w:hAnsi="Arial"/>
          <w:sz w:val="19"/>
          <w:szCs w:val="19"/>
          <w:color w:val="auto"/>
        </w:rPr>
        <w:t>in consideration of the foregoing and the mutual agreements contained in this Amendment (the receipt and</w:t>
      </w:r>
      <w:r>
        <w:rPr>
          <w:rFonts w:ascii="Arial" w:cs="Arial" w:eastAsia="Arial" w:hAnsi="Arial"/>
          <w:sz w:val="19"/>
          <w:szCs w:val="19"/>
          <w:b w:val="1"/>
          <w:bCs w:val="1"/>
          <w:color w:val="auto"/>
        </w:rPr>
        <w:t xml:space="preserve"> </w:t>
      </w:r>
      <w:r>
        <w:rPr>
          <w:rFonts w:ascii="Arial" w:cs="Arial" w:eastAsia="Arial" w:hAnsi="Arial"/>
          <w:sz w:val="19"/>
          <w:szCs w:val="19"/>
          <w:color w:val="auto"/>
        </w:rPr>
        <w:t>adequacy of which are acknowledged), the parties agree as follows.</w:t>
      </w:r>
    </w:p>
    <w:p>
      <w:pPr>
        <w:spacing w:after="0" w:line="156"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9"/>
          <w:szCs w:val="19"/>
          <w:color w:val="auto"/>
        </w:rPr>
      </w:pPr>
      <w:r>
        <w:rPr>
          <w:rFonts w:ascii="Arial" w:cs="Arial" w:eastAsia="Arial" w:hAnsi="Arial"/>
          <w:sz w:val="19"/>
          <w:szCs w:val="19"/>
          <w:b w:val="1"/>
          <w:bCs w:val="1"/>
          <w:u w:val="single" w:color="auto"/>
          <w:color w:val="auto"/>
        </w:rPr>
        <w:t>Defined Terms.</w:t>
      </w:r>
    </w:p>
    <w:p>
      <w:pPr>
        <w:spacing w:after="0" w:line="213"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19"/>
          <w:szCs w:val="19"/>
          <w:color w:val="auto"/>
        </w:rPr>
        <w:t>Capitalized terms used but not otherwise defined have the meanings specified in the Exchange Agreement.</w:t>
      </w:r>
    </w:p>
    <w:p>
      <w:pPr>
        <w:spacing w:after="0" w:line="227" w:lineRule="exact"/>
        <w:rPr>
          <w:rFonts w:ascii="Arial" w:cs="Arial" w:eastAsia="Arial" w:hAnsi="Arial"/>
          <w:sz w:val="19"/>
          <w:szCs w:val="19"/>
          <w:color w:val="auto"/>
        </w:rPr>
      </w:pPr>
    </w:p>
    <w:p>
      <w:pPr>
        <w:ind w:left="660" w:hanging="328"/>
        <w:spacing w:after="0"/>
        <w:tabs>
          <w:tab w:leader="none" w:pos="660" w:val="left"/>
        </w:tabs>
        <w:numPr>
          <w:ilvl w:val="0"/>
          <w:numId w:val="26"/>
        </w:numPr>
        <w:rPr>
          <w:rFonts w:ascii="Arial" w:cs="Arial" w:eastAsia="Arial" w:hAnsi="Arial"/>
          <w:sz w:val="19"/>
          <w:szCs w:val="19"/>
          <w:color w:val="auto"/>
        </w:rPr>
      </w:pPr>
      <w:r>
        <w:rPr>
          <w:rFonts w:ascii="Arial" w:cs="Arial" w:eastAsia="Arial" w:hAnsi="Arial"/>
          <w:sz w:val="19"/>
          <w:szCs w:val="19"/>
          <w:b w:val="1"/>
          <w:bCs w:val="1"/>
          <w:u w:val="single" w:color="auto"/>
          <w:color w:val="auto"/>
        </w:rPr>
        <w:t>Outside Date.</w:t>
      </w:r>
    </w:p>
    <w:p>
      <w:pPr>
        <w:spacing w:after="0" w:line="227"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19"/>
          <w:szCs w:val="19"/>
          <w:color w:val="auto"/>
        </w:rPr>
        <w:t>The definition of “Outside Date” in Section 1(28) is hereby deleted in its entirety and replaced with the following:</w:t>
      </w:r>
    </w:p>
    <w:p>
      <w:pPr>
        <w:spacing w:after="0" w:line="227" w:lineRule="exact"/>
        <w:rPr>
          <w:rFonts w:ascii="Arial" w:cs="Arial" w:eastAsia="Arial" w:hAnsi="Arial"/>
          <w:sz w:val="19"/>
          <w:szCs w:val="19"/>
          <w:color w:val="auto"/>
        </w:rPr>
      </w:pPr>
    </w:p>
    <w:p>
      <w:pPr>
        <w:jc w:val="both"/>
        <w:ind w:left="660"/>
        <w:spacing w:after="0" w:line="261" w:lineRule="auto"/>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Outside Date</w:t>
      </w:r>
      <w:r>
        <w:rPr>
          <w:rFonts w:ascii="Arial" w:cs="Arial" w:eastAsia="Arial" w:hAnsi="Arial"/>
          <w:sz w:val="19"/>
          <w:szCs w:val="19"/>
          <w:color w:val="auto"/>
        </w:rPr>
        <w:t>” means (i) the Transfer Deadline, or (ii) in the event the Tertiary 2024 Exchange Condition is satisfied and neither the Tertiary 2024 Exchange or the 2024 Alternate Exchange have been completed at or prior to the Transfer Deadline, January 31, 2025.</w:t>
      </w:r>
    </w:p>
    <w:p>
      <w:pPr>
        <w:spacing w:after="0" w:line="178" w:lineRule="exact"/>
        <w:rPr>
          <w:rFonts w:ascii="Arial" w:cs="Arial" w:eastAsia="Arial" w:hAnsi="Arial"/>
          <w:sz w:val="19"/>
          <w:szCs w:val="19"/>
          <w:color w:val="auto"/>
        </w:rPr>
      </w:pPr>
    </w:p>
    <w:p>
      <w:pPr>
        <w:ind w:left="660" w:hanging="328"/>
        <w:spacing w:after="0"/>
        <w:tabs>
          <w:tab w:leader="none" w:pos="660" w:val="left"/>
        </w:tabs>
        <w:numPr>
          <w:ilvl w:val="0"/>
          <w:numId w:val="26"/>
        </w:numPr>
        <w:rPr>
          <w:rFonts w:ascii="Arial" w:cs="Arial" w:eastAsia="Arial" w:hAnsi="Arial"/>
          <w:sz w:val="19"/>
          <w:szCs w:val="19"/>
          <w:color w:val="auto"/>
        </w:rPr>
      </w:pPr>
      <w:r>
        <w:rPr>
          <w:rFonts w:ascii="Arial" w:cs="Arial" w:eastAsia="Arial" w:hAnsi="Arial"/>
          <w:sz w:val="19"/>
          <w:szCs w:val="19"/>
          <w:b w:val="1"/>
          <w:bCs w:val="1"/>
          <w:u w:val="single" w:color="auto"/>
          <w:color w:val="auto"/>
        </w:rPr>
        <w:t>Transfer Deadline.</w:t>
      </w:r>
    </w:p>
    <w:p>
      <w:pPr>
        <w:spacing w:after="0" w:line="227" w:lineRule="exact"/>
        <w:rPr>
          <w:rFonts w:ascii="Arial" w:cs="Arial" w:eastAsia="Arial" w:hAnsi="Arial"/>
          <w:sz w:val="19"/>
          <w:szCs w:val="19"/>
          <w:color w:val="auto"/>
        </w:rPr>
      </w:pPr>
    </w:p>
    <w:p>
      <w:pPr>
        <w:ind w:left="660" w:right="900"/>
        <w:spacing w:after="0" w:line="481" w:lineRule="auto"/>
        <w:rPr>
          <w:rFonts w:ascii="Arial" w:cs="Arial" w:eastAsia="Arial" w:hAnsi="Arial"/>
          <w:sz w:val="19"/>
          <w:szCs w:val="19"/>
          <w:color w:val="auto"/>
        </w:rPr>
      </w:pPr>
      <w:r>
        <w:rPr>
          <w:rFonts w:ascii="Arial" w:cs="Arial" w:eastAsia="Arial" w:hAnsi="Arial"/>
          <w:sz w:val="19"/>
          <w:szCs w:val="19"/>
          <w:color w:val="auto"/>
        </w:rPr>
        <w:t>The definition of “Transfer Deadline” in Section 1(41) is hereby deleted in its entirety and replaced with the following: “</w:t>
      </w:r>
      <w:r>
        <w:rPr>
          <w:rFonts w:ascii="Arial" w:cs="Arial" w:eastAsia="Arial" w:hAnsi="Arial"/>
          <w:sz w:val="19"/>
          <w:szCs w:val="19"/>
          <w:b w:val="1"/>
          <w:bCs w:val="1"/>
          <w:color w:val="auto"/>
        </w:rPr>
        <w:t>Transfer Deadline</w:t>
      </w:r>
      <w:r>
        <w:rPr>
          <w:rFonts w:ascii="Arial" w:cs="Arial" w:eastAsia="Arial" w:hAnsi="Arial"/>
          <w:sz w:val="19"/>
          <w:szCs w:val="19"/>
          <w:color w:val="auto"/>
        </w:rPr>
        <w:t>” means 5:00 p.m. (Toronto time) on December 31, 2024.</w:t>
      </w:r>
    </w:p>
    <w:p>
      <w:pPr>
        <w:spacing w:after="0" w:line="1" w:lineRule="exact"/>
        <w:rPr>
          <w:rFonts w:ascii="Arial" w:cs="Arial" w:eastAsia="Arial" w:hAnsi="Arial"/>
          <w:sz w:val="19"/>
          <w:szCs w:val="19"/>
          <w:color w:val="auto"/>
        </w:rPr>
      </w:pPr>
    </w:p>
    <w:p>
      <w:pPr>
        <w:ind w:left="660" w:hanging="328"/>
        <w:spacing w:after="0"/>
        <w:tabs>
          <w:tab w:leader="none" w:pos="660" w:val="left"/>
        </w:tabs>
        <w:numPr>
          <w:ilvl w:val="0"/>
          <w:numId w:val="26"/>
        </w:numPr>
        <w:rPr>
          <w:rFonts w:ascii="Arial" w:cs="Arial" w:eastAsia="Arial" w:hAnsi="Arial"/>
          <w:sz w:val="19"/>
          <w:szCs w:val="19"/>
          <w:color w:val="auto"/>
        </w:rPr>
      </w:pPr>
      <w:r>
        <w:rPr>
          <w:rFonts w:ascii="Arial" w:cs="Arial" w:eastAsia="Arial" w:hAnsi="Arial"/>
          <w:sz w:val="19"/>
          <w:szCs w:val="19"/>
          <w:b w:val="1"/>
          <w:bCs w:val="1"/>
          <w:u w:val="single" w:color="auto"/>
          <w:color w:val="auto"/>
        </w:rPr>
        <w:t>Reference to and Effect on Agreements.</w:t>
      </w:r>
    </w:p>
    <w:p>
      <w:pPr>
        <w:spacing w:after="0" w:line="22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On and after the date of this Second Amendment, any reference to "this Agreement" in the Exchange Agreement and any reference to the Exchange Agreement in any other agreements will mean the original Exchange Agreement as amended by the First Amendment and this Second Amendment. Except as specifically amended by this Second Amendment, the provisions of the Exchange Agreement shall remain in full force and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1"/>
          <w:szCs w:val="11"/>
          <w:color w:val="auto"/>
        </w:rPr>
        <w:t>119554138 v1</w:t>
      </w:r>
    </w:p>
    <w:p>
      <w:pPr>
        <w:sectPr>
          <w:pgSz w:w="11900" w:h="16838" w:orient="portrait"/>
          <w:cols w:equalWidth="0" w:num="1">
            <w:col w:w="11240"/>
          </w:cols>
          <w:pgMar w:left="320" w:top="1440" w:right="339" w:bottom="1440" w:gutter="0" w:footer="0" w:header="0"/>
        </w:sectPr>
      </w:pPr>
    </w:p>
    <w:bookmarkStart w:id="43" w:name="page44"/>
    <w:bookmarkEnd w:id="43"/>
    <w:p>
      <w:pPr>
        <w:ind w:left="660" w:hanging="328"/>
        <w:spacing w:after="0"/>
        <w:tabs>
          <w:tab w:leader="none" w:pos="660" w:val="left"/>
        </w:tabs>
        <w:numPr>
          <w:ilvl w:val="0"/>
          <w:numId w:val="27"/>
        </w:numPr>
        <w:rPr>
          <w:rFonts w:ascii="Arial" w:cs="Arial" w:eastAsia="Arial" w:hAnsi="Arial"/>
          <w:sz w:val="19"/>
          <w:szCs w:val="19"/>
          <w:color w:val="auto"/>
        </w:rPr>
      </w:pPr>
      <w:r>
        <w:rPr>
          <w:rFonts w:ascii="Arial" w:cs="Arial" w:eastAsia="Arial" w:hAnsi="Arial"/>
          <w:sz w:val="19"/>
          <w:szCs w:val="19"/>
          <w:b w:val="1"/>
          <w:bCs w:val="1"/>
          <w:u w:val="single" w:color="auto"/>
          <w:color w:val="auto"/>
        </w:rPr>
        <w:t>Successors and Assigns.</w:t>
      </w:r>
    </w:p>
    <w:p>
      <w:pPr>
        <w:spacing w:after="0" w:line="227" w:lineRule="exact"/>
        <w:rPr>
          <w:sz w:val="20"/>
          <w:szCs w:val="20"/>
          <w:color w:val="auto"/>
        </w:rPr>
      </w:pPr>
    </w:p>
    <w:p>
      <w:pPr>
        <w:ind w:firstLine="648"/>
        <w:spacing w:after="0" w:line="285" w:lineRule="auto"/>
        <w:rPr>
          <w:sz w:val="20"/>
          <w:szCs w:val="20"/>
          <w:color w:val="auto"/>
        </w:rPr>
      </w:pPr>
      <w:r>
        <w:rPr>
          <w:rFonts w:ascii="Arial" w:cs="Arial" w:eastAsia="Arial" w:hAnsi="Arial"/>
          <w:sz w:val="19"/>
          <w:szCs w:val="19"/>
          <w:color w:val="auto"/>
        </w:rPr>
        <w:t>This Second Amendment becomes effective when executed by the Parties. After that time, it will be binding upon and (subject to the terms of the Exchange Agreement) enure to the benefit of the Parties and their respective successors and permitted assigns.</w:t>
      </w:r>
    </w:p>
    <w:p>
      <w:pPr>
        <w:spacing w:after="0" w:line="89"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9"/>
          <w:szCs w:val="19"/>
          <w:color w:val="auto"/>
        </w:rPr>
      </w:pPr>
      <w:r>
        <w:rPr>
          <w:rFonts w:ascii="Arial" w:cs="Arial" w:eastAsia="Arial" w:hAnsi="Arial"/>
          <w:sz w:val="19"/>
          <w:szCs w:val="19"/>
          <w:b w:val="1"/>
          <w:bCs w:val="1"/>
          <w:u w:val="single" w:color="auto"/>
          <w:color w:val="auto"/>
        </w:rPr>
        <w:t>Governing Law.</w:t>
      </w:r>
    </w:p>
    <w:p>
      <w:pPr>
        <w:spacing w:after="0" w:line="227" w:lineRule="exact"/>
        <w:rPr>
          <w:sz w:val="20"/>
          <w:szCs w:val="20"/>
          <w:color w:val="auto"/>
        </w:rPr>
      </w:pPr>
    </w:p>
    <w:p>
      <w:pPr>
        <w:ind w:firstLine="648"/>
        <w:spacing w:after="0" w:line="285" w:lineRule="auto"/>
        <w:rPr>
          <w:sz w:val="20"/>
          <w:szCs w:val="20"/>
          <w:color w:val="auto"/>
        </w:rPr>
      </w:pPr>
      <w:r>
        <w:rPr>
          <w:rFonts w:ascii="Arial" w:cs="Arial" w:eastAsia="Arial" w:hAnsi="Arial"/>
          <w:sz w:val="19"/>
          <w:szCs w:val="19"/>
          <w:color w:val="auto"/>
        </w:rPr>
        <w:t>This Second Amendment shall be governed by and interpreted and enforced in accordance with the laws of the Province of British Columbia and the federal laws of Canada applicable therein.</w:t>
      </w:r>
    </w:p>
    <w:p>
      <w:pPr>
        <w:spacing w:after="0" w:line="183"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9"/>
          <w:szCs w:val="19"/>
          <w:color w:val="auto"/>
        </w:rPr>
      </w:pPr>
      <w:r>
        <w:rPr>
          <w:rFonts w:ascii="Arial" w:cs="Arial" w:eastAsia="Arial" w:hAnsi="Arial"/>
          <w:sz w:val="19"/>
          <w:szCs w:val="19"/>
          <w:b w:val="1"/>
          <w:bCs w:val="1"/>
          <w:u w:val="single" w:color="auto"/>
          <w:color w:val="auto"/>
        </w:rPr>
        <w:t>Counterparts.</w:t>
      </w:r>
    </w:p>
    <w:p>
      <w:pPr>
        <w:spacing w:after="0" w:line="227"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color w:val="auto"/>
        </w:rPr>
        <w:t>This Second Amendment may be executed in two (2) or more counterparts, and by the different parties to this Second Amendment in separate counterparts, each of which when executed shall be deemed to be an original but all of which taken together shall constitute one and the same agreement. Delivery of an executed counterpart of a signature page to this Second Amendment by facsimile or electronic mail shall be as effective as delivery of a manually executed counterpart of this Second Amendment.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9"/>
          <w:szCs w:val="19"/>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1"/>
          <w:szCs w:val="11"/>
          <w:color w:val="auto"/>
        </w:rPr>
        <w:t>119554138 v1</w:t>
      </w:r>
    </w:p>
    <w:p>
      <w:pPr>
        <w:sectPr>
          <w:pgSz w:w="11900" w:h="16838" w:orient="portrait"/>
          <w:cols w:equalWidth="0" w:num="1">
            <w:col w:w="11240"/>
          </w:cols>
          <w:pgMar w:left="320" w:top="1422" w:right="339" w:bottom="1440" w:gutter="0" w:footer="0" w:header="0"/>
        </w:sectPr>
      </w:pPr>
    </w:p>
    <w:bookmarkStart w:id="44" w:name="page45"/>
    <w:bookmarkEnd w:id="44"/>
    <w:p>
      <w:pPr>
        <w:spacing w:after="0" w:line="37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IN WITNESS WHEREOF </w:t>
      </w:r>
      <w:r>
        <w:rPr>
          <w:rFonts w:ascii="Arial" w:cs="Arial" w:eastAsia="Arial" w:hAnsi="Arial"/>
          <w:sz w:val="19"/>
          <w:szCs w:val="19"/>
          <w:color w:val="auto"/>
        </w:rPr>
        <w:t>the parties have executed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280"/>
        <w:spacing w:after="0"/>
        <w:rPr>
          <w:sz w:val="20"/>
          <w:szCs w:val="20"/>
          <w:color w:val="auto"/>
        </w:rPr>
      </w:pPr>
      <w:r>
        <w:rPr>
          <w:rFonts w:ascii="Arial" w:cs="Arial" w:eastAsia="Arial" w:hAnsi="Arial"/>
          <w:sz w:val="19"/>
          <w:szCs w:val="19"/>
          <w:b w:val="1"/>
          <w:bCs w:val="1"/>
          <w:color w:val="auto"/>
        </w:rPr>
        <w:t>THE CANNABIST COMPANY</w:t>
      </w:r>
    </w:p>
    <w:p>
      <w:pPr>
        <w:spacing w:after="0" w:line="41" w:lineRule="exact"/>
        <w:rPr>
          <w:sz w:val="20"/>
          <w:szCs w:val="20"/>
          <w:color w:val="auto"/>
        </w:rPr>
      </w:pPr>
    </w:p>
    <w:p>
      <w:pPr>
        <w:ind w:left="4280"/>
        <w:spacing w:after="0"/>
        <w:rPr>
          <w:sz w:val="20"/>
          <w:szCs w:val="20"/>
          <w:color w:val="auto"/>
        </w:rPr>
      </w:pPr>
      <w:r>
        <w:rPr>
          <w:rFonts w:ascii="Arial" w:cs="Arial" w:eastAsia="Arial" w:hAnsi="Arial"/>
          <w:sz w:val="19"/>
          <w:szCs w:val="19"/>
          <w:b w:val="1"/>
          <w:bCs w:val="1"/>
          <w:color w:val="auto"/>
        </w:rPr>
        <w:t>HOLDINGS INC.</w:t>
      </w:r>
    </w:p>
    <w:p>
      <w:pPr>
        <w:spacing w:after="0" w:line="89" w:lineRule="exact"/>
        <w:rPr>
          <w:sz w:val="20"/>
          <w:szCs w:val="20"/>
          <w:color w:val="auto"/>
        </w:rPr>
      </w:pPr>
    </w:p>
    <w:p>
      <w:pPr>
        <w:ind w:left="4280"/>
        <w:spacing w:after="0"/>
        <w:rPr>
          <w:sz w:val="20"/>
          <w:szCs w:val="20"/>
          <w:color w:val="auto"/>
        </w:rPr>
      </w:pPr>
      <w:r>
        <w:rPr>
          <w:rFonts w:ascii="Arial" w:cs="Arial" w:eastAsia="Arial" w:hAnsi="Arial"/>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3150870</wp:posOffset>
            </wp:positionH>
            <wp:positionV relativeFrom="paragraph">
              <wp:posOffset>58420</wp:posOffset>
            </wp:positionV>
            <wp:extent cx="176593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1">
                      <a:extLst>
                        <a:ext uri="{28A0092B-C50C-407E-A947-70E740481C1C}"/>
                      </a:extLst>
                    </a:blip>
                    <a:srcRect/>
                    <a:stretch>
                      <a:fillRect/>
                    </a:stretch>
                  </pic:blipFill>
                  <pic:spPr bwMode="auto">
                    <a:xfrm>
                      <a:off x="0" y="0"/>
                      <a:ext cx="1765935" cy="8255"/>
                    </a:xfrm>
                    <a:prstGeom prst="rect">
                      <a:avLst/>
                    </a:prstGeom>
                    <a:noFill/>
                  </pic:spPr>
                </pic:pic>
              </a:graphicData>
            </a:graphic>
          </wp:anchor>
        </w:drawing>
      </w:r>
    </w:p>
    <w:p>
      <w:pPr>
        <w:spacing w:after="0" w:line="126" w:lineRule="exact"/>
        <w:rPr>
          <w:sz w:val="20"/>
          <w:szCs w:val="20"/>
          <w:color w:val="auto"/>
        </w:rPr>
      </w:pPr>
    </w:p>
    <w:p>
      <w:pPr>
        <w:ind w:left="4280"/>
        <w:spacing w:after="0"/>
        <w:tabs>
          <w:tab w:leader="none" w:pos="5120" w:val="left"/>
        </w:tabs>
        <w:rPr>
          <w:sz w:val="20"/>
          <w:szCs w:val="20"/>
          <w:color w:val="auto"/>
        </w:rPr>
      </w:pPr>
      <w:r>
        <w:rPr>
          <w:rFonts w:ascii="Arial" w:cs="Arial" w:eastAsia="Arial" w:hAnsi="Arial"/>
          <w:sz w:val="19"/>
          <w:szCs w:val="19"/>
          <w:color w:val="auto"/>
        </w:rPr>
        <w:t>Name:</w:t>
      </w:r>
      <w:r>
        <w:rPr>
          <w:sz w:val="20"/>
          <w:szCs w:val="20"/>
          <w:color w:val="auto"/>
        </w:rPr>
        <w:tab/>
      </w:r>
      <w:r>
        <w:rPr>
          <w:rFonts w:ascii="Arial" w:cs="Arial" w:eastAsia="Arial" w:hAnsi="Arial"/>
          <w:sz w:val="19"/>
          <w:szCs w:val="19"/>
          <w:color w:val="auto"/>
        </w:rPr>
        <w:t>David Hart</w:t>
      </w:r>
    </w:p>
    <w:p>
      <w:pPr>
        <w:spacing w:after="0" w:line="160" w:lineRule="exact"/>
        <w:rPr>
          <w:sz w:val="20"/>
          <w:szCs w:val="20"/>
          <w:color w:val="auto"/>
        </w:rPr>
      </w:pPr>
    </w:p>
    <w:p>
      <w:pPr>
        <w:jc w:val="both"/>
        <w:ind w:left="4280"/>
        <w:spacing w:after="0"/>
        <w:tabs>
          <w:tab w:leader="none" w:pos="5120" w:val="left"/>
        </w:tabs>
        <w:rPr>
          <w:sz w:val="20"/>
          <w:szCs w:val="20"/>
          <w:color w:val="auto"/>
        </w:rPr>
      </w:pPr>
      <w:r>
        <w:rPr>
          <w:rFonts w:ascii="Arial" w:cs="Arial" w:eastAsia="Arial" w:hAnsi="Arial"/>
          <w:sz w:val="19"/>
          <w:szCs w:val="19"/>
          <w:color w:val="auto"/>
        </w:rPr>
        <w:t>Title:</w:t>
      </w:r>
      <w:r>
        <w:rPr>
          <w:sz w:val="20"/>
          <w:szCs w:val="20"/>
          <w:color w:val="auto"/>
        </w:rPr>
        <w:tab/>
      </w:r>
      <w:r>
        <w:rPr>
          <w:rFonts w:ascii="Arial" w:cs="Arial" w:eastAsia="Arial" w:hAnsi="Arial"/>
          <w:sz w:val="19"/>
          <w:szCs w:val="19"/>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280"/>
        <w:spacing w:after="0"/>
        <w:rPr>
          <w:sz w:val="20"/>
          <w:szCs w:val="20"/>
          <w:color w:val="auto"/>
        </w:rPr>
      </w:pPr>
      <w:r>
        <w:rPr>
          <w:rFonts w:ascii="Arial" w:cs="Arial" w:eastAsia="Arial" w:hAnsi="Arial"/>
          <w:sz w:val="19"/>
          <w:szCs w:val="19"/>
          <w:b w:val="1"/>
          <w:bCs w:val="1"/>
          <w:color w:val="auto"/>
        </w:rPr>
        <w:t>BPY LIMITED</w:t>
      </w:r>
    </w:p>
    <w:p>
      <w:pPr>
        <w:spacing w:after="0" w:line="119" w:lineRule="exact"/>
        <w:rPr>
          <w:sz w:val="20"/>
          <w:szCs w:val="20"/>
          <w:color w:val="auto"/>
        </w:rPr>
      </w:pPr>
    </w:p>
    <w:p>
      <w:pPr>
        <w:ind w:left="4280"/>
        <w:spacing w:after="0"/>
        <w:rPr>
          <w:sz w:val="20"/>
          <w:szCs w:val="20"/>
          <w:color w:val="auto"/>
        </w:rPr>
      </w:pPr>
      <w:r>
        <w:rPr>
          <w:rFonts w:ascii="Arial" w:cs="Arial" w:eastAsia="Arial" w:hAnsi="Arial"/>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3150870</wp:posOffset>
            </wp:positionH>
            <wp:positionV relativeFrom="paragraph">
              <wp:posOffset>58420</wp:posOffset>
            </wp:positionV>
            <wp:extent cx="176593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2">
                      <a:extLst>
                        <a:ext uri="{28A0092B-C50C-407E-A947-70E740481C1C}"/>
                      </a:extLst>
                    </a:blip>
                    <a:srcRect/>
                    <a:stretch>
                      <a:fillRect/>
                    </a:stretch>
                  </pic:blipFill>
                  <pic:spPr bwMode="auto">
                    <a:xfrm>
                      <a:off x="0" y="0"/>
                      <a:ext cx="1765935" cy="8255"/>
                    </a:xfrm>
                    <a:prstGeom prst="rect">
                      <a:avLst/>
                    </a:prstGeom>
                    <a:noFill/>
                  </pic:spPr>
                </pic:pic>
              </a:graphicData>
            </a:graphic>
          </wp:anchor>
        </w:drawing>
      </w:r>
    </w:p>
    <w:p>
      <w:pPr>
        <w:spacing w:after="0" w:line="126" w:lineRule="exact"/>
        <w:rPr>
          <w:sz w:val="20"/>
          <w:szCs w:val="20"/>
          <w:color w:val="auto"/>
        </w:rPr>
      </w:pPr>
    </w:p>
    <w:p>
      <w:pPr>
        <w:ind w:left="4280"/>
        <w:spacing w:after="0"/>
        <w:rPr>
          <w:sz w:val="20"/>
          <w:szCs w:val="20"/>
          <w:color w:val="auto"/>
        </w:rPr>
      </w:pPr>
      <w:r>
        <w:rPr>
          <w:rFonts w:ascii="Arial" w:cs="Arial" w:eastAsia="Arial" w:hAnsi="Arial"/>
          <w:sz w:val="19"/>
          <w:szCs w:val="19"/>
          <w:color w:val="auto"/>
        </w:rPr>
        <w:t>Name:</w:t>
      </w:r>
    </w:p>
    <w:p>
      <w:pPr>
        <w:spacing w:after="0" w:line="146" w:lineRule="exact"/>
        <w:rPr>
          <w:sz w:val="20"/>
          <w:szCs w:val="20"/>
          <w:color w:val="auto"/>
        </w:rPr>
      </w:pPr>
    </w:p>
    <w:p>
      <w:pPr>
        <w:ind w:left="4280"/>
        <w:spacing w:after="0"/>
        <w:rPr>
          <w:sz w:val="20"/>
          <w:szCs w:val="20"/>
          <w:color w:val="auto"/>
        </w:rPr>
      </w:pPr>
      <w:r>
        <w:rPr>
          <w:rFonts w:ascii="Arial" w:cs="Arial" w:eastAsia="Arial" w:hAnsi="Arial"/>
          <w:sz w:val="19"/>
          <w:szCs w:val="19"/>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280"/>
        <w:spacing w:after="0"/>
        <w:rPr>
          <w:sz w:val="20"/>
          <w:szCs w:val="20"/>
          <w:color w:val="auto"/>
        </w:rPr>
      </w:pPr>
      <w:r>
        <w:rPr>
          <w:rFonts w:ascii="Arial" w:cs="Arial" w:eastAsia="Arial" w:hAnsi="Arial"/>
          <w:sz w:val="19"/>
          <w:szCs w:val="19"/>
          <w:b w:val="1"/>
          <w:bCs w:val="1"/>
          <w:color w:val="auto"/>
        </w:rPr>
        <w:t>NOMIS BAY LTD.</w:t>
      </w:r>
    </w:p>
    <w:p>
      <w:pPr>
        <w:spacing w:after="0" w:line="119" w:lineRule="exact"/>
        <w:rPr>
          <w:sz w:val="20"/>
          <w:szCs w:val="20"/>
          <w:color w:val="auto"/>
        </w:rPr>
      </w:pPr>
    </w:p>
    <w:p>
      <w:pPr>
        <w:ind w:left="4280"/>
        <w:spacing w:after="0"/>
        <w:rPr>
          <w:sz w:val="20"/>
          <w:szCs w:val="20"/>
          <w:color w:val="auto"/>
        </w:rPr>
      </w:pPr>
      <w:r>
        <w:rPr>
          <w:rFonts w:ascii="Arial" w:cs="Arial" w:eastAsia="Arial" w:hAnsi="Arial"/>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3150870</wp:posOffset>
            </wp:positionH>
            <wp:positionV relativeFrom="paragraph">
              <wp:posOffset>58420</wp:posOffset>
            </wp:positionV>
            <wp:extent cx="176593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3">
                      <a:extLst>
                        <a:ext uri="{28A0092B-C50C-407E-A947-70E740481C1C}"/>
                      </a:extLst>
                    </a:blip>
                    <a:srcRect/>
                    <a:stretch>
                      <a:fillRect/>
                    </a:stretch>
                  </pic:blipFill>
                  <pic:spPr bwMode="auto">
                    <a:xfrm>
                      <a:off x="0" y="0"/>
                      <a:ext cx="1765935" cy="8255"/>
                    </a:xfrm>
                    <a:prstGeom prst="rect">
                      <a:avLst/>
                    </a:prstGeom>
                    <a:noFill/>
                  </pic:spPr>
                </pic:pic>
              </a:graphicData>
            </a:graphic>
          </wp:anchor>
        </w:drawing>
      </w:r>
    </w:p>
    <w:p>
      <w:pPr>
        <w:spacing w:after="0" w:line="126" w:lineRule="exact"/>
        <w:rPr>
          <w:sz w:val="20"/>
          <w:szCs w:val="20"/>
          <w:color w:val="auto"/>
        </w:rPr>
      </w:pPr>
    </w:p>
    <w:p>
      <w:pPr>
        <w:ind w:left="4280"/>
        <w:spacing w:after="0"/>
        <w:rPr>
          <w:sz w:val="20"/>
          <w:szCs w:val="20"/>
          <w:color w:val="auto"/>
        </w:rPr>
      </w:pPr>
      <w:r>
        <w:rPr>
          <w:rFonts w:ascii="Arial" w:cs="Arial" w:eastAsia="Arial" w:hAnsi="Arial"/>
          <w:sz w:val="19"/>
          <w:szCs w:val="19"/>
          <w:color w:val="auto"/>
        </w:rPr>
        <w:t>Name:</w:t>
      </w:r>
    </w:p>
    <w:p>
      <w:pPr>
        <w:spacing w:after="0" w:line="146" w:lineRule="exact"/>
        <w:rPr>
          <w:sz w:val="20"/>
          <w:szCs w:val="20"/>
          <w:color w:val="auto"/>
        </w:rPr>
      </w:pPr>
    </w:p>
    <w:p>
      <w:pPr>
        <w:ind w:left="4280"/>
        <w:spacing w:after="0"/>
        <w:rPr>
          <w:sz w:val="20"/>
          <w:szCs w:val="20"/>
          <w:color w:val="auto"/>
        </w:rPr>
      </w:pPr>
      <w:r>
        <w:rPr>
          <w:rFonts w:ascii="Arial" w:cs="Arial" w:eastAsia="Arial" w:hAnsi="Arial"/>
          <w:sz w:val="19"/>
          <w:szCs w:val="19"/>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1"/>
          <w:szCs w:val="11"/>
          <w:color w:val="auto"/>
        </w:rPr>
        <w:t>119554138 v1</w:t>
      </w:r>
    </w:p>
    <w:p>
      <w:pPr>
        <w:sectPr>
          <w:pgSz w:w="11900" w:h="16838" w:orient="portrait"/>
          <w:cols w:equalWidth="0" w:num="1">
            <w:col w:w="10139"/>
          </w:cols>
          <w:pgMar w:left="320" w:top="1440" w:right="1440" w:bottom="1440" w:gutter="0" w:footer="0" w:header="0"/>
        </w:sectPr>
      </w:pPr>
    </w:p>
    <w:bookmarkStart w:id="45" w:name="page46"/>
    <w:bookmarkEnd w:id="45"/>
    <w:p>
      <w:pPr>
        <w:ind w:left="7140"/>
        <w:spacing w:after="0"/>
        <w:rPr>
          <w:sz w:val="20"/>
          <w:szCs w:val="20"/>
          <w:color w:val="auto"/>
        </w:rPr>
      </w:pPr>
      <w:r>
        <w:rPr>
          <w:rFonts w:ascii="Times New Roman" w:cs="Times New Roman" w:eastAsia="Times New Roman" w:hAnsi="Times New Roman"/>
          <w:sz w:val="20"/>
          <w:szCs w:val="20"/>
          <w:b w:val="1"/>
          <w:bCs w:val="1"/>
          <w:color w:val="auto"/>
        </w:rPr>
        <w:t>Exhibit 10.11</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AMENDMENT TO THE</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EQUITY PURCHASE AGREEEMENT</w:t>
      </w:r>
    </w:p>
    <w:p>
      <w:pPr>
        <w:spacing w:after="0" w:line="23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THIS AMENDMENT TO THE EQUITY PURCHASE AGREEMENT (this “</w:t>
      </w:r>
      <w:r>
        <w:rPr>
          <w:rFonts w:ascii="Times New Roman" w:cs="Times New Roman" w:eastAsia="Times New Roman" w:hAnsi="Times New Roman"/>
          <w:sz w:val="20"/>
          <w:szCs w:val="20"/>
          <w:u w:val="single" w:color="auto"/>
          <w:color w:val="auto"/>
        </w:rPr>
        <w:t>Amendment</w:t>
      </w:r>
      <w:r>
        <w:rPr>
          <w:rFonts w:ascii="Times New Roman" w:cs="Times New Roman" w:eastAsia="Times New Roman" w:hAnsi="Times New Roman"/>
          <w:sz w:val="20"/>
          <w:szCs w:val="20"/>
          <w:color w:val="auto"/>
        </w:rPr>
        <w:t>”) is effective as of October 28, 2024, by and between Verano Arizona, LLC, an Arizona limited liability company (“</w:t>
      </w:r>
      <w:r>
        <w:rPr>
          <w:rFonts w:ascii="Times New Roman" w:cs="Times New Roman" w:eastAsia="Times New Roman" w:hAnsi="Times New Roman"/>
          <w:sz w:val="20"/>
          <w:szCs w:val="20"/>
          <w:u w:val="single" w:color="auto"/>
          <w:color w:val="auto"/>
        </w:rPr>
        <w:t>Buyer</w:t>
      </w:r>
      <w:r>
        <w:rPr>
          <w:rFonts w:ascii="Times New Roman" w:cs="Times New Roman" w:eastAsia="Times New Roman" w:hAnsi="Times New Roman"/>
          <w:sz w:val="20"/>
          <w:szCs w:val="20"/>
          <w:color w:val="auto"/>
        </w:rPr>
        <w:t>”), and The Cannabist Company Holdings Inc., a British Columbia corporation, acting in its individual capacity and as the Member representative (“</w:t>
      </w:r>
      <w:r>
        <w:rPr>
          <w:rFonts w:ascii="Times New Roman" w:cs="Times New Roman" w:eastAsia="Times New Roman" w:hAnsi="Times New Roman"/>
          <w:sz w:val="20"/>
          <w:szCs w:val="20"/>
          <w:u w:val="single" w:color="auto"/>
          <w:color w:val="auto"/>
        </w:rPr>
        <w:t>Cannabist</w:t>
      </w:r>
      <w:r>
        <w:rPr>
          <w:rFonts w:ascii="Times New Roman" w:cs="Times New Roman" w:eastAsia="Times New Roman" w:hAnsi="Times New Roman"/>
          <w:sz w:val="20"/>
          <w:szCs w:val="20"/>
          <w:color w:val="auto"/>
        </w:rPr>
        <w:t>”).</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RECITALS</w:t>
      </w:r>
    </w:p>
    <w:p>
      <w:pPr>
        <w:spacing w:after="0" w:line="239"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Buyer, 203 Organix, L.L.C., an Arizona limited liability company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Columbia Care-Arizona, Prescott,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L.L.C., an Arizona limited liability company, Cannabist and solely for the purposes of Sections 2.4(d) and 6.2(e), CC VA Holdco LLC, a Delaware limited liability company, are party to that certain Equity Purchase Agreement, dated as of July 29, 2024 (the “</w:t>
      </w:r>
      <w:r>
        <w:rPr>
          <w:rFonts w:ascii="Times New Roman" w:cs="Times New Roman" w:eastAsia="Times New Roman" w:hAnsi="Times New Roman"/>
          <w:sz w:val="20"/>
          <w:szCs w:val="20"/>
          <w:u w:val="single" w:color="auto"/>
          <w:color w:val="auto"/>
        </w:rPr>
        <w:t>Purchase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Purchase Agreement may be amended by the written agreement of Buyer and Cannabist; and</w:t>
      </w:r>
    </w:p>
    <w:p>
      <w:pPr>
        <w:spacing w:after="0" w:line="243"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parties hereto desire to amend the Purchase Agreement as set forth herein, in accordance with the terms set forth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Purchase Agreement.</w:t>
      </w:r>
    </w:p>
    <w:p>
      <w:pPr>
        <w:spacing w:after="0" w:line="165" w:lineRule="exact"/>
        <w:rPr>
          <w:sz w:val="20"/>
          <w:szCs w:val="20"/>
          <w:color w:val="auto"/>
        </w:rPr>
      </w:pPr>
    </w:p>
    <w:p>
      <w:pPr>
        <w:jc w:val="both"/>
        <w:ind w:right="20" w:firstLine="360"/>
        <w:spacing w:after="0" w:line="287" w:lineRule="auto"/>
        <w:rPr>
          <w:sz w:val="20"/>
          <w:szCs w:val="20"/>
          <w:color w:val="auto"/>
        </w:rPr>
      </w:pPr>
      <w:r>
        <w:rPr>
          <w:rFonts w:ascii="Times New Roman" w:cs="Times New Roman" w:eastAsia="Times New Roman" w:hAnsi="Times New Roman"/>
          <w:sz w:val="20"/>
          <w:szCs w:val="20"/>
          <w:b w:val="1"/>
          <w:bCs w:val="1"/>
          <w:color w:val="auto"/>
        </w:rPr>
        <w:t>NOW, THEREFORE</w:t>
      </w:r>
      <w:r>
        <w:rPr>
          <w:rFonts w:ascii="Times New Roman" w:cs="Times New Roman" w:eastAsia="Times New Roman" w:hAnsi="Times New Roman"/>
          <w:sz w:val="20"/>
          <w:szCs w:val="20"/>
          <w:color w:val="auto"/>
        </w:rPr>
        <w:t>, in consideration of the premises, the mutual covenants set forth herein, and for other good and valuable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consideration, the receipt and sufficiency of which are hereby acknowledged, the parties hereby agree as follows: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AGREEMENT</w:t>
      </w:r>
    </w:p>
    <w:p>
      <w:pPr>
        <w:spacing w:after="0" w:line="243" w:lineRule="exact"/>
        <w:rPr>
          <w:sz w:val="20"/>
          <w:szCs w:val="20"/>
          <w:color w:val="auto"/>
        </w:rPr>
      </w:pPr>
    </w:p>
    <w:p>
      <w:pPr>
        <w:jc w:val="both"/>
        <w:ind w:right="20" w:firstLine="656"/>
        <w:spacing w:after="0" w:line="261" w:lineRule="auto"/>
        <w:tabs>
          <w:tab w:leader="none" w:pos="1296"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Definitions</w:t>
      </w:r>
      <w:r>
        <w:rPr>
          <w:rFonts w:ascii="Times New Roman" w:cs="Times New Roman" w:eastAsia="Times New Roman" w:hAnsi="Times New Roman"/>
          <w:sz w:val="20"/>
          <w:szCs w:val="20"/>
          <w:color w:val="auto"/>
        </w:rPr>
        <w:t>. Capitalized terms used herein and not defined herein shall have the meaning ascribed to such term as set forth in the Purchase Agreement, and all references to Sections shall mean the Sections of the Purchase Agreement unless reference is made to another document.</w:t>
      </w:r>
    </w:p>
    <w:p>
      <w:pPr>
        <w:spacing w:after="0" w:line="181"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Amendments to the Purchase Agreement</w:t>
      </w:r>
      <w:r>
        <w:rPr>
          <w:rFonts w:ascii="Times New Roman" w:cs="Times New Roman" w:eastAsia="Times New Roman" w:hAnsi="Times New Roman"/>
          <w:sz w:val="20"/>
          <w:szCs w:val="20"/>
          <w:color w:val="auto"/>
        </w:rPr>
        <w:t>. Section 6.3(e) is hereby deleted in its entirety and replaced with the following:</w:t>
      </w:r>
    </w:p>
    <w:p>
      <w:pPr>
        <w:spacing w:after="0" w:line="215" w:lineRule="exact"/>
        <w:rPr>
          <w:rFonts w:ascii="Times New Roman" w:cs="Times New Roman" w:eastAsia="Times New Roman" w:hAnsi="Times New Roman"/>
          <w:sz w:val="20"/>
          <w:szCs w:val="20"/>
          <w:color w:val="auto"/>
        </w:rPr>
      </w:pPr>
    </w:p>
    <w:p>
      <w:pPr>
        <w:ind w:left="1580" w:hanging="276"/>
        <w:spacing w:after="0"/>
        <w:tabs>
          <w:tab w:leader="none" w:pos="1580" w:val="left"/>
        </w:tabs>
        <w:numPr>
          <w:ilvl w:val="1"/>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Section 338(h)(10) Election</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jc w:val="both"/>
        <w:ind w:left="660" w:firstLine="1616"/>
        <w:spacing w:after="0" w:line="253" w:lineRule="auto"/>
        <w:tabs>
          <w:tab w:leader="none" w:pos="2602" w:val="left"/>
        </w:tabs>
        <w:numPr>
          <w:ilvl w:val="2"/>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Buyer and the Member shall join in the making of a timely election under Code Section 338(h)(10) and any corresponding elections under state or local Tax Law (collectively, the “</w:t>
      </w:r>
      <w:r>
        <w:rPr>
          <w:rFonts w:ascii="Times New Roman" w:cs="Times New Roman" w:eastAsia="Times New Roman" w:hAnsi="Times New Roman"/>
          <w:sz w:val="20"/>
          <w:szCs w:val="20"/>
          <w:u w:val="single" w:color="auto"/>
          <w:color w:val="auto"/>
        </w:rPr>
        <w:t>Section 338(h)(10) Election</w:t>
      </w:r>
      <w:r>
        <w:rPr>
          <w:rFonts w:ascii="Times New Roman" w:cs="Times New Roman" w:eastAsia="Times New Roman" w:hAnsi="Times New Roman"/>
          <w:sz w:val="20"/>
          <w:szCs w:val="20"/>
          <w:color w:val="auto"/>
        </w:rPr>
        <w:t>”) with respect to the sale of the Equity. As soon as reasonably practicable following the Closing Date, Buyer and the Member shall exchange completed and executed copies of IRS Form 8023 and any other form or schedule required to effect the Section 338(h)(10) Election (and any required schedules thereto) and timely file the same with the IRS and other applicable Governmental Entities. The Member shall pay any Tax on income or gain recognized by the Company as a result of the Section 338(h)(10) Election and shall indemnify Buyer against any Loss arising out of the failure to pay any such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131405909.1</w:t>
      </w:r>
    </w:p>
    <w:p>
      <w:pPr>
        <w:sectPr>
          <w:pgSz w:w="11900" w:h="16838" w:orient="portrait"/>
          <w:cols w:equalWidth="0" w:num="1">
            <w:col w:w="11240"/>
          </w:cols>
          <w:pgMar w:left="320" w:top="1409" w:right="339" w:bottom="1440" w:gutter="0" w:footer="0" w:header="0"/>
        </w:sectPr>
      </w:pPr>
    </w:p>
    <w:bookmarkStart w:id="46" w:name="page47"/>
    <w:bookmarkEnd w:id="46"/>
    <w:p>
      <w:pPr>
        <w:jc w:val="both"/>
        <w:ind w:left="660" w:firstLine="1616"/>
        <w:spacing w:after="0" w:line="249" w:lineRule="auto"/>
        <w:tabs>
          <w:tab w:leader="none" w:pos="2603" w:val="left"/>
        </w:tabs>
        <w:numPr>
          <w:ilvl w:val="1"/>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Reasonably promptly following the determination of the Final Purchase Price, Buyer shall prepare and deliver to the Member for its review a schedule (the “</w:t>
      </w:r>
      <w:r>
        <w:rPr>
          <w:rFonts w:ascii="Times New Roman" w:cs="Times New Roman" w:eastAsia="Times New Roman" w:hAnsi="Times New Roman"/>
          <w:sz w:val="20"/>
          <w:szCs w:val="20"/>
          <w:u w:val="single" w:color="auto"/>
          <w:color w:val="auto"/>
        </w:rPr>
        <w:t>Closing Consideration Allocation</w:t>
      </w:r>
      <w:r>
        <w:rPr>
          <w:rFonts w:ascii="Times New Roman" w:cs="Times New Roman" w:eastAsia="Times New Roman" w:hAnsi="Times New Roman"/>
          <w:sz w:val="20"/>
          <w:szCs w:val="20"/>
          <w:color w:val="auto"/>
        </w:rPr>
        <w:t>”), which shall set forth a calculation and proposed allocation of the “aggregate deemed sales price” (as defined in Treasury Regulations §1.338-4) (the “</w:t>
      </w:r>
      <w:r>
        <w:rPr>
          <w:rFonts w:ascii="Times New Roman" w:cs="Times New Roman" w:eastAsia="Times New Roman" w:hAnsi="Times New Roman"/>
          <w:sz w:val="20"/>
          <w:szCs w:val="20"/>
          <w:u w:val="single" w:color="auto"/>
          <w:color w:val="auto"/>
        </w:rPr>
        <w:t>ADSP</w:t>
      </w:r>
      <w:r>
        <w:rPr>
          <w:rFonts w:ascii="Times New Roman" w:cs="Times New Roman" w:eastAsia="Times New Roman" w:hAnsi="Times New Roman"/>
          <w:sz w:val="20"/>
          <w:szCs w:val="20"/>
          <w:color w:val="auto"/>
        </w:rPr>
        <w:t>”) and the “adjusted gross-up basis” (as defined in Treasury Regulations §1.338-5) (the “</w:t>
      </w:r>
      <w:r>
        <w:rPr>
          <w:rFonts w:ascii="Times New Roman" w:cs="Times New Roman" w:eastAsia="Times New Roman" w:hAnsi="Times New Roman"/>
          <w:sz w:val="20"/>
          <w:szCs w:val="20"/>
          <w:u w:val="single" w:color="auto"/>
          <w:color w:val="auto"/>
        </w:rPr>
        <w:t>AGUB</w:t>
      </w:r>
      <w:r>
        <w:rPr>
          <w:rFonts w:ascii="Times New Roman" w:cs="Times New Roman" w:eastAsia="Times New Roman" w:hAnsi="Times New Roman"/>
          <w:sz w:val="20"/>
          <w:szCs w:val="20"/>
          <w:color w:val="auto"/>
        </w:rPr>
        <w:t>”) among the assets of the Company deemed sold as a result of the Section 338(h)(10) Election, in each case for U.S. federal and applicable state and local income Tax purposes in a manner consistent with Code Sections 338 and 1060 and the Treasury Regulations promulgated thereunder. If the Member disagrees with Buyer’s Closing Consideration Allocation, the Member shall provide the Buyer with comments within 30 days after the Buyer’s delivery of the Closing Consideration Allocation to the Member. The Buyer and the Member shall negotiate in good faith to determine the Closing Consideration Allocation in preparing the final allocation schedule (the “</w:t>
      </w:r>
      <w:r>
        <w:rPr>
          <w:rFonts w:ascii="Times New Roman" w:cs="Times New Roman" w:eastAsia="Times New Roman" w:hAnsi="Times New Roman"/>
          <w:sz w:val="20"/>
          <w:szCs w:val="20"/>
          <w:u w:val="single" w:color="auto"/>
          <w:color w:val="auto"/>
        </w:rPr>
        <w:t>Final Allocation</w:t>
      </w:r>
      <w:r>
        <w:rPr>
          <w:rFonts w:ascii="Times New Roman" w:cs="Times New Roman" w:eastAsia="Times New Roman" w:hAnsi="Times New Roman"/>
          <w:sz w:val="20"/>
          <w:szCs w:val="20"/>
          <w:color w:val="auto"/>
        </w:rPr>
        <w:t xml:space="preserve">”). If the Buyer and the Member are unable to agree upon the Final Allocation after 30 days, the Buyer and the Member shall submit their dispute to the Valuation Firm. The Valuation Firm shall be directed to review such items in accordance with </w:t>
      </w:r>
      <w:r>
        <w:rPr>
          <w:rFonts w:ascii="Times New Roman" w:cs="Times New Roman" w:eastAsia="Times New Roman" w:hAnsi="Times New Roman"/>
          <w:sz w:val="20"/>
          <w:szCs w:val="20"/>
          <w:u w:val="single" w:color="auto"/>
          <w:color w:val="auto"/>
        </w:rPr>
        <w:t>Section 2.4(b)</w:t>
      </w:r>
      <w:r>
        <w:rPr>
          <w:rFonts w:ascii="Times New Roman" w:cs="Times New Roman" w:eastAsia="Times New Roman" w:hAnsi="Times New Roman"/>
          <w:sz w:val="20"/>
          <w:szCs w:val="20"/>
          <w:color w:val="auto"/>
        </w:rPr>
        <w:t xml:space="preserve"> as if it applied to the resolution of the dispute relating to the Final Allocation </w:t>
      </w:r>
      <w:r>
        <w:rPr>
          <w:rFonts w:ascii="Times New Roman" w:cs="Times New Roman" w:eastAsia="Times New Roman" w:hAnsi="Times New Roman"/>
          <w:sz w:val="20"/>
          <w:szCs w:val="20"/>
          <w:i w:val="1"/>
          <w:iCs w:val="1"/>
          <w:color w:val="auto"/>
        </w:rPr>
        <w:t>mutatis mutandis</w:t>
      </w:r>
      <w:r>
        <w:rPr>
          <w:rFonts w:ascii="Times New Roman" w:cs="Times New Roman" w:eastAsia="Times New Roman" w:hAnsi="Times New Roman"/>
          <w:sz w:val="20"/>
          <w:szCs w:val="20"/>
          <w:color w:val="auto"/>
        </w:rPr>
        <w:t xml:space="preserve"> and determine, within 30 days, the changes to Buyer’s Closing Consideration Allocation that are required to conform it to the Asset Purchase Price Allocation. The resolution of the disputed items relating to the Final Allocation will be conclusive, final and binding on the Parties and the version, with the determinations of the Valuation Firm, shall be the Final Allocation for purposes of this Agreement. The fees and expenses of the Valuation Firm in resolving the disputes relating to the Final Allocation shall be borne as specified in the procedures set forth in </w:t>
      </w:r>
      <w:r>
        <w:rPr>
          <w:rFonts w:ascii="Times New Roman" w:cs="Times New Roman" w:eastAsia="Times New Roman" w:hAnsi="Times New Roman"/>
          <w:sz w:val="20"/>
          <w:szCs w:val="20"/>
          <w:u w:val="single" w:color="auto"/>
          <w:color w:val="auto"/>
        </w:rPr>
        <w:t>Section 2.4(b)</w:t>
      </w:r>
      <w:r>
        <w:rPr>
          <w:rFonts w:ascii="Times New Roman" w:cs="Times New Roman" w:eastAsia="Times New Roman" w:hAnsi="Times New Roman"/>
          <w:sz w:val="20"/>
          <w:szCs w:val="20"/>
          <w:color w:val="auto"/>
        </w:rPr>
        <w:t xml:space="preserve"> as if they applied to the resolution of the disputes relating to the Final Allocation pursuant to this </w:t>
      </w:r>
      <w:r>
        <w:rPr>
          <w:rFonts w:ascii="Times New Roman" w:cs="Times New Roman" w:eastAsia="Times New Roman" w:hAnsi="Times New Roman"/>
          <w:sz w:val="20"/>
          <w:szCs w:val="20"/>
          <w:u w:val="single" w:color="auto"/>
          <w:color w:val="auto"/>
        </w:rPr>
        <w:t>Section 6.3(e)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mutatis mutandis</w:t>
      </w:r>
      <w:r>
        <w:rPr>
          <w:rFonts w:ascii="Times New Roman" w:cs="Times New Roman" w:eastAsia="Times New Roman" w:hAnsi="Times New Roman"/>
          <w:sz w:val="20"/>
          <w:szCs w:val="20"/>
          <w:color w:val="auto"/>
        </w:rPr>
        <w:t>. The Parties shall file all Tax Returns (including Form 8883) in a manner consistent with the Final Allocation,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none of the Parties shall take any Tax position to the contrary to the Final Allocation on any Tax Return or in any proceeding or audit.</w:t>
      </w:r>
    </w:p>
    <w:p>
      <w:pPr>
        <w:spacing w:after="0" w:line="195" w:lineRule="exact"/>
        <w:rPr>
          <w:rFonts w:ascii="Times New Roman" w:cs="Times New Roman" w:eastAsia="Times New Roman" w:hAnsi="Times New Roman"/>
          <w:sz w:val="20"/>
          <w:szCs w:val="20"/>
          <w:color w:val="auto"/>
        </w:rPr>
      </w:pPr>
    </w:p>
    <w:p>
      <w:pPr>
        <w:ind w:firstLine="656"/>
        <w:spacing w:after="0" w:line="269" w:lineRule="auto"/>
        <w:tabs>
          <w:tab w:leader="none" w:pos="1296"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Full Force and Effect</w:t>
      </w:r>
      <w:r>
        <w:rPr>
          <w:rFonts w:ascii="Times New Roman" w:cs="Times New Roman" w:eastAsia="Times New Roman" w:hAnsi="Times New Roman"/>
          <w:sz w:val="20"/>
          <w:szCs w:val="20"/>
          <w:color w:val="auto"/>
        </w:rPr>
        <w:t>. Except as specifically amended, modified, or supplemented by this Amendment, the Purchase Agreement, as amended, shall remain unchanged and in full force and effect.</w:t>
      </w:r>
    </w:p>
    <w:p>
      <w:pPr>
        <w:spacing w:after="0" w:line="172" w:lineRule="exact"/>
        <w:rPr>
          <w:rFonts w:ascii="Times New Roman" w:cs="Times New Roman" w:eastAsia="Times New Roman" w:hAnsi="Times New Roman"/>
          <w:sz w:val="20"/>
          <w:szCs w:val="20"/>
          <w:color w:val="auto"/>
        </w:rPr>
      </w:pPr>
    </w:p>
    <w:p>
      <w:pPr>
        <w:ind w:firstLine="656"/>
        <w:spacing w:after="0" w:line="283" w:lineRule="auto"/>
        <w:tabs>
          <w:tab w:leader="none" w:pos="1296"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The parties hereto expressly agree that this Amendment shall be governed by, and construed in accordance with, the laws of the State of Delaware.</w:t>
      </w:r>
    </w:p>
    <w:p>
      <w:pPr>
        <w:spacing w:after="0" w:line="146" w:lineRule="exact"/>
        <w:rPr>
          <w:rFonts w:ascii="Times New Roman" w:cs="Times New Roman" w:eastAsia="Times New Roman" w:hAnsi="Times New Roman"/>
          <w:sz w:val="20"/>
          <w:szCs w:val="20"/>
          <w:color w:val="auto"/>
        </w:rPr>
      </w:pPr>
    </w:p>
    <w:p>
      <w:pPr>
        <w:jc w:val="both"/>
        <w:ind w:firstLine="656"/>
        <w:spacing w:after="0" w:line="258" w:lineRule="auto"/>
        <w:tabs>
          <w:tab w:leader="none" w:pos="1296"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Amendment may be executed in counterparts, each of which shall be deemed an original, but all of which together shall constitute one and the same instrument. Counterparts may be delivered via facsimile, electronic mail (including pdf or any electronic signature) or other commonly recognized transmission method and any counterpart so delivered shall be deemed to have been duly and validly delivered and be valid and effective for all purposes.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13"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9"/>
          <w:szCs w:val="19"/>
          <w:b w:val="1"/>
          <w:bCs w:val="1"/>
          <w:color w:val="auto"/>
        </w:rPr>
        <w:t>IN WITNESS WHEREOF</w:t>
      </w:r>
      <w:r>
        <w:rPr>
          <w:rFonts w:ascii="Times New Roman" w:cs="Times New Roman" w:eastAsia="Times New Roman" w:hAnsi="Times New Roman"/>
          <w:sz w:val="19"/>
          <w:szCs w:val="19"/>
          <w:color w:val="auto"/>
        </w:rPr>
        <w:t>, the parties have executed this Amendment as of the date first written.</w:t>
      </w:r>
    </w:p>
    <w:p>
      <w:pPr>
        <w:sectPr>
          <w:pgSz w:w="11900" w:h="16838" w:orient="portrait"/>
          <w:cols w:equalWidth="0" w:num="1">
            <w:col w:w="9479"/>
          </w:cols>
          <w:pgMar w:left="980" w:top="1409" w:right="1440" w:bottom="1440" w:gutter="0" w:footer="0" w:header="0"/>
        </w:sectPr>
      </w:pPr>
    </w:p>
    <w:p>
      <w:pPr>
        <w:spacing w:after="0" w:line="200" w:lineRule="exact"/>
        <w:rPr>
          <w:sz w:val="20"/>
          <w:szCs w:val="20"/>
          <w:color w:val="auto"/>
        </w:rPr>
      </w:pPr>
    </w:p>
    <w:p>
      <w:pPr>
        <w:spacing w:after="0" w:line="311"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b w:val="1"/>
          <w:bCs w:val="1"/>
          <w:color w:val="auto"/>
        </w:rPr>
        <w:t>BUYER:</w:t>
      </w:r>
    </w:p>
    <w:p>
      <w:pPr>
        <w:spacing w:after="0" w:line="24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Verano Arizona, LLC</w:t>
      </w:r>
    </w:p>
    <w:p>
      <w:pPr>
        <w:spacing w:after="0" w:line="200" w:lineRule="exact"/>
        <w:rPr>
          <w:sz w:val="20"/>
          <w:szCs w:val="20"/>
          <w:color w:val="auto"/>
        </w:rPr>
      </w:pPr>
    </w:p>
    <w:p>
      <w:pPr>
        <w:spacing w:after="0" w:line="29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2201545</wp:posOffset>
            </wp:positionH>
            <wp:positionV relativeFrom="paragraph">
              <wp:posOffset>-10795</wp:posOffset>
            </wp:positionV>
            <wp:extent cx="25146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4">
                      <a:extLst>
                        <a:ext uri="{28A0092B-C50C-407E-A947-70E740481C1C}"/>
                      </a:extLst>
                    </a:blip>
                    <a:srcRect/>
                    <a:stretch>
                      <a:fillRect/>
                    </a:stretch>
                  </pic:blipFill>
                  <pic:spPr bwMode="auto">
                    <a:xfrm>
                      <a:off x="0" y="0"/>
                      <a:ext cx="251460" cy="8255"/>
                    </a:xfrm>
                    <a:prstGeom prst="rect">
                      <a:avLst/>
                    </a:prstGeom>
                    <a:noFill/>
                  </pic:spPr>
                </pic:pic>
              </a:graphicData>
            </a:graphic>
          </wp:anchor>
        </w:drawing>
      </w:r>
    </w:p>
    <w:p>
      <w:pPr>
        <w:spacing w:after="0" w:line="2"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Name: George P. Archos</w:t>
      </w:r>
    </w:p>
    <w:p>
      <w:pPr>
        <w:spacing w:after="0" w:line="6"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Title: Chief Executive Officer</w:t>
      </w:r>
    </w:p>
    <w:p>
      <w:pPr>
        <w:spacing w:after="0" w:line="200" w:lineRule="exact"/>
        <w:rPr>
          <w:sz w:val="20"/>
          <w:szCs w:val="20"/>
          <w:color w:val="auto"/>
        </w:rPr>
      </w:pPr>
    </w:p>
    <w:p>
      <w:pPr>
        <w:spacing w:after="0" w:line="280"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b w:val="1"/>
          <w:bCs w:val="1"/>
          <w:color w:val="auto"/>
        </w:rPr>
        <w:t>CANNABIST:</w:t>
      </w:r>
    </w:p>
    <w:p>
      <w:pPr>
        <w:spacing w:after="0" w:line="24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9"/>
          <w:szCs w:val="19"/>
          <w:color w:val="auto"/>
        </w:rPr>
        <w:t>The Cannabist Company Holdings Inc.</w:t>
      </w:r>
    </w:p>
    <w:p>
      <w:pPr>
        <w:spacing w:after="0" w:line="200" w:lineRule="exact"/>
        <w:rPr>
          <w:sz w:val="20"/>
          <w:szCs w:val="20"/>
          <w:color w:val="auto"/>
        </w:rPr>
      </w:pPr>
    </w:p>
    <w:p>
      <w:pPr>
        <w:spacing w:after="0" w:line="311"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2201545</wp:posOffset>
            </wp:positionH>
            <wp:positionV relativeFrom="paragraph">
              <wp:posOffset>-10795</wp:posOffset>
            </wp:positionV>
            <wp:extent cx="25146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5">
                      <a:extLst>
                        <a:ext uri="{28A0092B-C50C-407E-A947-70E740481C1C}"/>
                      </a:extLst>
                    </a:blip>
                    <a:srcRect/>
                    <a:stretch>
                      <a:fillRect/>
                    </a:stretch>
                  </pic:blipFill>
                  <pic:spPr bwMode="auto">
                    <a:xfrm>
                      <a:off x="0" y="0"/>
                      <a:ext cx="251460" cy="8255"/>
                    </a:xfrm>
                    <a:prstGeom prst="rect">
                      <a:avLst/>
                    </a:prstGeom>
                    <a:noFill/>
                  </pic:spPr>
                </pic:pic>
              </a:graphicData>
            </a:graphic>
          </wp:anchor>
        </w:drawing>
      </w:r>
    </w:p>
    <w:p>
      <w:pPr>
        <w:spacing w:after="0" w:line="2"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Name: David Hart</w:t>
      </w:r>
    </w:p>
    <w:p>
      <w:pPr>
        <w:spacing w:after="0" w:line="6"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Title: Chief Executive Officer</w:t>
      </w:r>
    </w:p>
    <w:p>
      <w:pPr>
        <w:sectPr>
          <w:pgSz w:w="11900" w:h="16838" w:orient="portrait"/>
          <w:cols w:equalWidth="0" w:num="1">
            <w:col w:w="9479"/>
          </w:cols>
          <w:pgMar w:left="980" w:top="1409" w:right="1440" w:bottom="1440" w:gutter="0" w:footer="0" w:header="0"/>
          <w:type w:val="continuous"/>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6"/>
          <w:szCs w:val="16"/>
          <w:color w:val="auto"/>
        </w:rPr>
        <w:t>David Hart</w:t>
      </w:r>
      <w:r>
        <w:rPr>
          <w:rFonts w:ascii="Times New Roman" w:cs="Times New Roman" w:eastAsia="Times New Roman" w:hAnsi="Times New Roman"/>
          <w:sz w:val="18"/>
          <w:szCs w:val="18"/>
          <w:color w:val="auto"/>
        </w:rPr>
        <w:t>, certify that:</w:t>
      </w:r>
    </w:p>
    <w:p>
      <w:pPr>
        <w:spacing w:after="0" w:line="117" w:lineRule="exact"/>
        <w:rPr>
          <w:sz w:val="20"/>
          <w:szCs w:val="20"/>
          <w:color w:val="auto"/>
        </w:rPr>
      </w:pPr>
    </w:p>
    <w:p>
      <w:pPr>
        <w:ind w:left="1220" w:hanging="1212"/>
        <w:spacing w:after="0"/>
        <w:tabs>
          <w:tab w:leader="none" w:pos="12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The Cannabist Company Holdings Inc.;</w:t>
      </w:r>
    </w:p>
    <w:p>
      <w:pPr>
        <w:spacing w:after="0" w:line="117" w:lineRule="exact"/>
        <w:rPr>
          <w:rFonts w:ascii="Times New Roman" w:cs="Times New Roman" w:eastAsia="Times New Roman" w:hAnsi="Times New Roman"/>
          <w:sz w:val="18"/>
          <w:szCs w:val="18"/>
          <w:color w:val="auto"/>
        </w:rPr>
      </w:pPr>
    </w:p>
    <w:p>
      <w:pPr>
        <w:ind w:left="1220" w:right="20" w:hanging="1212"/>
        <w:spacing w:after="0" w:line="266" w:lineRule="auto"/>
        <w:tabs>
          <w:tab w:leader="none" w:pos="12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1220" w:right="300" w:hanging="1212"/>
        <w:spacing w:after="0" w:line="312" w:lineRule="auto"/>
        <w:tabs>
          <w:tab w:leader="none" w:pos="12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1" w:lineRule="exact"/>
        <w:rPr>
          <w:rFonts w:ascii="Times New Roman" w:cs="Times New Roman" w:eastAsia="Times New Roman" w:hAnsi="Times New Roman"/>
          <w:sz w:val="17"/>
          <w:szCs w:val="17"/>
          <w:color w:val="auto"/>
        </w:rPr>
      </w:pPr>
    </w:p>
    <w:p>
      <w:pPr>
        <w:ind w:left="1220" w:right="180" w:hanging="1212"/>
        <w:spacing w:after="0" w:line="276" w:lineRule="auto"/>
        <w:tabs>
          <w:tab w:leader="none" w:pos="12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2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13a-15(f) and 15d-15(f)) for the registrant and have:</w:t>
      </w:r>
    </w:p>
    <w:p>
      <w:pPr>
        <w:spacing w:after="0" w:line="98" w:lineRule="exact"/>
        <w:rPr>
          <w:rFonts w:ascii="Times New Roman" w:cs="Times New Roman" w:eastAsia="Times New Roman" w:hAnsi="Times New Roman"/>
          <w:sz w:val="17"/>
          <w:szCs w:val="17"/>
          <w:color w:val="auto"/>
        </w:rPr>
      </w:pPr>
    </w:p>
    <w:p>
      <w:pPr>
        <w:ind w:left="2360" w:right="60" w:hanging="1137"/>
        <w:spacing w:after="0" w:line="266" w:lineRule="auto"/>
        <w:tabs>
          <w:tab w:leader="none" w:pos="2357"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2360" w:right="360" w:hanging="1137"/>
        <w:spacing w:after="0" w:line="289" w:lineRule="auto"/>
        <w:tabs>
          <w:tab w:leader="none" w:pos="2354" w:val="left"/>
        </w:tabs>
        <w:numPr>
          <w:ilvl w:val="1"/>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9" w:lineRule="exact"/>
        <w:rPr>
          <w:rFonts w:ascii="Times New Roman" w:cs="Times New Roman" w:eastAsia="Times New Roman" w:hAnsi="Times New Roman"/>
          <w:sz w:val="17"/>
          <w:szCs w:val="17"/>
          <w:color w:val="auto"/>
        </w:rPr>
      </w:pPr>
    </w:p>
    <w:p>
      <w:pPr>
        <w:ind w:left="2360" w:right="240" w:hanging="1137"/>
        <w:spacing w:after="0" w:line="266" w:lineRule="auto"/>
        <w:tabs>
          <w:tab w:leader="none" w:pos="2357"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2360" w:right="60" w:hanging="1137"/>
        <w:spacing w:after="0" w:line="289" w:lineRule="auto"/>
        <w:tabs>
          <w:tab w:leader="none" w:pos="2354" w:val="left"/>
        </w:tabs>
        <w:numPr>
          <w:ilvl w:val="1"/>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9" w:lineRule="exact"/>
        <w:rPr>
          <w:rFonts w:ascii="Times New Roman" w:cs="Times New Roman" w:eastAsia="Times New Roman" w:hAnsi="Times New Roman"/>
          <w:sz w:val="17"/>
          <w:szCs w:val="17"/>
          <w:color w:val="auto"/>
        </w:rPr>
      </w:pPr>
    </w:p>
    <w:p>
      <w:pPr>
        <w:ind w:left="1220" w:right="260" w:hanging="1212"/>
        <w:spacing w:after="0" w:line="266" w:lineRule="auto"/>
        <w:tabs>
          <w:tab w:leader="none" w:pos="12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2360" w:right="160" w:hanging="1137"/>
        <w:spacing w:after="0" w:line="266" w:lineRule="auto"/>
        <w:tabs>
          <w:tab w:leader="none" w:pos="2357"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2360" w:right="540" w:hanging="1137"/>
        <w:spacing w:after="0" w:line="282" w:lineRule="auto"/>
        <w:tabs>
          <w:tab w:leader="none" w:pos="2354"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ind w:left="20"/>
        <w:spacing w:after="0"/>
        <w:tabs>
          <w:tab w:leader="none" w:pos="5380" w:val="left"/>
          <w:tab w:leader="none" w:pos="8060" w:val="left"/>
        </w:tabs>
        <w:rPr>
          <w:sz w:val="20"/>
          <w:szCs w:val="20"/>
          <w:color w:val="auto"/>
        </w:rPr>
      </w:pPr>
      <w:r>
        <w:rPr>
          <w:rFonts w:ascii="Times New Roman" w:cs="Times New Roman" w:eastAsia="Times New Roman" w:hAnsi="Times New Roman"/>
          <w:sz w:val="18"/>
          <w:szCs w:val="18"/>
          <w:color w:val="auto"/>
        </w:rPr>
        <w:t>Date: November 7,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David 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26035</wp:posOffset>
            </wp:positionV>
            <wp:extent cx="33604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6">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39" w:lineRule="exact"/>
        <w:rPr>
          <w:sz w:val="20"/>
          <w:szCs w:val="20"/>
          <w:color w:val="auto"/>
        </w:rPr>
      </w:pPr>
    </w:p>
    <w:p>
      <w:pPr>
        <w:jc w:val="center"/>
        <w:ind w:left="5920"/>
        <w:spacing w:after="0"/>
        <w:rPr>
          <w:sz w:val="20"/>
          <w:szCs w:val="20"/>
          <w:color w:val="auto"/>
        </w:rPr>
      </w:pPr>
      <w:r>
        <w:rPr>
          <w:rFonts w:ascii="Times New Roman" w:cs="Times New Roman" w:eastAsia="Times New Roman" w:hAnsi="Times New Roman"/>
          <w:sz w:val="18"/>
          <w:szCs w:val="18"/>
          <w:b w:val="1"/>
          <w:bCs w:val="1"/>
          <w:color w:val="auto"/>
        </w:rPr>
        <w:t>Name: David Hart</w:t>
      </w:r>
    </w:p>
    <w:p>
      <w:pPr>
        <w:spacing w:after="0" w:line="50" w:lineRule="exact"/>
        <w:rPr>
          <w:sz w:val="20"/>
          <w:szCs w:val="20"/>
          <w:color w:val="auto"/>
        </w:rPr>
      </w:pPr>
    </w:p>
    <w:p>
      <w:pPr>
        <w:jc w:val="center"/>
        <w:ind w:left="592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ectPr>
          <w:pgSz w:w="11900" w:h="16838" w:orient="portrait"/>
          <w:cols w:equalWidth="0" w:num="1">
            <w:col w:w="11240"/>
          </w:cols>
          <w:pgMar w:left="320" w:top="1035"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6"/>
          <w:szCs w:val="16"/>
          <w:color w:val="auto"/>
        </w:rPr>
        <w:t>Derek Watson</w:t>
      </w:r>
      <w:r>
        <w:rPr>
          <w:rFonts w:ascii="Times New Roman" w:cs="Times New Roman" w:eastAsia="Times New Roman" w:hAnsi="Times New Roman"/>
          <w:sz w:val="18"/>
          <w:szCs w:val="18"/>
          <w:color w:val="auto"/>
        </w:rPr>
        <w:t>, certify that:</w:t>
      </w:r>
    </w:p>
    <w:p>
      <w:pPr>
        <w:spacing w:after="0" w:line="117" w:lineRule="exact"/>
        <w:rPr>
          <w:sz w:val="20"/>
          <w:szCs w:val="20"/>
          <w:color w:val="auto"/>
        </w:rPr>
      </w:pPr>
    </w:p>
    <w:p>
      <w:pPr>
        <w:ind w:left="1220" w:hanging="1212"/>
        <w:spacing w:after="0"/>
        <w:tabs>
          <w:tab w:leader="none" w:pos="12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The Cannabist Company Holdings Inc.;</w:t>
      </w:r>
    </w:p>
    <w:p>
      <w:pPr>
        <w:spacing w:after="0" w:line="117" w:lineRule="exact"/>
        <w:rPr>
          <w:rFonts w:ascii="Times New Roman" w:cs="Times New Roman" w:eastAsia="Times New Roman" w:hAnsi="Times New Roman"/>
          <w:sz w:val="18"/>
          <w:szCs w:val="18"/>
          <w:color w:val="auto"/>
        </w:rPr>
      </w:pPr>
    </w:p>
    <w:p>
      <w:pPr>
        <w:ind w:left="1220" w:right="20" w:hanging="1212"/>
        <w:spacing w:after="0" w:line="266" w:lineRule="auto"/>
        <w:tabs>
          <w:tab w:leader="none" w:pos="12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1220" w:right="300" w:hanging="1212"/>
        <w:spacing w:after="0" w:line="312" w:lineRule="auto"/>
        <w:tabs>
          <w:tab w:leader="none" w:pos="12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1" w:lineRule="exact"/>
        <w:rPr>
          <w:rFonts w:ascii="Times New Roman" w:cs="Times New Roman" w:eastAsia="Times New Roman" w:hAnsi="Times New Roman"/>
          <w:sz w:val="17"/>
          <w:szCs w:val="17"/>
          <w:color w:val="auto"/>
        </w:rPr>
      </w:pPr>
    </w:p>
    <w:p>
      <w:pPr>
        <w:ind w:left="1220" w:right="180" w:hanging="1212"/>
        <w:spacing w:after="0" w:line="276" w:lineRule="auto"/>
        <w:tabs>
          <w:tab w:leader="none" w:pos="12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2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13a-15(f) and 15d-15(f)) for the registrant and have:</w:t>
      </w:r>
    </w:p>
    <w:p>
      <w:pPr>
        <w:spacing w:after="0" w:line="98" w:lineRule="exact"/>
        <w:rPr>
          <w:rFonts w:ascii="Times New Roman" w:cs="Times New Roman" w:eastAsia="Times New Roman" w:hAnsi="Times New Roman"/>
          <w:sz w:val="17"/>
          <w:szCs w:val="17"/>
          <w:color w:val="auto"/>
        </w:rPr>
      </w:pPr>
    </w:p>
    <w:p>
      <w:pPr>
        <w:ind w:left="2360" w:right="60" w:hanging="1137"/>
        <w:spacing w:after="0" w:line="266" w:lineRule="auto"/>
        <w:tabs>
          <w:tab w:leader="none" w:pos="2357"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2360" w:right="360" w:hanging="1137"/>
        <w:spacing w:after="0" w:line="289" w:lineRule="auto"/>
        <w:tabs>
          <w:tab w:leader="none" w:pos="2354" w:val="left"/>
        </w:tabs>
        <w:numPr>
          <w:ilvl w:val="1"/>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9" w:lineRule="exact"/>
        <w:rPr>
          <w:rFonts w:ascii="Times New Roman" w:cs="Times New Roman" w:eastAsia="Times New Roman" w:hAnsi="Times New Roman"/>
          <w:sz w:val="17"/>
          <w:szCs w:val="17"/>
          <w:color w:val="auto"/>
        </w:rPr>
      </w:pPr>
    </w:p>
    <w:p>
      <w:pPr>
        <w:ind w:left="2360" w:right="240" w:hanging="1137"/>
        <w:spacing w:after="0" w:line="266" w:lineRule="auto"/>
        <w:tabs>
          <w:tab w:leader="none" w:pos="2357"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2360" w:right="60" w:hanging="1137"/>
        <w:spacing w:after="0" w:line="289" w:lineRule="auto"/>
        <w:tabs>
          <w:tab w:leader="none" w:pos="2354" w:val="left"/>
        </w:tabs>
        <w:numPr>
          <w:ilvl w:val="1"/>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9" w:lineRule="exact"/>
        <w:rPr>
          <w:rFonts w:ascii="Times New Roman" w:cs="Times New Roman" w:eastAsia="Times New Roman" w:hAnsi="Times New Roman"/>
          <w:sz w:val="17"/>
          <w:szCs w:val="17"/>
          <w:color w:val="auto"/>
        </w:rPr>
      </w:pPr>
    </w:p>
    <w:p>
      <w:pPr>
        <w:ind w:left="1220" w:right="260" w:hanging="1212"/>
        <w:spacing w:after="0" w:line="266" w:lineRule="auto"/>
        <w:tabs>
          <w:tab w:leader="none" w:pos="12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2360" w:right="160" w:hanging="1137"/>
        <w:spacing w:after="0" w:line="266" w:lineRule="auto"/>
        <w:tabs>
          <w:tab w:leader="none" w:pos="2357"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2360" w:right="540" w:hanging="1137"/>
        <w:spacing w:after="0" w:line="282" w:lineRule="auto"/>
        <w:tabs>
          <w:tab w:leader="none" w:pos="2354"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ind w:left="20"/>
        <w:spacing w:after="0"/>
        <w:tabs>
          <w:tab w:leader="none" w:pos="5380" w:val="left"/>
          <w:tab w:leader="none" w:pos="7960" w:val="left"/>
        </w:tabs>
        <w:rPr>
          <w:sz w:val="20"/>
          <w:szCs w:val="20"/>
          <w:color w:val="auto"/>
        </w:rPr>
      </w:pPr>
      <w:r>
        <w:rPr>
          <w:rFonts w:ascii="Times New Roman" w:cs="Times New Roman" w:eastAsia="Times New Roman" w:hAnsi="Times New Roman"/>
          <w:sz w:val="18"/>
          <w:szCs w:val="18"/>
          <w:color w:val="auto"/>
        </w:rPr>
        <w:t>Date: November 7,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Derek Watson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26035</wp:posOffset>
            </wp:positionV>
            <wp:extent cx="33604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7">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32" w:lineRule="exact"/>
        <w:rPr>
          <w:sz w:val="20"/>
          <w:szCs w:val="20"/>
          <w:color w:val="auto"/>
        </w:rPr>
      </w:pPr>
    </w:p>
    <w:p>
      <w:pPr>
        <w:jc w:val="center"/>
        <w:ind w:left="5920"/>
        <w:spacing w:after="0"/>
        <w:rPr>
          <w:sz w:val="20"/>
          <w:szCs w:val="20"/>
          <w:color w:val="auto"/>
        </w:rPr>
      </w:pPr>
      <w:r>
        <w:rPr>
          <w:rFonts w:ascii="Times New Roman" w:cs="Times New Roman" w:eastAsia="Times New Roman" w:hAnsi="Times New Roman"/>
          <w:sz w:val="16"/>
          <w:szCs w:val="16"/>
          <w:b w:val="1"/>
          <w:bCs w:val="1"/>
          <w:color w:val="auto"/>
        </w:rPr>
        <w:t>Derek Watson</w:t>
      </w:r>
    </w:p>
    <w:p>
      <w:pPr>
        <w:spacing w:after="0" w:line="66"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ectPr>
          <w:pgSz w:w="11900" w:h="16838" w:orient="portrait"/>
          <w:cols w:equalWidth="0" w:num="1">
            <w:col w:w="11240"/>
          </w:cols>
          <w:pgMar w:left="320" w:top="1035"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240" w:firstLine="1134"/>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The Cannabist Company Holdings Inc. (the “Company”) on Form 10-Q for the period ending September 30, 2024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2360" w:hanging="1218"/>
        <w:spacing w:after="0"/>
        <w:tabs>
          <w:tab w:leader="none" w:pos="23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2360" w:right="560" w:hanging="1218"/>
        <w:spacing w:after="0" w:line="282" w:lineRule="auto"/>
        <w:tabs>
          <w:tab w:leader="none" w:pos="235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16" w:lineRule="exact"/>
        <w:rPr>
          <w:sz w:val="20"/>
          <w:szCs w:val="20"/>
          <w:color w:val="auto"/>
        </w:rPr>
      </w:pPr>
    </w:p>
    <w:p>
      <w:pPr>
        <w:ind w:left="20"/>
        <w:spacing w:after="0"/>
        <w:tabs>
          <w:tab w:leader="none" w:pos="5440" w:val="left"/>
          <w:tab w:leader="none" w:pos="8040" w:val="left"/>
        </w:tabs>
        <w:rPr>
          <w:sz w:val="20"/>
          <w:szCs w:val="20"/>
          <w:color w:val="auto"/>
        </w:rPr>
      </w:pPr>
      <w:r>
        <w:rPr>
          <w:rFonts w:ascii="Times New Roman" w:cs="Times New Roman" w:eastAsia="Times New Roman" w:hAnsi="Times New Roman"/>
          <w:sz w:val="18"/>
          <w:szCs w:val="18"/>
          <w:color w:val="auto"/>
        </w:rPr>
        <w:t>Date: November 7,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David 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26035</wp:posOffset>
            </wp:positionV>
            <wp:extent cx="33858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8">
                      <a:extLst>
                        <a:ext uri="{28A0092B-C50C-407E-A947-70E740481C1C}"/>
                      </a:extLst>
                    </a:blip>
                    <a:srcRect/>
                    <a:stretch>
                      <a:fillRect/>
                    </a:stretch>
                  </pic:blipFill>
                  <pic:spPr bwMode="auto">
                    <a:xfrm>
                      <a:off x="0" y="0"/>
                      <a:ext cx="3385820" cy="8255"/>
                    </a:xfrm>
                    <a:prstGeom prst="rect">
                      <a:avLst/>
                    </a:prstGeom>
                    <a:noFill/>
                  </pic:spPr>
                </pic:pic>
              </a:graphicData>
            </a:graphic>
          </wp:anchor>
        </w:drawing>
      </w:r>
    </w:p>
    <w:p>
      <w:pPr>
        <w:spacing w:after="0" w:line="32" w:lineRule="exact"/>
        <w:rPr>
          <w:sz w:val="20"/>
          <w:szCs w:val="20"/>
          <w:color w:val="auto"/>
        </w:rPr>
      </w:pPr>
    </w:p>
    <w:p>
      <w:pPr>
        <w:jc w:val="center"/>
        <w:ind w:left="5880"/>
        <w:spacing w:after="0"/>
        <w:rPr>
          <w:sz w:val="20"/>
          <w:szCs w:val="20"/>
          <w:color w:val="auto"/>
        </w:rPr>
      </w:pPr>
      <w:r>
        <w:rPr>
          <w:rFonts w:ascii="Times New Roman" w:cs="Times New Roman" w:eastAsia="Times New Roman" w:hAnsi="Times New Roman"/>
          <w:sz w:val="16"/>
          <w:szCs w:val="16"/>
          <w:b w:val="1"/>
          <w:bCs w:val="1"/>
          <w:color w:val="auto"/>
        </w:rPr>
        <w:t>David Hart</w:t>
      </w:r>
    </w:p>
    <w:p>
      <w:pPr>
        <w:spacing w:after="0" w:line="66"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ectPr>
          <w:pgSz w:w="11900" w:h="16838" w:orient="portrait"/>
          <w:cols w:equalWidth="0" w:num="1">
            <w:col w:w="11240"/>
          </w:cols>
          <w:pgMar w:left="320" w:top="1035" w:right="3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240" w:firstLine="1134"/>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The Cannabist Company Holdings Inc. (the “Company”) on Form 10-Q for the period ending September 30, 2024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2360" w:hanging="1218"/>
        <w:spacing w:after="0"/>
        <w:tabs>
          <w:tab w:leader="none" w:pos="23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2360" w:right="560" w:hanging="1218"/>
        <w:spacing w:after="0" w:line="282" w:lineRule="auto"/>
        <w:tabs>
          <w:tab w:leader="none" w:pos="235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16" w:lineRule="exact"/>
        <w:rPr>
          <w:sz w:val="20"/>
          <w:szCs w:val="20"/>
          <w:color w:val="auto"/>
        </w:rPr>
      </w:pPr>
    </w:p>
    <w:p>
      <w:pPr>
        <w:ind w:left="20"/>
        <w:spacing w:after="0"/>
        <w:tabs>
          <w:tab w:leader="none" w:pos="5440" w:val="left"/>
          <w:tab w:leader="none" w:pos="7940" w:val="left"/>
        </w:tabs>
        <w:rPr>
          <w:sz w:val="20"/>
          <w:szCs w:val="20"/>
          <w:color w:val="auto"/>
        </w:rPr>
      </w:pPr>
      <w:r>
        <w:rPr>
          <w:rFonts w:ascii="Times New Roman" w:cs="Times New Roman" w:eastAsia="Times New Roman" w:hAnsi="Times New Roman"/>
          <w:sz w:val="18"/>
          <w:szCs w:val="18"/>
          <w:color w:val="auto"/>
        </w:rPr>
        <w:t>Date: November 7,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Derek Watson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26035</wp:posOffset>
            </wp:positionV>
            <wp:extent cx="33858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9">
                      <a:extLst>
                        <a:ext uri="{28A0092B-C50C-407E-A947-70E740481C1C}"/>
                      </a:extLst>
                    </a:blip>
                    <a:srcRect/>
                    <a:stretch>
                      <a:fillRect/>
                    </a:stretch>
                  </pic:blipFill>
                  <pic:spPr bwMode="auto">
                    <a:xfrm>
                      <a:off x="0" y="0"/>
                      <a:ext cx="3385820" cy="8255"/>
                    </a:xfrm>
                    <a:prstGeom prst="rect">
                      <a:avLst/>
                    </a:prstGeom>
                    <a:noFill/>
                  </pic:spPr>
                </pic:pic>
              </a:graphicData>
            </a:graphic>
          </wp:anchor>
        </w:drawing>
      </w:r>
    </w:p>
    <w:p>
      <w:pPr>
        <w:spacing w:after="0" w:line="32" w:lineRule="exact"/>
        <w:rPr>
          <w:sz w:val="20"/>
          <w:szCs w:val="20"/>
          <w:color w:val="auto"/>
        </w:rPr>
      </w:pPr>
    </w:p>
    <w:p>
      <w:pPr>
        <w:jc w:val="center"/>
        <w:ind w:left="5880"/>
        <w:spacing w:after="0"/>
        <w:rPr>
          <w:sz w:val="20"/>
          <w:szCs w:val="20"/>
          <w:color w:val="auto"/>
        </w:rPr>
      </w:pPr>
      <w:r>
        <w:rPr>
          <w:rFonts w:ascii="Times New Roman" w:cs="Times New Roman" w:eastAsia="Times New Roman" w:hAnsi="Times New Roman"/>
          <w:sz w:val="16"/>
          <w:szCs w:val="16"/>
          <w:b w:val="1"/>
          <w:bCs w:val="1"/>
          <w:color w:val="auto"/>
        </w:rPr>
        <w:t>Derek Watson</w:t>
      </w:r>
    </w:p>
    <w:p>
      <w:pPr>
        <w:spacing w:after="0" w:line="66" w:lineRule="exact"/>
        <w:rPr>
          <w:sz w:val="20"/>
          <w:szCs w:val="20"/>
          <w:color w:val="auto"/>
        </w:rPr>
      </w:pPr>
    </w:p>
    <w:p>
      <w:pPr>
        <w:ind w:left="7680"/>
        <w:spacing w:after="0"/>
        <w:rPr>
          <w:sz w:val="20"/>
          <w:szCs w:val="20"/>
          <w:color w:val="auto"/>
        </w:rPr>
      </w:pPr>
      <w:r>
        <w:rPr>
          <w:rFonts w:ascii="Times New Roman" w:cs="Times New Roman" w:eastAsia="Times New Roman" w:hAnsi="Times New Roman"/>
          <w:sz w:val="18"/>
          <w:szCs w:val="18"/>
          <w:b w:val="1"/>
          <w:bCs w:val="1"/>
          <w:color w:val="auto"/>
        </w:rPr>
        <w:t>Chief Financial Officer</w:t>
      </w:r>
    </w:p>
    <w:sectPr>
      <w:pgSz w:w="11900" w:h="16838" w:orient="portrait"/>
      <w:cols w:equalWidth="0" w:num="1">
        <w:col w:w="11240"/>
      </w:cols>
      <w:pgMar w:left="320" w:top="103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F2DBA31"/>
    <w:multiLevelType w:val="hybridMultilevel"/>
    <w:lvl w:ilvl="0">
      <w:lvlJc w:val="left"/>
      <w:lvlText w:val="x"/>
      <w:numFmt w:val="bullet"/>
      <w:start w:val="1"/>
    </w:lvl>
  </w:abstractNum>
  <w:abstractNum w:abstractNumId="1">
    <w:nsid w:val="7C83E458"/>
    <w:multiLevelType w:val="hybridMultilevel"/>
    <w:lvl w:ilvl="0">
      <w:lvlJc w:val="left"/>
      <w:lvlText w:val="o"/>
      <w:numFmt w:val="bullet"/>
      <w:start w:val="1"/>
    </w:lvl>
  </w:abstractNum>
  <w:abstractNum w:abstractNumId="2">
    <w:nsid w:val="257130A3"/>
    <w:multiLevelType w:val="hybridMultilevel"/>
    <w:lvl w:ilvl="0">
      <w:lvlJc w:val="left"/>
      <w:lvlText w:val="•"/>
      <w:numFmt w:val="bullet"/>
      <w:start w:val="1"/>
    </w:lvl>
  </w:abstractNum>
  <w:abstractNum w:abstractNumId="3">
    <w:nsid w:val="62BBD95A"/>
    <w:multiLevelType w:val="hybridMultilevel"/>
    <w:lvl w:ilvl="0">
      <w:lvlJc w:val="left"/>
      <w:lvlText w:val="(%1)"/>
      <w:numFmt w:val="decimal"/>
      <w:start w:val="1"/>
    </w:lvl>
  </w:abstractNum>
  <w:abstractNum w:abstractNumId="4">
    <w:nsid w:val="436C6125"/>
    <w:multiLevelType w:val="hybridMultilevel"/>
    <w:lvl w:ilvl="0">
      <w:lvlJc w:val="left"/>
      <w:lvlText w:val="%1."/>
      <w:numFmt w:val="decimal"/>
      <w:start w:val="1"/>
    </w:lvl>
  </w:abstractNum>
  <w:abstractNum w:abstractNumId="5">
    <w:nsid w:val="628C895D"/>
    <w:multiLevelType w:val="hybridMultilevel"/>
    <w:lvl w:ilvl="0">
      <w:lvlJc w:val="left"/>
      <w:lvlText w:val="%1."/>
      <w:numFmt w:val="decimal"/>
      <w:start w:val="3"/>
    </w:lvl>
  </w:abstractNum>
  <w:abstractNum w:abstractNumId="6">
    <w:nsid w:val="333AB105"/>
    <w:multiLevelType w:val="hybridMultilevel"/>
    <w:lvl w:ilvl="0">
      <w:lvlJc w:val="left"/>
      <w:lvlText w:val="%1."/>
      <w:numFmt w:val="decimal"/>
      <w:start w:val="4"/>
    </w:lvl>
  </w:abstractNum>
  <w:abstractNum w:abstractNumId="7">
    <w:nsid w:val="721DA317"/>
    <w:multiLevelType w:val="hybridMultilevel"/>
    <w:lvl w:ilvl="0">
      <w:lvlJc w:val="left"/>
      <w:lvlText w:val="•"/>
      <w:numFmt w:val="bullet"/>
      <w:start w:val="1"/>
    </w:lvl>
  </w:abstractNum>
  <w:abstractNum w:abstractNumId="8">
    <w:nsid w:val="2443A858"/>
    <w:multiLevelType w:val="hybridMultilevel"/>
    <w:lvl w:ilvl="0">
      <w:lvlJc w:val="left"/>
      <w:lvlText w:val="•"/>
      <w:numFmt w:val="bullet"/>
      <w:start w:val="1"/>
    </w:lvl>
  </w:abstractNum>
  <w:abstractNum w:abstractNumId="9">
    <w:nsid w:val="2D1D5AE9"/>
    <w:multiLevelType w:val="hybridMultilevel"/>
    <w:lvl w:ilvl="0">
      <w:lvlJc w:val="left"/>
      <w:lvlText w:val="•"/>
      <w:numFmt w:val="bullet"/>
      <w:start w:val="1"/>
    </w:lvl>
  </w:abstractNum>
  <w:abstractNum w:abstractNumId="10">
    <w:nsid w:val="6763845E"/>
    <w:multiLevelType w:val="hybridMultilevel"/>
    <w:lvl w:ilvl="0">
      <w:lvlJc w:val="left"/>
      <w:lvlText w:val="•"/>
      <w:numFmt w:val="bullet"/>
      <w:start w:val="1"/>
    </w:lvl>
  </w:abstractNum>
  <w:abstractNum w:abstractNumId="11">
    <w:nsid w:val="75A2A8D4"/>
    <w:multiLevelType w:val="hybridMultilevel"/>
    <w:lvl w:ilvl="0">
      <w:lvlJc w:val="left"/>
      <w:lvlText w:val="%1."/>
      <w:numFmt w:val="decimal"/>
      <w:start w:val="9"/>
    </w:lvl>
    <w:lvl w:ilvl="1">
      <w:lvlJc w:val="left"/>
      <w:lvlText w:val="•"/>
      <w:numFmt w:val="bullet"/>
      <w:start w:val="1"/>
    </w:lvl>
  </w:abstractNum>
  <w:abstractNum w:abstractNumId="12">
    <w:nsid w:val="8EDBDAB"/>
    <w:multiLevelType w:val="hybridMultilevel"/>
    <w:lvl w:ilvl="0">
      <w:lvlJc w:val="left"/>
      <w:lvlText w:val="%1."/>
      <w:numFmt w:val="decimal"/>
      <w:start w:val="13"/>
    </w:lvl>
  </w:abstractNum>
  <w:abstractNum w:abstractNumId="13">
    <w:nsid w:val="79838CB2"/>
    <w:multiLevelType w:val="hybridMultilevel"/>
    <w:lvl w:ilvl="0">
      <w:lvlJc w:val="left"/>
      <w:lvlText w:val="•"/>
      <w:numFmt w:val="bullet"/>
      <w:start w:val="1"/>
    </w:lvl>
  </w:abstractNum>
  <w:abstractNum w:abstractNumId="14">
    <w:nsid w:val="4353D0CD"/>
    <w:multiLevelType w:val="hybridMultilevel"/>
    <w:lvl w:ilvl="0">
      <w:lvlJc w:val="left"/>
      <w:lvlText w:val="•"/>
      <w:numFmt w:val="bullet"/>
      <w:start w:val="1"/>
    </w:lvl>
  </w:abstractNum>
  <w:abstractNum w:abstractNumId="15">
    <w:nsid w:val="B03E0C6"/>
    <w:multiLevelType w:val="hybridMultilevel"/>
    <w:lvl w:ilvl="0">
      <w:lvlJc w:val="left"/>
      <w:lvlText w:val="•"/>
      <w:numFmt w:val="bullet"/>
      <w:start w:val="1"/>
    </w:lvl>
  </w:abstractNum>
  <w:abstractNum w:abstractNumId="16">
    <w:nsid w:val="189A769B"/>
    <w:multiLevelType w:val="hybridMultilevel"/>
    <w:lvl w:ilvl="0">
      <w:lvlJc w:val="left"/>
      <w:lvlText w:val="(%1)"/>
      <w:numFmt w:val="decimal"/>
      <w:start w:val="1"/>
    </w:lvl>
  </w:abstractNum>
  <w:abstractNum w:abstractNumId="17">
    <w:nsid w:val="54E49EB4"/>
    <w:multiLevelType w:val="hybridMultilevel"/>
    <w:lvl w:ilvl="0">
      <w:lvlJc w:val="left"/>
      <w:lvlText w:val="%1)"/>
      <w:numFmt w:val="lowerLetter"/>
      <w:start w:val="1"/>
    </w:lvl>
  </w:abstractNum>
  <w:abstractNum w:abstractNumId="18">
    <w:nsid w:val="71F32454"/>
    <w:multiLevelType w:val="hybridMultilevel"/>
    <w:lvl w:ilvl="0">
      <w:lvlJc w:val="left"/>
      <w:lvlText w:val="%1)"/>
      <w:numFmt w:val="lowerLetter"/>
      <w:start w:val="2"/>
    </w:lvl>
  </w:abstractNum>
  <w:abstractNum w:abstractNumId="19">
    <w:nsid w:val="2CA88611"/>
    <w:multiLevelType w:val="hybridMultilevel"/>
    <w:lvl w:ilvl="0">
      <w:lvlJc w:val="left"/>
      <w:lvlText w:val="(%1)"/>
      <w:numFmt w:val="decimal"/>
      <w:start w:val="1"/>
    </w:lvl>
  </w:abstractNum>
  <w:abstractNum w:abstractNumId="20">
    <w:nsid w:val="836C40E"/>
    <w:multiLevelType w:val="hybridMultilevel"/>
    <w:lvl w:ilvl="0">
      <w:lvlJc w:val="left"/>
      <w:lvlText w:val="(%1)"/>
      <w:numFmt w:val="decimal"/>
      <w:start w:val="3"/>
    </w:lvl>
  </w:abstractNum>
  <w:abstractNum w:abstractNumId="21">
    <w:nsid w:val="2901D82"/>
    <w:multiLevelType w:val="hybridMultilevel"/>
    <w:lvl w:ilvl="0">
      <w:lvlJc w:val="left"/>
      <w:lvlText w:val="(%1)"/>
      <w:numFmt w:val="lowerRoman"/>
      <w:start w:val="6"/>
    </w:lvl>
  </w:abstractNum>
  <w:abstractNum w:abstractNumId="22">
    <w:nsid w:val="3A95F874"/>
    <w:multiLevelType w:val="hybridMultilevel"/>
    <w:lvl w:ilvl="0">
      <w:lvlJc w:val="left"/>
      <w:lvlText w:val="(%1)"/>
      <w:numFmt w:val="decimal"/>
      <w:start w:val="5"/>
    </w:lvl>
  </w:abstractNum>
  <w:abstractNum w:abstractNumId="23">
    <w:nsid w:val="8138641"/>
    <w:multiLevelType w:val="hybridMultilevel"/>
    <w:lvl w:ilvl="0">
      <w:lvlJc w:val="left"/>
      <w:lvlText w:val="•"/>
      <w:numFmt w:val="bullet"/>
      <w:start w:val="1"/>
    </w:lvl>
  </w:abstractNum>
  <w:abstractNum w:abstractNumId="24">
    <w:nsid w:val="1E7FF521"/>
    <w:multiLevelType w:val="hybridMultilevel"/>
    <w:lvl w:ilvl="0">
      <w:lvlJc w:val="left"/>
      <w:lvlText w:val="•"/>
      <w:numFmt w:val="bullet"/>
      <w:start w:val="1"/>
    </w:lvl>
    <w:lvl w:ilvl="1">
      <w:lvlJc w:val="left"/>
      <w:lvlText w:val="o"/>
      <w:numFmt w:val="bullet"/>
      <w:start w:val="1"/>
    </w:lvl>
  </w:abstractNum>
  <w:abstractNum w:abstractNumId="25">
    <w:nsid w:val="7C3DBD3D"/>
    <w:multiLevelType w:val="hybridMultilevel"/>
    <w:lvl w:ilvl="0">
      <w:lvlJc w:val="left"/>
      <w:lvlText w:val="%1."/>
      <w:numFmt w:val="decimal"/>
      <w:start w:val="1"/>
    </w:lvl>
  </w:abstractNum>
  <w:abstractNum w:abstractNumId="26">
    <w:nsid w:val="737B8DDC"/>
    <w:multiLevelType w:val="hybridMultilevel"/>
    <w:lvl w:ilvl="0">
      <w:lvlJc w:val="left"/>
      <w:lvlText w:val="%1."/>
      <w:numFmt w:val="decimal"/>
      <w:start w:val="5"/>
    </w:lvl>
  </w:abstractNum>
  <w:abstractNum w:abstractNumId="27">
    <w:nsid w:val="6CEAF087"/>
    <w:multiLevelType w:val="hybridMultilevel"/>
    <w:lvl w:ilvl="0">
      <w:lvlJc w:val="left"/>
      <w:lvlText w:val="%1."/>
      <w:numFmt w:val="decimal"/>
      <w:start w:val="6"/>
    </w:lvl>
  </w:abstractNum>
  <w:abstractNum w:abstractNumId="28">
    <w:nsid w:val="22221A70"/>
    <w:multiLevelType w:val="hybridMultilevel"/>
    <w:lvl w:ilvl="0">
      <w:lvlJc w:val="left"/>
      <w:lvlText w:val="%1."/>
      <w:numFmt w:val="decimal"/>
      <w:start w:val="7"/>
    </w:lvl>
  </w:abstractNum>
  <w:abstractNum w:abstractNumId="29">
    <w:nsid w:val="4516DDE9"/>
    <w:multiLevelType w:val="hybridMultilevel"/>
    <w:lvl w:ilvl="0">
      <w:lvlJc w:val="left"/>
      <w:lvlText w:val="%1."/>
      <w:numFmt w:val="decimal"/>
      <w:start w:val="1"/>
    </w:lvl>
    <w:lvl w:ilvl="1">
      <w:lvlJc w:val="left"/>
      <w:lvlText w:val="(%2)"/>
      <w:numFmt w:val="lowerLetter"/>
      <w:start w:val="5"/>
    </w:lvl>
    <w:lvl w:ilvl="2">
      <w:lvlJc w:val="left"/>
      <w:lvlText w:val="(%3)"/>
      <w:numFmt w:val="lowerLetter"/>
      <w:start w:val="9"/>
    </w:lvl>
  </w:abstractNum>
  <w:abstractNum w:abstractNumId="30">
    <w:nsid w:val="3006C83E"/>
    <w:multiLevelType w:val="hybridMultilevel"/>
    <w:lvl w:ilvl="0">
      <w:lvlJc w:val="left"/>
      <w:lvlText w:val="%1"/>
      <w:numFmt w:val="decimal"/>
      <w:start w:val="1"/>
    </w:lvl>
    <w:lvl w:ilvl="1">
      <w:lvlJc w:val="left"/>
      <w:lvlText w:val="(%2)"/>
      <w:numFmt w:val="lowerRoman"/>
      <w:start w:val="2"/>
    </w:lvl>
  </w:abstractNum>
  <w:abstractNum w:abstractNumId="31">
    <w:nsid w:val="614FD4A1"/>
    <w:multiLevelType w:val="hybridMultilevel"/>
    <w:lvl w:ilvl="0">
      <w:lvlJc w:val="left"/>
      <w:lvlText w:val="%1."/>
      <w:numFmt w:val="decimal"/>
      <w:start w:val="3"/>
    </w:lvl>
    <w:lvl w:ilvl="1">
      <w:lvlJc w:val="left"/>
      <w:lvlText w:val="%2"/>
      <w:numFmt w:val="lowerRoman"/>
      <w:start w:val="1"/>
    </w:lvl>
  </w:abstractNum>
  <w:abstractNum w:abstractNumId="32">
    <w:nsid w:val="419AC241"/>
    <w:multiLevelType w:val="hybridMultilevel"/>
    <w:lvl w:ilvl="0">
      <w:lvlJc w:val="left"/>
      <w:lvlText w:val="%1."/>
      <w:numFmt w:val="decimal"/>
      <w:start w:val="1"/>
    </w:lvl>
    <w:lvl w:ilvl="1">
      <w:lvlJc w:val="left"/>
      <w:lvlText w:val="(%2)"/>
      <w:numFmt w:val="lowerLetter"/>
      <w:start w:val="1"/>
    </w:lvl>
  </w:abstractNum>
  <w:abstractNum w:abstractNumId="33">
    <w:nsid w:val="5577F8E1"/>
    <w:multiLevelType w:val="hybridMultilevel"/>
    <w:lvl w:ilvl="0">
      <w:lvlJc w:val="left"/>
      <w:lvlText w:val="%1."/>
      <w:numFmt w:val="decimal"/>
      <w:start w:val="1"/>
    </w:lvl>
    <w:lvl w:ilvl="1">
      <w:lvlJc w:val="left"/>
      <w:lvlText w:val="(%2)"/>
      <w:numFmt w:val="lowerLetter"/>
      <w:start w:val="1"/>
    </w:lvl>
  </w:abstractNum>
  <w:abstractNum w:abstractNumId="34">
    <w:nsid w:val="440BADFC"/>
    <w:multiLevelType w:val="hybridMultilevel"/>
    <w:lvl w:ilvl="0">
      <w:lvlJc w:val="left"/>
      <w:lvlText w:val="(%1)"/>
      <w:numFmt w:val="decimal"/>
      <w:start w:val="1"/>
    </w:lvl>
  </w:abstractNum>
  <w:abstractNum w:abstractNumId="35">
    <w:nsid w:val="507236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110" Type="http://schemas.openxmlformats.org/officeDocument/2006/relationships/image" Target="media/image88.png"/><Relationship Id="rId119" Type="http://schemas.openxmlformats.org/officeDocument/2006/relationships/image" Target="media/image89.png"/><Relationship Id="rId120" Type="http://schemas.openxmlformats.org/officeDocument/2006/relationships/image" Target="media/image90.png"/><Relationship Id="rId121" Type="http://schemas.openxmlformats.org/officeDocument/2006/relationships/image" Target="media/image91.jpeg"/><Relationship Id="rId122" Type="http://schemas.openxmlformats.org/officeDocument/2006/relationships/image" Target="media/image92.png"/><Relationship Id="rId123" Type="http://schemas.openxmlformats.org/officeDocument/2006/relationships/image" Target="media/image93.jpeg"/><Relationship Id="rId124" Type="http://schemas.openxmlformats.org/officeDocument/2006/relationships/image" Target="media/image94.png"/><Relationship Id="rId125" Type="http://schemas.openxmlformats.org/officeDocument/2006/relationships/image" Target="media/image95.jpeg"/><Relationship Id="rId126" Type="http://schemas.openxmlformats.org/officeDocument/2006/relationships/image" Target="media/image96.png"/><Relationship Id="rId127" Type="http://schemas.openxmlformats.org/officeDocument/2006/relationships/image" Target="media/image97.jpeg"/><Relationship Id="rId128" Type="http://schemas.openxmlformats.org/officeDocument/2006/relationships/image" Target="media/image98.png"/><Relationship Id="rId129" Type="http://schemas.openxmlformats.org/officeDocument/2006/relationships/image" Target="media/image99.jpeg"/><Relationship Id="rId130" Type="http://schemas.openxmlformats.org/officeDocument/2006/relationships/image" Target="media/image100.png"/><Relationship Id="rId131" Type="http://schemas.openxmlformats.org/officeDocument/2006/relationships/image" Target="media/image101.png"/><Relationship Id="rId132" Type="http://schemas.openxmlformats.org/officeDocument/2006/relationships/image" Target="media/image102.png"/><Relationship Id="rId133" Type="http://schemas.openxmlformats.org/officeDocument/2006/relationships/image" Target="media/image103.png"/><Relationship Id="rId134" Type="http://schemas.openxmlformats.org/officeDocument/2006/relationships/image" Target="media/image104.png"/><Relationship Id="rId135" Type="http://schemas.openxmlformats.org/officeDocument/2006/relationships/image" Target="media/image105.png"/><Relationship Id="rId136" Type="http://schemas.openxmlformats.org/officeDocument/2006/relationships/image" Target="media/image106.png"/><Relationship Id="rId137" Type="http://schemas.openxmlformats.org/officeDocument/2006/relationships/image" Target="media/image107.png"/><Relationship Id="rId138" Type="http://schemas.openxmlformats.org/officeDocument/2006/relationships/image" Target="media/image108.png"/><Relationship Id="rId139" Type="http://schemas.openxmlformats.org/officeDocument/2006/relationships/image" Target="media/image109.png"/><Relationship Id="rId95" Type="http://schemas.openxmlformats.org/officeDocument/2006/relationships/hyperlink" Target="https://www.sec.gov/Archives/edgar/data/1776738/000119312522088069/d292116dex21.htm" TargetMode="External"/><Relationship Id="rId96" Type="http://schemas.openxmlformats.org/officeDocument/2006/relationships/hyperlink" Target="https://www.sec.gov/Archives/edgar/data/1776738/000119312523054004/d469358dex21.htm" TargetMode="External"/><Relationship Id="rId97" Type="http://schemas.openxmlformats.org/officeDocument/2006/relationships/hyperlink" Target="https://www.sec.gov/Archives/edgar/data/1776738/000119312521356939/d252333dex31.htm" TargetMode="External"/><Relationship Id="rId98" Type="http://schemas.openxmlformats.org/officeDocument/2006/relationships/hyperlink" Target="https://www.sec.gov/Archives/edgar/data/1776738/000119312523239776/d471022dex32.htm" TargetMode="External"/><Relationship Id="rId99" Type="http://schemas.openxmlformats.org/officeDocument/2006/relationships/hyperlink" Target="https://www.sec.gov/Archives/edgar/data/1776738/000119312521356939/d252333dex41.htm" TargetMode="External"/><Relationship Id="rId100" Type="http://schemas.openxmlformats.org/officeDocument/2006/relationships/hyperlink" Target="https://www.sec.gov/Archives/edgar/data/1776738/000119312521356939/d252333dex42.htm" TargetMode="External"/><Relationship Id="rId101" Type="http://schemas.openxmlformats.org/officeDocument/2006/relationships/hyperlink" Target="https://www.sec.gov/Archives/edgar/data/1776738/000119312521356939/d252333dex43.htm" TargetMode="External"/><Relationship Id="rId102" Type="http://schemas.openxmlformats.org/officeDocument/2006/relationships/hyperlink" Target="https://www.sec.gov/Archives/edgar/data/1776738/000119312521356939/d252333dex44.htm" TargetMode="External"/><Relationship Id="rId103" Type="http://schemas.openxmlformats.org/officeDocument/2006/relationships/hyperlink" Target="https://www.sec.gov/Archives/edgar/data/1776738/000119312521356939/d252333dex45.htm" TargetMode="External"/><Relationship Id="rId104" Type="http://schemas.openxmlformats.org/officeDocument/2006/relationships/hyperlink" Target="https://www.sec.gov/Archives/edgar/data/1776738/000119312521356939/d252333dex46.htm" TargetMode="External"/><Relationship Id="rId105" Type="http://schemas.openxmlformats.org/officeDocument/2006/relationships/hyperlink" Target="https://www.sec.gov/Archives/edgar/data/1776738/000119312521356939/d252333dex47.htm" TargetMode="External"/><Relationship Id="rId106" Type="http://schemas.openxmlformats.org/officeDocument/2006/relationships/hyperlink" Target="https://www.sec.gov/Archives/edgar/data/1776738/000119312521356939/d252333dex48.htm" TargetMode="External"/><Relationship Id="rId107" Type="http://schemas.openxmlformats.org/officeDocument/2006/relationships/hyperlink" Target="https://www.sec.gov/Archives/edgar/data/1776738/000119312521356939/d252333dex49.htm" TargetMode="External"/><Relationship Id="rId108" Type="http://schemas.openxmlformats.org/officeDocument/2006/relationships/hyperlink" Target="https://www.sec.gov/Archives/edgar/data/1776738/000119312522021793/d252333dex410.htm" TargetMode="External"/><Relationship Id="rId109" Type="http://schemas.openxmlformats.org/officeDocument/2006/relationships/hyperlink" Target="https://www.sec.gov/Archives/edgar/data/1776738/000119312522043452/d252333dex411.htm" TargetMode="External"/><Relationship Id="rId111" Type="http://schemas.openxmlformats.org/officeDocument/2006/relationships/hyperlink" Target="https://www.sec.gov/Archives/edgar/data/1776738/000119312522043452/d252333dex412.htm" TargetMode="External"/><Relationship Id="rId112" Type="http://schemas.openxmlformats.org/officeDocument/2006/relationships/hyperlink" Target="https://www.sec.gov/Archives/edgar/data/1776738/000119312522147204/d315456dex41.htm" TargetMode="External"/><Relationship Id="rId113" Type="http://schemas.openxmlformats.org/officeDocument/2006/relationships/hyperlink" Target="https://www.sec.gov/Archives/edgar/data/1776738/000095017023010606/cchwf-ex4_14.htm" TargetMode="External"/><Relationship Id="rId114" Type="http://schemas.openxmlformats.org/officeDocument/2006/relationships/hyperlink" Target="https://www.sec.gov/Archives/edgar/data/1776738/000095017024056768/cbstf-ex4_15.htm" TargetMode="External"/><Relationship Id="rId115" Type="http://schemas.openxmlformats.org/officeDocument/2006/relationships/hyperlink" Target="https://www.sec.gov/Archives/edgar/data/1776738/000119312524072818/d540760d8k.htm" TargetMode="External"/><Relationship Id="rId116" Type="http://schemas.openxmlformats.org/officeDocument/2006/relationships/hyperlink" Target="https://www.sec.gov/ix?doc=/Archives/edgar/data/0001776738/000119312524189395/d609884d8k.htm" TargetMode="External"/><Relationship Id="rId117" Type="http://schemas.openxmlformats.org/officeDocument/2006/relationships/hyperlink" Target="https://www.sec.gov/Archives/edgar/data/1776738/000119312524204898/d877670d8k.htm" TargetMode="External"/><Relationship Id="rId118" Type="http://schemas.openxmlformats.org/officeDocument/2006/relationships/hyperlink" Target="https://www.sec.gov/Archives/edgar/data/1776738/000119312524207757/d891082d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2024-11-07T13:53:56Z</dcterms:created>
  <dcterms:modified xsi:type="dcterms:W3CDTF">2024-11-07T13:53:56Z</dcterms:modified>
</cp:coreProperties>
</file>