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4"/>
          <w:szCs w:val="4"/>
          <w:color w:val="auto"/>
        </w:rPr>
        <w:t>sni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4" w:lineRule="exact"/>
        <w:rPr>
          <w:sz w:val="24"/>
          <w:szCs w:val="24"/>
          <w:color w:val="auto"/>
        </w:rPr>
      </w:pPr>
    </w:p>
    <w:p>
      <w:pPr>
        <w:ind w:left="4920"/>
        <w:spacing w:after="0"/>
        <w:rPr>
          <w:sz w:val="20"/>
          <w:szCs w:val="20"/>
          <w:color w:val="auto"/>
        </w:rPr>
      </w:pPr>
      <w:r>
        <w:rPr>
          <w:rFonts w:ascii="Arial" w:cs="Arial" w:eastAsia="Arial" w:hAnsi="Arial"/>
          <w:sz w:val="18"/>
          <w:szCs w:val="18"/>
          <w:b w:val="1"/>
          <w:bCs w:val="1"/>
          <w:color w:val="auto"/>
        </w:rPr>
        <w:t>UNITED STATES</w:t>
      </w:r>
    </w:p>
    <w:p>
      <w:pPr>
        <w:ind w:left="3680"/>
        <w:spacing w:after="0" w:line="205" w:lineRule="auto"/>
        <w:rPr>
          <w:sz w:val="20"/>
          <w:szCs w:val="20"/>
          <w:color w:val="auto"/>
        </w:rPr>
      </w:pPr>
      <w:r>
        <w:rPr>
          <w:rFonts w:ascii="Arial" w:cs="Arial" w:eastAsia="Arial" w:hAnsi="Arial"/>
          <w:sz w:val="18"/>
          <w:szCs w:val="18"/>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107315</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128270</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ind w:left="3660" w:right="1620" w:hanging="3639"/>
        <w:spacing w:after="0" w:line="328" w:lineRule="auto"/>
        <w:tabs>
          <w:tab w:leader="none" w:pos="482"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September 30, 2022</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76" w:lineRule="exact"/>
        <w:rPr>
          <w:sz w:val="24"/>
          <w:szCs w:val="24"/>
          <w:color w:val="auto"/>
        </w:rPr>
      </w:pPr>
    </w:p>
    <w:p>
      <w:pPr>
        <w:ind w:left="4160" w:right="1620" w:hanging="4139"/>
        <w:spacing w:after="0" w:line="343" w:lineRule="auto"/>
        <w:tabs>
          <w:tab w:leader="none" w:pos="476"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For the transition period from __to __</w:t>
      </w:r>
    </w:p>
    <w:p>
      <w:pPr>
        <w:spacing w:after="0" w:line="1" w:lineRule="exact"/>
        <w:rPr>
          <w:rFonts w:ascii="MS PGothic" w:cs="MS PGothic" w:eastAsia="MS PGothic" w:hAnsi="MS PGothic"/>
          <w:sz w:val="18"/>
          <w:szCs w:val="18"/>
          <w:color w:val="auto"/>
          <w:highlight w:val="black"/>
        </w:rPr>
      </w:pPr>
    </w:p>
    <w:p>
      <w:pPr>
        <w:ind w:left="420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Commission File Number: 000-56294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128270</wp:posOffset>
            </wp:positionV>
            <wp:extent cx="1430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020" cy="8255"/>
                    </a:xfrm>
                    <a:prstGeom prst="rect">
                      <a:avLst/>
                    </a:prstGeom>
                    <a:noFill/>
                  </pic:spPr>
                </pic:pic>
              </a:graphicData>
            </a:graphic>
          </wp:anchor>
        </w:drawing>
        <w:drawing>
          <wp:anchor simplePos="0" relativeHeight="251657728" behindDoc="1" locked="0" layoutInCell="0" allowOverlap="1">
            <wp:simplePos x="0" y="0"/>
            <wp:positionH relativeFrom="column">
              <wp:posOffset>2830830</wp:posOffset>
            </wp:positionH>
            <wp:positionV relativeFrom="paragraph">
              <wp:posOffset>205740</wp:posOffset>
            </wp:positionV>
            <wp:extent cx="1447165" cy="641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7165" cy="6419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COLUMBIA CARE INC.</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132715</wp:posOffset>
            </wp:positionV>
            <wp:extent cx="1430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355"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5220" w:type="dxa"/>
            <w:vAlign w:val="bottom"/>
            <w:gridSpan w:val="4"/>
          </w:tcPr>
          <w:p>
            <w:pPr>
              <w:jc w:val="center"/>
              <w:ind w:left="330"/>
              <w:spacing w:after="0"/>
              <w:rPr>
                <w:sz w:val="20"/>
                <w:szCs w:val="20"/>
                <w:color w:val="auto"/>
              </w:rPr>
            </w:pPr>
            <w:r>
              <w:rPr>
                <w:rFonts w:ascii="Arial" w:cs="Arial" w:eastAsia="Arial" w:hAnsi="Arial"/>
                <w:sz w:val="18"/>
                <w:szCs w:val="18"/>
                <w:b w:val="1"/>
                <w:bCs w:val="1"/>
                <w:color w:val="auto"/>
                <w:w w:val="91"/>
              </w:rPr>
              <w:t>British Columbia</w:t>
            </w:r>
          </w:p>
        </w:tc>
        <w:tc>
          <w:tcPr>
            <w:tcW w:w="1520" w:type="dxa"/>
            <w:vAlign w:val="bottom"/>
          </w:tcPr>
          <w:p>
            <w:pPr>
              <w:spacing w:after="0"/>
              <w:rPr>
                <w:sz w:val="17"/>
                <w:szCs w:val="17"/>
                <w:color w:val="auto"/>
              </w:rPr>
            </w:pPr>
          </w:p>
        </w:tc>
        <w:tc>
          <w:tcPr>
            <w:tcW w:w="4500" w:type="dxa"/>
            <w:vAlign w:val="bottom"/>
            <w:gridSpan w:val="3"/>
          </w:tcPr>
          <w:p>
            <w:pPr>
              <w:jc w:val="right"/>
              <w:ind w:right="2270"/>
              <w:spacing w:after="0"/>
              <w:rPr>
                <w:sz w:val="20"/>
                <w:szCs w:val="20"/>
                <w:color w:val="auto"/>
              </w:rPr>
            </w:pPr>
            <w:r>
              <w:rPr>
                <w:rFonts w:ascii="Arial" w:cs="Arial" w:eastAsia="Arial" w:hAnsi="Arial"/>
                <w:sz w:val="18"/>
                <w:szCs w:val="18"/>
                <w:b w:val="1"/>
                <w:bCs w:val="1"/>
                <w:color w:val="auto"/>
              </w:rPr>
              <w:t>98-1488978</w:t>
            </w:r>
          </w:p>
        </w:tc>
        <w:tc>
          <w:tcPr>
            <w:tcW w:w="0" w:type="dxa"/>
            <w:vAlign w:val="bottom"/>
          </w:tcPr>
          <w:p>
            <w:pPr>
              <w:spacing w:after="0"/>
              <w:rPr>
                <w:sz w:val="1"/>
                <w:szCs w:val="1"/>
                <w:color w:val="auto"/>
              </w:rPr>
            </w:pPr>
          </w:p>
        </w:tc>
      </w:tr>
      <w:tr>
        <w:trPr>
          <w:trHeight w:val="194"/>
        </w:trPr>
        <w:tc>
          <w:tcPr>
            <w:tcW w:w="5220" w:type="dxa"/>
            <w:vAlign w:val="bottom"/>
            <w:gridSpan w:val="4"/>
          </w:tcPr>
          <w:p>
            <w:pPr>
              <w:jc w:val="center"/>
              <w:ind w:left="330"/>
              <w:spacing w:after="0" w:line="194" w:lineRule="exact"/>
              <w:rPr>
                <w:sz w:val="20"/>
                <w:szCs w:val="20"/>
                <w:color w:val="auto"/>
              </w:rPr>
            </w:pPr>
            <w:r>
              <w:rPr>
                <w:rFonts w:ascii="Arial" w:cs="Arial" w:eastAsia="Arial" w:hAnsi="Arial"/>
                <w:sz w:val="18"/>
                <w:szCs w:val="18"/>
                <w:b w:val="1"/>
                <w:bCs w:val="1"/>
                <w:color w:val="auto"/>
                <w:w w:val="90"/>
              </w:rPr>
              <w:t>(State or other jurisdiction of</w:t>
            </w:r>
          </w:p>
        </w:tc>
        <w:tc>
          <w:tcPr>
            <w:tcW w:w="1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360" w:type="dxa"/>
            <w:vAlign w:val="bottom"/>
          </w:tcPr>
          <w:p>
            <w:pPr>
              <w:jc w:val="center"/>
              <w:ind w:right="1170"/>
              <w:spacing w:after="0" w:line="194" w:lineRule="exact"/>
              <w:rPr>
                <w:sz w:val="20"/>
                <w:szCs w:val="20"/>
                <w:color w:val="auto"/>
              </w:rPr>
            </w:pPr>
            <w:r>
              <w:rPr>
                <w:rFonts w:ascii="Arial" w:cs="Arial" w:eastAsia="Arial" w:hAnsi="Arial"/>
                <w:sz w:val="18"/>
                <w:szCs w:val="18"/>
                <w:b w:val="1"/>
                <w:bCs w:val="1"/>
                <w:color w:val="auto"/>
                <w:w w:val="94"/>
              </w:rPr>
              <w:t>(I.R.S. Employer</w:t>
            </w:r>
          </w:p>
        </w:tc>
        <w:tc>
          <w:tcPr>
            <w:tcW w:w="0" w:type="dxa"/>
            <w:vAlign w:val="bottom"/>
          </w:tcPr>
          <w:p>
            <w:pPr>
              <w:spacing w:after="0"/>
              <w:rPr>
                <w:sz w:val="1"/>
                <w:szCs w:val="1"/>
                <w:color w:val="auto"/>
              </w:rPr>
            </w:pPr>
          </w:p>
        </w:tc>
      </w:tr>
      <w:tr>
        <w:trPr>
          <w:trHeight w:val="197"/>
        </w:trPr>
        <w:tc>
          <w:tcPr>
            <w:tcW w:w="5220" w:type="dxa"/>
            <w:vAlign w:val="bottom"/>
            <w:gridSpan w:val="4"/>
          </w:tcPr>
          <w:p>
            <w:pPr>
              <w:jc w:val="center"/>
              <w:ind w:left="330"/>
              <w:spacing w:after="0" w:line="197" w:lineRule="exact"/>
              <w:rPr>
                <w:sz w:val="20"/>
                <w:szCs w:val="20"/>
                <w:color w:val="auto"/>
              </w:rPr>
            </w:pPr>
            <w:r>
              <w:rPr>
                <w:rFonts w:ascii="Arial" w:cs="Arial" w:eastAsia="Arial" w:hAnsi="Arial"/>
                <w:sz w:val="18"/>
                <w:szCs w:val="18"/>
                <w:b w:val="1"/>
                <w:bCs w:val="1"/>
                <w:color w:val="auto"/>
                <w:w w:val="91"/>
              </w:rPr>
              <w:t>incorporation or organization)</w:t>
            </w: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60" w:type="dxa"/>
            <w:vAlign w:val="bottom"/>
          </w:tcPr>
          <w:p>
            <w:pPr>
              <w:jc w:val="center"/>
              <w:ind w:right="1150"/>
              <w:spacing w:after="0" w:line="197" w:lineRule="exact"/>
              <w:rPr>
                <w:sz w:val="20"/>
                <w:szCs w:val="20"/>
                <w:color w:val="auto"/>
              </w:rPr>
            </w:pPr>
            <w:r>
              <w:rPr>
                <w:rFonts w:ascii="Arial" w:cs="Arial" w:eastAsia="Arial" w:hAnsi="Arial"/>
                <w:sz w:val="18"/>
                <w:szCs w:val="18"/>
                <w:b w:val="1"/>
                <w:bCs w:val="1"/>
                <w:color w:val="auto"/>
                <w:w w:val="92"/>
              </w:rPr>
              <w:t>Identification No.)</w:t>
            </w:r>
          </w:p>
        </w:tc>
        <w:tc>
          <w:tcPr>
            <w:tcW w:w="0" w:type="dxa"/>
            <w:vAlign w:val="bottom"/>
          </w:tcPr>
          <w:p>
            <w:pPr>
              <w:spacing w:after="0"/>
              <w:rPr>
                <w:sz w:val="1"/>
                <w:szCs w:val="1"/>
                <w:color w:val="auto"/>
              </w:rPr>
            </w:pPr>
          </w:p>
        </w:tc>
      </w:tr>
      <w:tr>
        <w:trPr>
          <w:trHeight w:val="194"/>
        </w:trPr>
        <w:tc>
          <w:tcPr>
            <w:tcW w:w="5220" w:type="dxa"/>
            <w:vAlign w:val="bottom"/>
            <w:gridSpan w:val="4"/>
          </w:tcPr>
          <w:p>
            <w:pPr>
              <w:ind w:left="1880"/>
              <w:spacing w:after="0" w:line="194" w:lineRule="exact"/>
              <w:rPr>
                <w:sz w:val="20"/>
                <w:szCs w:val="20"/>
                <w:color w:val="auto"/>
              </w:rPr>
            </w:pPr>
            <w:r>
              <w:rPr>
                <w:rFonts w:ascii="Arial" w:cs="Arial" w:eastAsia="Arial" w:hAnsi="Arial"/>
                <w:sz w:val="18"/>
                <w:szCs w:val="18"/>
                <w:b w:val="1"/>
                <w:bCs w:val="1"/>
                <w:color w:val="auto"/>
              </w:rPr>
              <w:t>680 Fifth Ave., 24th Floor</w:t>
            </w:r>
          </w:p>
        </w:tc>
        <w:tc>
          <w:tcPr>
            <w:tcW w:w="1520" w:type="dxa"/>
            <w:vAlign w:val="bottom"/>
          </w:tcPr>
          <w:p>
            <w:pPr>
              <w:spacing w:after="0"/>
              <w:rPr>
                <w:sz w:val="16"/>
                <w:szCs w:val="16"/>
                <w:color w:val="auto"/>
              </w:rPr>
            </w:pPr>
          </w:p>
        </w:tc>
        <w:tc>
          <w:tcPr>
            <w:tcW w:w="4500" w:type="dxa"/>
            <w:vAlign w:val="bottom"/>
            <w:gridSpan w:val="3"/>
          </w:tcPr>
          <w:p>
            <w:pPr>
              <w:jc w:val="right"/>
              <w:ind w:right="2490"/>
              <w:spacing w:after="0" w:line="194" w:lineRule="exact"/>
              <w:rPr>
                <w:sz w:val="20"/>
                <w:szCs w:val="20"/>
                <w:color w:val="auto"/>
              </w:rPr>
            </w:pPr>
            <w:r>
              <w:rPr>
                <w:rFonts w:ascii="Arial" w:cs="Arial" w:eastAsia="Arial" w:hAnsi="Arial"/>
                <w:sz w:val="18"/>
                <w:szCs w:val="18"/>
                <w:b w:val="1"/>
                <w:bCs w:val="1"/>
                <w:color w:val="auto"/>
              </w:rPr>
              <w:t>10019</w:t>
            </w:r>
          </w:p>
        </w:tc>
        <w:tc>
          <w:tcPr>
            <w:tcW w:w="0" w:type="dxa"/>
            <w:vAlign w:val="bottom"/>
          </w:tcPr>
          <w:p>
            <w:pPr>
              <w:spacing w:after="0"/>
              <w:rPr>
                <w:sz w:val="1"/>
                <w:szCs w:val="1"/>
                <w:color w:val="auto"/>
              </w:rPr>
            </w:pPr>
          </w:p>
        </w:tc>
      </w:tr>
      <w:tr>
        <w:trPr>
          <w:trHeight w:val="184"/>
        </w:trPr>
        <w:tc>
          <w:tcPr>
            <w:tcW w:w="5220" w:type="dxa"/>
            <w:vAlign w:val="bottom"/>
            <w:gridSpan w:val="4"/>
          </w:tcPr>
          <w:p>
            <w:pPr>
              <w:jc w:val="center"/>
              <w:ind w:left="330"/>
              <w:spacing w:after="0" w:line="184" w:lineRule="exact"/>
              <w:rPr>
                <w:sz w:val="20"/>
                <w:szCs w:val="20"/>
                <w:color w:val="auto"/>
              </w:rPr>
            </w:pPr>
            <w:r>
              <w:rPr>
                <w:rFonts w:ascii="Arial" w:cs="Arial" w:eastAsia="Arial" w:hAnsi="Arial"/>
                <w:sz w:val="18"/>
                <w:szCs w:val="18"/>
                <w:b w:val="1"/>
                <w:bCs w:val="1"/>
                <w:color w:val="auto"/>
                <w:w w:val="91"/>
              </w:rPr>
              <w:t>New York, New York</w:t>
            </w:r>
          </w:p>
        </w:tc>
        <w:tc>
          <w:tcPr>
            <w:tcW w:w="1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220" w:type="dxa"/>
            <w:vAlign w:val="bottom"/>
            <w:gridSpan w:val="4"/>
          </w:tcPr>
          <w:p>
            <w:pPr>
              <w:jc w:val="center"/>
              <w:ind w:left="33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1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60" w:type="dxa"/>
            <w:vAlign w:val="bottom"/>
          </w:tcPr>
          <w:p>
            <w:pPr>
              <w:jc w:val="center"/>
              <w:ind w:right="1150"/>
              <w:spacing w:after="0"/>
              <w:rPr>
                <w:sz w:val="20"/>
                <w:szCs w:val="20"/>
                <w:color w:val="auto"/>
              </w:rPr>
            </w:pPr>
            <w:r>
              <w:rPr>
                <w:rFonts w:ascii="Arial" w:cs="Arial" w:eastAsia="Arial" w:hAnsi="Arial"/>
                <w:sz w:val="18"/>
                <w:szCs w:val="18"/>
                <w:b w:val="1"/>
                <w:bCs w:val="1"/>
                <w:color w:val="auto"/>
                <w:w w:val="94"/>
              </w:rPr>
              <w:t>(Zip Code)</w:t>
            </w:r>
          </w:p>
        </w:tc>
        <w:tc>
          <w:tcPr>
            <w:tcW w:w="0" w:type="dxa"/>
            <w:vAlign w:val="bottom"/>
          </w:tcPr>
          <w:p>
            <w:pPr>
              <w:spacing w:after="0"/>
              <w:rPr>
                <w:sz w:val="1"/>
                <w:szCs w:val="1"/>
                <w:color w:val="auto"/>
              </w:rPr>
            </w:pPr>
          </w:p>
        </w:tc>
      </w:tr>
      <w:tr>
        <w:trPr>
          <w:trHeight w:val="270"/>
        </w:trPr>
        <w:tc>
          <w:tcPr>
            <w:tcW w:w="11240" w:type="dxa"/>
            <w:vAlign w:val="bottom"/>
            <w:gridSpan w:val="8"/>
          </w:tcPr>
          <w:p>
            <w:pPr>
              <w:jc w:val="center"/>
              <w:spacing w:after="0"/>
              <w:rPr>
                <w:sz w:val="20"/>
                <w:szCs w:val="20"/>
                <w:color w:val="auto"/>
              </w:rPr>
            </w:pPr>
            <w:r>
              <w:rPr>
                <w:rFonts w:ascii="Arial" w:cs="Arial" w:eastAsia="Arial" w:hAnsi="Arial"/>
                <w:sz w:val="18"/>
                <w:szCs w:val="18"/>
                <w:b w:val="1"/>
                <w:bCs w:val="1"/>
                <w:color w:val="auto"/>
                <w:w w:val="89"/>
              </w:rPr>
              <w:t>Registrant’s telephone number, including area code: (212) 634-7100</w:t>
            </w:r>
          </w:p>
        </w:tc>
        <w:tc>
          <w:tcPr>
            <w:tcW w:w="0" w:type="dxa"/>
            <w:vAlign w:val="bottom"/>
          </w:tcPr>
          <w:p>
            <w:pPr>
              <w:spacing w:after="0"/>
              <w:rPr>
                <w:sz w:val="1"/>
                <w:szCs w:val="1"/>
                <w:color w:val="auto"/>
              </w:rPr>
            </w:pPr>
          </w:p>
        </w:tc>
      </w:tr>
      <w:tr>
        <w:trPr>
          <w:trHeight w:val="202"/>
        </w:trPr>
        <w:tc>
          <w:tcPr>
            <w:tcW w:w="4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20" w:type="dxa"/>
            <w:vAlign w:val="bottom"/>
            <w:gridSpan w:val="4"/>
          </w:tcPr>
          <w:p>
            <w:pPr>
              <w:ind w:left="600"/>
              <w:spacing w:after="0"/>
              <w:rPr>
                <w:sz w:val="20"/>
                <w:szCs w:val="20"/>
                <w:color w:val="auto"/>
              </w:rPr>
            </w:pPr>
            <w:r>
              <w:rPr>
                <w:rFonts w:ascii="Arial" w:cs="Arial" w:eastAsia="Arial" w:hAnsi="Arial"/>
                <w:sz w:val="18"/>
                <w:szCs w:val="18"/>
                <w:color w:val="auto"/>
                <w:w w:val="91"/>
              </w:rPr>
              <w:t>Securities registered pursuant to Section 12(b) of the Act: None</w:t>
            </w: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380" w:type="dxa"/>
            <w:vAlign w:val="bottom"/>
            <w:vMerge w:val="restart"/>
          </w:tcPr>
          <w:p>
            <w:pPr>
              <w:ind w:left="1520"/>
              <w:spacing w:after="0"/>
              <w:rPr>
                <w:sz w:val="20"/>
                <w:szCs w:val="20"/>
                <w:color w:val="auto"/>
              </w:rPr>
            </w:pPr>
            <w:r>
              <w:rPr>
                <w:rFonts w:ascii="Arial" w:cs="Arial" w:eastAsia="Arial" w:hAnsi="Arial"/>
                <w:sz w:val="18"/>
                <w:szCs w:val="18"/>
                <w:b w:val="1"/>
                <w:bCs w:val="1"/>
                <w:color w:val="auto"/>
              </w:rPr>
              <w:t>Title of each class</w:t>
            </w:r>
          </w:p>
        </w:tc>
        <w:tc>
          <w:tcPr>
            <w:tcW w:w="140" w:type="dxa"/>
            <w:vAlign w:val="bottom"/>
            <w:gridSpan w:val="2"/>
            <w:vMerge w:val="restart"/>
          </w:tcPr>
          <w:p>
            <w:pPr>
              <w:spacing w:after="0"/>
              <w:rPr>
                <w:sz w:val="24"/>
                <w:szCs w:val="24"/>
                <w:color w:val="auto"/>
              </w:rPr>
            </w:pPr>
          </w:p>
        </w:tc>
        <w:tc>
          <w:tcPr>
            <w:tcW w:w="700" w:type="dxa"/>
            <w:vAlign w:val="bottom"/>
            <w:vMerge w:val="restart"/>
          </w:tcPr>
          <w:p>
            <w:pPr>
              <w:spacing w:after="0"/>
              <w:rPr>
                <w:sz w:val="24"/>
                <w:szCs w:val="24"/>
                <w:color w:val="auto"/>
              </w:rPr>
            </w:pPr>
          </w:p>
        </w:tc>
        <w:tc>
          <w:tcPr>
            <w:tcW w:w="1520" w:type="dxa"/>
            <w:vAlign w:val="bottom"/>
          </w:tcPr>
          <w:p>
            <w:pPr>
              <w:jc w:val="center"/>
              <w:ind w:right="610"/>
              <w:spacing w:after="0"/>
              <w:rPr>
                <w:sz w:val="20"/>
                <w:szCs w:val="20"/>
                <w:color w:val="auto"/>
              </w:rPr>
            </w:pPr>
            <w:r>
              <w:rPr>
                <w:rFonts w:ascii="Arial" w:cs="Arial" w:eastAsia="Arial" w:hAnsi="Arial"/>
                <w:sz w:val="18"/>
                <w:szCs w:val="18"/>
                <w:b w:val="1"/>
                <w:bCs w:val="1"/>
                <w:color w:val="auto"/>
                <w:w w:val="93"/>
              </w:rPr>
              <w:t>Trading</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60" w:type="dxa"/>
            <w:vAlign w:val="bottom"/>
            <w:vMerge w:val="restart"/>
          </w:tcPr>
          <w:p>
            <w:pPr>
              <w:ind w:left="520"/>
              <w:spacing w:after="0"/>
              <w:rPr>
                <w:sz w:val="20"/>
                <w:szCs w:val="20"/>
                <w:color w:val="auto"/>
              </w:rPr>
            </w:pPr>
            <w:r>
              <w:rPr>
                <w:rFonts w:ascii="Arial" w:cs="Arial" w:eastAsia="Arial" w:hAnsi="Arial"/>
                <w:sz w:val="18"/>
                <w:szCs w:val="18"/>
                <w:b w:val="1"/>
                <w:bCs w:val="1"/>
                <w:color w:val="auto"/>
              </w:rPr>
              <w:t>Name of each exchange on which registered</w:t>
            </w:r>
          </w:p>
        </w:tc>
        <w:tc>
          <w:tcPr>
            <w:tcW w:w="0" w:type="dxa"/>
            <w:vAlign w:val="bottom"/>
          </w:tcPr>
          <w:p>
            <w:pPr>
              <w:spacing w:after="0"/>
              <w:rPr>
                <w:sz w:val="1"/>
                <w:szCs w:val="1"/>
                <w:color w:val="auto"/>
              </w:rPr>
            </w:pPr>
          </w:p>
        </w:tc>
      </w:tr>
      <w:tr>
        <w:trPr>
          <w:trHeight w:val="229"/>
        </w:trPr>
        <w:tc>
          <w:tcPr>
            <w:tcW w:w="4380" w:type="dxa"/>
            <w:vAlign w:val="bottom"/>
            <w:tcBorders>
              <w:bottom w:val="single" w:sz="8" w:color="auto"/>
            </w:tcBorders>
            <w:vMerge w:val="continue"/>
          </w:tcPr>
          <w:p>
            <w:pPr>
              <w:spacing w:after="0"/>
              <w:rPr>
                <w:sz w:val="19"/>
                <w:szCs w:val="19"/>
                <w:color w:val="auto"/>
              </w:rPr>
            </w:pPr>
          </w:p>
        </w:tc>
        <w:tc>
          <w:tcPr>
            <w:tcW w:w="140" w:type="dxa"/>
            <w:vAlign w:val="bottom"/>
            <w:gridSpan w:val="2"/>
            <w:vMerge w:val="continue"/>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1520" w:type="dxa"/>
            <w:vAlign w:val="bottom"/>
            <w:tcBorders>
              <w:bottom w:val="single" w:sz="8" w:color="auto"/>
            </w:tcBorders>
          </w:tcPr>
          <w:p>
            <w:pPr>
              <w:jc w:val="center"/>
              <w:ind w:right="590"/>
              <w:spacing w:after="0"/>
              <w:rPr>
                <w:sz w:val="20"/>
                <w:szCs w:val="20"/>
                <w:color w:val="auto"/>
              </w:rPr>
            </w:pPr>
            <w:r>
              <w:rPr>
                <w:rFonts w:ascii="Arial" w:cs="Arial" w:eastAsia="Arial" w:hAnsi="Arial"/>
                <w:sz w:val="18"/>
                <w:szCs w:val="18"/>
                <w:b w:val="1"/>
                <w:bCs w:val="1"/>
                <w:color w:val="auto"/>
                <w:w w:val="87"/>
              </w:rPr>
              <w:t>Symbol(s)</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3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120" w:lineRule="exact"/>
        <w:rPr>
          <w:sz w:val="24"/>
          <w:szCs w:val="24"/>
          <w:color w:val="auto"/>
        </w:rPr>
      </w:pPr>
    </w:p>
    <w:p>
      <w:pPr>
        <w:jc w:val="both"/>
        <w:ind w:right="80" w:firstLine="599"/>
        <w:spacing w:after="0" w:line="201"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ind w:right="80" w:firstLine="599"/>
        <w:spacing w:after="0" w:line="196"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ind w:right="60" w:firstLine="599"/>
        <w:spacing w:after="0" w:line="21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88"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23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4940" w:type="dxa"/>
            <w:vAlign w:val="bottom"/>
          </w:tcPr>
          <w:p>
            <w:pPr>
              <w:ind w:left="2780"/>
              <w:spacing w:after="0"/>
              <w:rPr>
                <w:sz w:val="20"/>
                <w:szCs w:val="20"/>
                <w:color w:val="auto"/>
              </w:rPr>
            </w:pPr>
            <w:r>
              <w:rPr>
                <w:rFonts w:ascii="Arial" w:cs="Arial" w:eastAsia="Arial" w:hAnsi="Arial"/>
                <w:sz w:val="18"/>
                <w:szCs w:val="18"/>
                <w:color w:val="auto"/>
              </w:rPr>
              <w:t>Accelerated filer</w:t>
            </w:r>
          </w:p>
        </w:tc>
        <w:tc>
          <w:tcPr>
            <w:tcW w:w="36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445"/>
        </w:trPr>
        <w:tc>
          <w:tcPr>
            <w:tcW w:w="2380" w:type="dxa"/>
            <w:vAlign w:val="bottom"/>
          </w:tcPr>
          <w:p>
            <w:pPr>
              <w:spacing w:after="0"/>
              <w:rPr>
                <w:sz w:val="20"/>
                <w:szCs w:val="20"/>
                <w:color w:val="auto"/>
              </w:rPr>
            </w:pPr>
            <w:r>
              <w:rPr>
                <w:rFonts w:ascii="Arial" w:cs="Arial" w:eastAsia="Arial" w:hAnsi="Arial"/>
                <w:sz w:val="18"/>
                <w:szCs w:val="18"/>
                <w:color w:val="auto"/>
              </w:rPr>
              <w:t>Non-accelerated filer</w:t>
            </w:r>
          </w:p>
        </w:tc>
        <w:tc>
          <w:tcPr>
            <w:tcW w:w="33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4940" w:type="dxa"/>
            <w:vAlign w:val="bottom"/>
          </w:tcPr>
          <w:p>
            <w:pPr>
              <w:ind w:left="2780"/>
              <w:spacing w:after="0"/>
              <w:rPr>
                <w:sz w:val="20"/>
                <w:szCs w:val="20"/>
                <w:color w:val="auto"/>
              </w:rPr>
            </w:pPr>
            <w:r>
              <w:rPr>
                <w:rFonts w:ascii="Arial" w:cs="Arial" w:eastAsia="Arial" w:hAnsi="Arial"/>
                <w:sz w:val="18"/>
                <w:szCs w:val="18"/>
                <w:color w:val="auto"/>
                <w:w w:val="99"/>
              </w:rPr>
              <w:t>Smaller reporting company</w:t>
            </w:r>
          </w:p>
        </w:tc>
        <w:tc>
          <w:tcPr>
            <w:tcW w:w="36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445"/>
        </w:trPr>
        <w:tc>
          <w:tcPr>
            <w:tcW w:w="238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3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494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154" w:lineRule="exact"/>
        <w:rPr>
          <w:sz w:val="24"/>
          <w:szCs w:val="24"/>
          <w:color w:val="auto"/>
        </w:rPr>
      </w:pPr>
    </w:p>
    <w:p>
      <w:pPr>
        <w:ind w:right="220" w:firstLine="599"/>
        <w:spacing w:after="0" w:line="20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 w:lineRule="exact"/>
        <w:rPr>
          <w:sz w:val="24"/>
          <w:szCs w:val="24"/>
          <w:color w:val="auto"/>
        </w:rPr>
      </w:pPr>
    </w:p>
    <w:p>
      <w:pPr>
        <w:ind w:left="600"/>
        <w:spacing w:after="0" w:line="207" w:lineRule="exact"/>
        <w:tabs>
          <w:tab w:leader="none" w:pos="8980" w:val="left"/>
          <w:tab w:leader="none" w:pos="966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9" w:lineRule="exact"/>
        <w:rPr>
          <w:sz w:val="24"/>
          <w:szCs w:val="24"/>
          <w:color w:val="auto"/>
        </w:rPr>
      </w:pPr>
    </w:p>
    <w:p>
      <w:pPr>
        <w:ind w:right="160" w:firstLine="599"/>
        <w:spacing w:after="0" w:line="202" w:lineRule="exact"/>
        <w:rPr>
          <w:sz w:val="20"/>
          <w:szCs w:val="20"/>
          <w:color w:val="auto"/>
        </w:rPr>
      </w:pPr>
      <w:r>
        <w:rPr>
          <w:rFonts w:ascii="Arial" w:cs="Arial" w:eastAsia="Arial" w:hAnsi="Arial"/>
          <w:sz w:val="18"/>
          <w:szCs w:val="18"/>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ind w:left="600"/>
        <w:spacing w:after="0" w:line="212" w:lineRule="auto"/>
        <w:rPr>
          <w:sz w:val="20"/>
          <w:szCs w:val="20"/>
          <w:color w:val="auto"/>
        </w:rPr>
      </w:pPr>
      <w:r>
        <w:rPr>
          <w:rFonts w:ascii="Arial" w:cs="Arial" w:eastAsia="Arial" w:hAnsi="Arial"/>
          <w:sz w:val="18"/>
          <w:szCs w:val="18"/>
          <w:color w:val="auto"/>
        </w:rPr>
        <w:t>As of November 8, 2022, there were 400,438,063 shares of common stock, no par value per share, outstanding.</w:t>
      </w:r>
    </w:p>
    <w:p>
      <w:pPr>
        <w:spacing w:after="0" w:line="219" w:lineRule="auto"/>
        <w:rPr>
          <w:sz w:val="20"/>
          <w:szCs w:val="20"/>
          <w:color w:val="auto"/>
        </w:rPr>
      </w:pPr>
      <w:r>
        <w:rPr>
          <w:rFonts w:ascii="Arial" w:cs="Arial" w:eastAsia="Arial" w:hAnsi="Arial"/>
          <w:sz w:val="4"/>
          <w:szCs w:val="4"/>
          <w:color w:val="auto"/>
        </w:rPr>
        <w:t>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238125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560" w:type="dxa"/>
            <w:vAlign w:val="bottom"/>
            <w:gridSpan w:val="7"/>
          </w:tcPr>
          <w:p>
            <w:pPr>
              <w:ind w:left="4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2960" w:type="dxa"/>
            <w:vAlign w:val="bottom"/>
            <w:gridSpan w:val="10"/>
            <w:vMerge w:val="restart"/>
          </w:tcPr>
          <w:p>
            <w:pPr>
              <w:spacing w:after="0"/>
              <w:rPr>
                <w:sz w:val="20"/>
                <w:szCs w:val="20"/>
                <w:color w:val="auto"/>
              </w:rPr>
            </w:pPr>
            <w:r>
              <w:rPr>
                <w:rFonts w:ascii="Arial" w:cs="Arial" w:eastAsia="Arial" w:hAnsi="Arial"/>
                <w:sz w:val="18"/>
                <w:szCs w:val="18"/>
                <w:color w:val="0000FF"/>
                <w:w w:val="95"/>
              </w:rPr>
              <w:t>FORWARD-LOOKING STATEMENTS</w:t>
            </w:r>
          </w:p>
        </w:tc>
        <w:tc>
          <w:tcPr>
            <w:tcW w:w="7480" w:type="dxa"/>
            <w:vAlign w:val="bottom"/>
            <w:gridSpan w:val="13"/>
            <w:vMerge w:val="restart"/>
          </w:tcPr>
          <w:p>
            <w:pPr>
              <w:spacing w:after="0"/>
              <w:rPr>
                <w:sz w:val="24"/>
                <w:szCs w:val="24"/>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60"/>
        </w:trPr>
        <w:tc>
          <w:tcPr>
            <w:tcW w:w="2960" w:type="dxa"/>
            <w:vAlign w:val="bottom"/>
            <w:tcBorders>
              <w:bottom w:val="single" w:sz="8" w:color="0000FF"/>
            </w:tcBorders>
            <w:gridSpan w:val="10"/>
            <w:vMerge w:val="continue"/>
          </w:tcPr>
          <w:p>
            <w:pPr>
              <w:spacing w:after="0"/>
              <w:rPr>
                <w:sz w:val="13"/>
                <w:szCs w:val="13"/>
                <w:color w:val="auto"/>
              </w:rPr>
            </w:pPr>
          </w:p>
        </w:tc>
        <w:tc>
          <w:tcPr>
            <w:tcW w:w="7480" w:type="dxa"/>
            <w:vAlign w:val="bottom"/>
            <w:gridSpan w:val="13"/>
            <w:vMerge w:val="continue"/>
          </w:tcPr>
          <w:p>
            <w:pPr>
              <w:spacing w:after="0"/>
              <w:rPr>
                <w:sz w:val="13"/>
                <w:szCs w:val="13"/>
                <w:color w:val="auto"/>
              </w:rPr>
            </w:pPr>
          </w:p>
        </w:tc>
        <w:tc>
          <w:tcPr>
            <w:tcW w:w="780" w:type="dxa"/>
            <w:vAlign w:val="bottom"/>
          </w:tcPr>
          <w:p>
            <w:pPr>
              <w:jc w:val="right"/>
              <w:spacing w:after="0" w:line="15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2"/>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9300" w:type="dxa"/>
            <w:vAlign w:val="bottom"/>
            <w:gridSpan w:val="21"/>
          </w:tcPr>
          <w:p>
            <w:pPr>
              <w:spacing w:after="0"/>
              <w:rPr>
                <w:sz w:val="20"/>
                <w:szCs w:val="20"/>
                <w:color w:val="auto"/>
              </w:rPr>
            </w:pPr>
            <w:r>
              <w:rPr>
                <w:rFonts w:ascii="Arial" w:cs="Arial" w:eastAsia="Arial" w:hAnsi="Arial"/>
                <w:sz w:val="18"/>
                <w:szCs w:val="18"/>
                <w:color w:val="auto"/>
              </w:rPr>
              <w:t>FINANCIAL INFORMATION</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300" w:type="dxa"/>
            <w:vAlign w:val="bottom"/>
            <w:gridSpan w:val="21"/>
          </w:tcPr>
          <w:p>
            <w:pPr>
              <w:spacing w:after="0"/>
              <w:rPr>
                <w:sz w:val="20"/>
                <w:szCs w:val="20"/>
                <w:color w:val="auto"/>
              </w:rPr>
            </w:pPr>
            <w:r>
              <w:rPr>
                <w:rFonts w:ascii="Arial" w:cs="Arial" w:eastAsia="Arial" w:hAnsi="Arial"/>
                <w:sz w:val="18"/>
                <w:szCs w:val="18"/>
                <w:color w:val="auto"/>
              </w:rPr>
              <w:t>Financial Statements (Unaudited)</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40" w:type="dxa"/>
            <w:vAlign w:val="bottom"/>
            <w:tcBorders>
              <w:bottom w:val="single" w:sz="8" w:color="0000FF"/>
            </w:tcBorders>
            <w:gridSpan w:val="11"/>
          </w:tcPr>
          <w:p>
            <w:pPr>
              <w:spacing w:after="0" w:line="189" w:lineRule="exact"/>
              <w:rPr>
                <w:sz w:val="20"/>
                <w:szCs w:val="20"/>
                <w:color w:val="auto"/>
              </w:rPr>
            </w:pPr>
            <w:r>
              <w:rPr>
                <w:rFonts w:ascii="Arial" w:cs="Arial" w:eastAsia="Arial" w:hAnsi="Arial"/>
                <w:sz w:val="18"/>
                <w:szCs w:val="18"/>
                <w:color w:val="0000FF"/>
                <w:w w:val="87"/>
              </w:rPr>
              <w:t>Condensed Consolidated Balance Sheets</w:t>
            </w:r>
          </w:p>
        </w:tc>
        <w:tc>
          <w:tcPr>
            <w:tcW w:w="20" w:type="dxa"/>
            <w:vAlign w:val="bottom"/>
            <w:tcBorders>
              <w:bottom w:val="single" w:sz="8" w:color="0000EE"/>
            </w:tcBorders>
          </w:tcPr>
          <w:p>
            <w:pPr>
              <w:spacing w:after="0"/>
              <w:rPr>
                <w:sz w:val="16"/>
                <w:szCs w:val="16"/>
                <w:color w:val="auto"/>
              </w:rPr>
            </w:pPr>
          </w:p>
        </w:tc>
        <w:tc>
          <w:tcPr>
            <w:tcW w:w="6340" w:type="dxa"/>
            <w:vAlign w:val="bottom"/>
            <w:gridSpan w:val="9"/>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2"/>
        </w:trPr>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960" w:type="dxa"/>
            <w:vAlign w:val="bottom"/>
            <w:gridSpan w:val="12"/>
          </w:tcPr>
          <w:p>
            <w:pPr>
              <w:spacing w:after="0" w:line="182" w:lineRule="exact"/>
              <w:rPr>
                <w:sz w:val="20"/>
                <w:szCs w:val="20"/>
                <w:color w:val="auto"/>
              </w:rPr>
            </w:pPr>
            <w:r>
              <w:rPr>
                <w:rFonts w:ascii="Arial" w:cs="Arial" w:eastAsia="Arial" w:hAnsi="Arial"/>
                <w:sz w:val="18"/>
                <w:szCs w:val="18"/>
                <w:color w:val="0000FF"/>
                <w:w w:val="92"/>
              </w:rPr>
              <w:t>Condensed Consolidated Statements of</w:t>
            </w:r>
          </w:p>
        </w:tc>
        <w:tc>
          <w:tcPr>
            <w:tcW w:w="6340" w:type="dxa"/>
            <w:vAlign w:val="bottom"/>
            <w:gridSpan w:val="9"/>
          </w:tcPr>
          <w:p>
            <w:pPr>
              <w:spacing w:after="0" w:line="182" w:lineRule="exact"/>
              <w:rPr>
                <w:sz w:val="20"/>
                <w:szCs w:val="20"/>
                <w:color w:val="auto"/>
              </w:rPr>
            </w:pPr>
            <w:r>
              <w:rPr>
                <w:rFonts w:ascii="Arial" w:cs="Arial" w:eastAsia="Arial" w:hAnsi="Arial"/>
                <w:sz w:val="18"/>
                <w:szCs w:val="18"/>
                <w:color w:val="0000FF"/>
              </w:rPr>
              <w:t>Operations and Comprehensive Loss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82"/>
        </w:trPr>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520" w:type="dxa"/>
            <w:vAlign w:val="bottom"/>
            <w:tcBorders>
              <w:top w:val="single" w:sz="8" w:color="0000FF"/>
            </w:tcBorders>
            <w:gridSpan w:val="19"/>
          </w:tcPr>
          <w:p>
            <w:pPr>
              <w:spacing w:after="0" w:line="182" w:lineRule="exact"/>
              <w:rPr>
                <w:sz w:val="20"/>
                <w:szCs w:val="20"/>
                <w:color w:val="auto"/>
              </w:rPr>
            </w:pPr>
            <w:r>
              <w:rPr>
                <w:rFonts w:ascii="Arial" w:cs="Arial" w:eastAsia="Arial" w:hAnsi="Arial"/>
                <w:sz w:val="18"/>
                <w:szCs w:val="18"/>
                <w:color w:val="0000FF"/>
              </w:rPr>
              <w:t>Condensed Consolidated Statements of Changes in Equity</w:t>
            </w:r>
          </w:p>
        </w:tc>
        <w:tc>
          <w:tcPr>
            <w:tcW w:w="94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2"/>
        </w:trPr>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720" w:type="dxa"/>
            <w:vAlign w:val="bottom"/>
            <w:tcBorders>
              <w:top w:val="single" w:sz="8" w:color="0000FF"/>
              <w:bottom w:val="single" w:sz="8" w:color="0000FF"/>
            </w:tcBorders>
            <w:gridSpan w:val="13"/>
          </w:tcPr>
          <w:p>
            <w:pPr>
              <w:spacing w:after="0" w:line="182" w:lineRule="exact"/>
              <w:rPr>
                <w:sz w:val="20"/>
                <w:szCs w:val="20"/>
                <w:color w:val="auto"/>
              </w:rPr>
            </w:pPr>
            <w:r>
              <w:rPr>
                <w:rFonts w:ascii="Arial" w:cs="Arial" w:eastAsia="Arial" w:hAnsi="Arial"/>
                <w:sz w:val="18"/>
                <w:szCs w:val="18"/>
                <w:color w:val="0000FF"/>
                <w:w w:val="88"/>
              </w:rPr>
              <w:t>Condensed Consolidated Statements of Cash Flows</w:t>
            </w:r>
          </w:p>
        </w:tc>
        <w:tc>
          <w:tcPr>
            <w:tcW w:w="20" w:type="dxa"/>
            <w:vAlign w:val="bottom"/>
            <w:tcBorders>
              <w:top w:val="single" w:sz="8" w:color="0000FF"/>
              <w:bottom w:val="single" w:sz="8" w:color="0000EE"/>
            </w:tcBorders>
          </w:tcPr>
          <w:p>
            <w:pPr>
              <w:spacing w:after="0"/>
              <w:rPr>
                <w:sz w:val="15"/>
                <w:szCs w:val="15"/>
                <w:color w:val="auto"/>
              </w:rPr>
            </w:pPr>
          </w:p>
        </w:tc>
        <w:tc>
          <w:tcPr>
            <w:tcW w:w="460" w:type="dxa"/>
            <w:vAlign w:val="bottom"/>
            <w:tcBorders>
              <w:top w:val="single" w:sz="8" w:color="0000FF"/>
            </w:tcBorders>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60" w:type="dxa"/>
            <w:vAlign w:val="bottom"/>
            <w:gridSpan w:val="2"/>
          </w:tcPr>
          <w:p>
            <w:pPr>
              <w:spacing w:after="0"/>
              <w:rPr>
                <w:sz w:val="15"/>
                <w:szCs w:val="15"/>
                <w:color w:val="auto"/>
              </w:rPr>
            </w:pPr>
          </w:p>
        </w:tc>
        <w:tc>
          <w:tcPr>
            <w:tcW w:w="28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82"/>
        </w:trPr>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300" w:type="dxa"/>
            <w:vAlign w:val="bottom"/>
            <w:gridSpan w:val="21"/>
          </w:tcPr>
          <w:p>
            <w:pPr>
              <w:spacing w:after="0" w:line="182" w:lineRule="exact"/>
              <w:rPr>
                <w:sz w:val="20"/>
                <w:szCs w:val="20"/>
                <w:color w:val="auto"/>
              </w:rPr>
            </w:pPr>
            <w:r>
              <w:rPr>
                <w:rFonts w:ascii="Arial" w:cs="Arial" w:eastAsia="Arial" w:hAnsi="Arial"/>
                <w:sz w:val="18"/>
                <w:szCs w:val="18"/>
                <w:color w:val="0000FF"/>
              </w:rPr>
              <w:t>Notes to Unaudited Condensed Consolidated Financial Statements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2.</w:t>
            </w: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2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18</w:t>
            </w:r>
          </w:p>
        </w:tc>
        <w:tc>
          <w:tcPr>
            <w:tcW w:w="0" w:type="dxa"/>
            <w:vAlign w:val="bottom"/>
          </w:tcPr>
          <w:p>
            <w:pPr>
              <w:spacing w:after="0" w:line="20" w:lineRule="exact"/>
              <w:rPr>
                <w:sz w:val="1"/>
                <w:szCs w:val="1"/>
                <w:color w:val="auto"/>
              </w:rPr>
            </w:pPr>
          </w:p>
        </w:tc>
      </w:tr>
      <w:tr>
        <w:trPr>
          <w:trHeight w:val="182"/>
        </w:trPr>
        <w:tc>
          <w:tcPr>
            <w:tcW w:w="1140" w:type="dxa"/>
            <w:vAlign w:val="bottom"/>
            <w:gridSpan w:val="2"/>
            <w:vMerge w:val="continue"/>
          </w:tcPr>
          <w:p>
            <w:pPr>
              <w:spacing w:after="0"/>
              <w:rPr>
                <w:sz w:val="15"/>
                <w:szCs w:val="15"/>
                <w:color w:val="auto"/>
              </w:rPr>
            </w:pPr>
          </w:p>
        </w:tc>
        <w:tc>
          <w:tcPr>
            <w:tcW w:w="9300" w:type="dxa"/>
            <w:vAlign w:val="bottom"/>
            <w:gridSpan w:val="21"/>
          </w:tcPr>
          <w:p>
            <w:pPr>
              <w:spacing w:after="0" w:line="182" w:lineRule="exact"/>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3.</w:t>
            </w:r>
          </w:p>
        </w:tc>
        <w:tc>
          <w:tcPr>
            <w:tcW w:w="6460" w:type="dxa"/>
            <w:vAlign w:val="bottom"/>
            <w:tcBorders>
              <w:top w:val="single" w:sz="8" w:color="0000FF"/>
            </w:tcBorders>
            <w:gridSpan w:val="20"/>
          </w:tcPr>
          <w:p>
            <w:pPr>
              <w:spacing w:after="0" w:line="182" w:lineRule="exact"/>
              <w:rPr>
                <w:sz w:val="20"/>
                <w:szCs w:val="20"/>
                <w:color w:val="auto"/>
              </w:rPr>
            </w:pPr>
            <w:r>
              <w:rPr>
                <w:rFonts w:ascii="Arial" w:cs="Arial" w:eastAsia="Arial" w:hAnsi="Arial"/>
                <w:sz w:val="18"/>
                <w:szCs w:val="18"/>
                <w:color w:val="0000FF"/>
              </w:rPr>
              <w:t>Quantitative and Qualitative Disclosures About Market Risk</w:t>
            </w:r>
          </w:p>
        </w:tc>
        <w:tc>
          <w:tcPr>
            <w:tcW w:w="28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82"/>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4.</w:t>
            </w:r>
          </w:p>
        </w:tc>
        <w:tc>
          <w:tcPr>
            <w:tcW w:w="1780" w:type="dxa"/>
            <w:vAlign w:val="bottom"/>
            <w:tcBorders>
              <w:top w:val="single" w:sz="8" w:color="0000FF"/>
              <w:bottom w:val="single" w:sz="8" w:color="0000FF"/>
            </w:tcBorders>
            <w:gridSpan w:val="6"/>
          </w:tcPr>
          <w:p>
            <w:pPr>
              <w:spacing w:after="0" w:line="182" w:lineRule="exact"/>
              <w:rPr>
                <w:sz w:val="20"/>
                <w:szCs w:val="20"/>
                <w:color w:val="auto"/>
              </w:rPr>
            </w:pPr>
            <w:r>
              <w:rPr>
                <w:rFonts w:ascii="Arial" w:cs="Arial" w:eastAsia="Arial" w:hAnsi="Arial"/>
                <w:sz w:val="18"/>
                <w:szCs w:val="18"/>
                <w:color w:val="0000FF"/>
                <w:w w:val="88"/>
              </w:rPr>
              <w:t>Controls and Procedures</w:t>
            </w:r>
          </w:p>
        </w:tc>
        <w:tc>
          <w:tcPr>
            <w:tcW w:w="20" w:type="dxa"/>
            <w:vAlign w:val="bottom"/>
            <w:tcBorders>
              <w:top w:val="single" w:sz="8" w:color="0000FF"/>
              <w:bottom w:val="single" w:sz="8" w:color="0000EE"/>
            </w:tcBorders>
          </w:tcPr>
          <w:p>
            <w:pPr>
              <w:spacing w:after="0"/>
              <w:rPr>
                <w:sz w:val="15"/>
                <w:szCs w:val="15"/>
                <w:color w:val="auto"/>
              </w:rPr>
            </w:pPr>
          </w:p>
        </w:tc>
        <w:tc>
          <w:tcPr>
            <w:tcW w:w="2560" w:type="dxa"/>
            <w:vAlign w:val="bottom"/>
            <w:tcBorders>
              <w:top w:val="single" w:sz="8" w:color="0000FF"/>
            </w:tcBorders>
            <w:gridSpan w:val="10"/>
          </w:tcPr>
          <w:p>
            <w:pPr>
              <w:spacing w:after="0"/>
              <w:rPr>
                <w:sz w:val="15"/>
                <w:szCs w:val="15"/>
                <w:color w:val="auto"/>
              </w:rPr>
            </w:pPr>
          </w:p>
        </w:tc>
        <w:tc>
          <w:tcPr>
            <w:tcW w:w="4940" w:type="dxa"/>
            <w:vAlign w:val="bottom"/>
            <w:gridSpan w:val="4"/>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82"/>
        </w:trPr>
        <w:tc>
          <w:tcPr>
            <w:tcW w:w="114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PART II.</w:t>
            </w:r>
          </w:p>
        </w:tc>
        <w:tc>
          <w:tcPr>
            <w:tcW w:w="1800" w:type="dxa"/>
            <w:vAlign w:val="bottom"/>
            <w:tcBorders>
              <w:bottom w:val="single" w:sz="8" w:color="0000FF"/>
            </w:tcBorders>
            <w:gridSpan w:val="7"/>
          </w:tcPr>
          <w:p>
            <w:pPr>
              <w:spacing w:after="0" w:line="182" w:lineRule="exact"/>
              <w:rPr>
                <w:sz w:val="20"/>
                <w:szCs w:val="20"/>
                <w:color w:val="auto"/>
              </w:rPr>
            </w:pPr>
            <w:r>
              <w:rPr>
                <w:rFonts w:ascii="Arial" w:cs="Arial" w:eastAsia="Arial" w:hAnsi="Arial"/>
                <w:sz w:val="18"/>
                <w:szCs w:val="18"/>
                <w:color w:val="0000FF"/>
                <w:w w:val="91"/>
              </w:rPr>
              <w:t>OTHER INFORMATION</w:t>
            </w:r>
          </w:p>
        </w:tc>
        <w:tc>
          <w:tcPr>
            <w:tcW w:w="80" w:type="dxa"/>
            <w:vAlign w:val="bottom"/>
            <w:tcBorders>
              <w:bottom w:val="single" w:sz="8" w:color="0000FF"/>
            </w:tcBorders>
            <w:gridSpan w:val="2"/>
          </w:tcPr>
          <w:p>
            <w:pPr>
              <w:spacing w:after="0"/>
              <w:rPr>
                <w:sz w:val="15"/>
                <w:szCs w:val="15"/>
                <w:color w:val="auto"/>
              </w:rPr>
            </w:pPr>
          </w:p>
        </w:tc>
        <w:tc>
          <w:tcPr>
            <w:tcW w:w="440" w:type="dxa"/>
            <w:vAlign w:val="bottom"/>
          </w:tcPr>
          <w:p>
            <w:pPr>
              <w:spacing w:after="0"/>
              <w:rPr>
                <w:sz w:val="15"/>
                <w:szCs w:val="15"/>
                <w:color w:val="auto"/>
              </w:rPr>
            </w:pPr>
          </w:p>
        </w:tc>
        <w:tc>
          <w:tcPr>
            <w:tcW w:w="2020" w:type="dxa"/>
            <w:vAlign w:val="bottom"/>
            <w:gridSpan w:val="6"/>
          </w:tcPr>
          <w:p>
            <w:pPr>
              <w:spacing w:after="0"/>
              <w:rPr>
                <w:sz w:val="15"/>
                <w:szCs w:val="15"/>
                <w:color w:val="auto"/>
              </w:rPr>
            </w:pPr>
          </w:p>
        </w:tc>
        <w:tc>
          <w:tcPr>
            <w:tcW w:w="4960" w:type="dxa"/>
            <w:vAlign w:val="bottom"/>
            <w:gridSpan w:val="5"/>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82"/>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1.</w:t>
            </w:r>
          </w:p>
        </w:tc>
        <w:tc>
          <w:tcPr>
            <w:tcW w:w="1880" w:type="dxa"/>
            <w:vAlign w:val="bottom"/>
            <w:gridSpan w:val="9"/>
          </w:tcPr>
          <w:p>
            <w:pPr>
              <w:spacing w:after="0" w:line="182" w:lineRule="exact"/>
              <w:rPr>
                <w:sz w:val="20"/>
                <w:szCs w:val="20"/>
                <w:color w:val="auto"/>
              </w:rPr>
            </w:pPr>
            <w:r>
              <w:rPr>
                <w:rFonts w:ascii="Arial" w:cs="Arial" w:eastAsia="Arial" w:hAnsi="Arial"/>
                <w:sz w:val="18"/>
                <w:szCs w:val="18"/>
                <w:color w:val="0000FF"/>
              </w:rPr>
              <w:t>Legal Proceedings</w:t>
            </w:r>
          </w:p>
        </w:tc>
        <w:tc>
          <w:tcPr>
            <w:tcW w:w="440" w:type="dxa"/>
            <w:vAlign w:val="bottom"/>
          </w:tcPr>
          <w:p>
            <w:pPr>
              <w:spacing w:after="0"/>
              <w:rPr>
                <w:sz w:val="15"/>
                <w:szCs w:val="15"/>
                <w:color w:val="auto"/>
              </w:rPr>
            </w:pPr>
          </w:p>
        </w:tc>
        <w:tc>
          <w:tcPr>
            <w:tcW w:w="2020" w:type="dxa"/>
            <w:vAlign w:val="bottom"/>
            <w:gridSpan w:val="6"/>
          </w:tcPr>
          <w:p>
            <w:pPr>
              <w:spacing w:after="0"/>
              <w:rPr>
                <w:sz w:val="15"/>
                <w:szCs w:val="15"/>
                <w:color w:val="auto"/>
              </w:rPr>
            </w:pPr>
          </w:p>
        </w:tc>
        <w:tc>
          <w:tcPr>
            <w:tcW w:w="4960" w:type="dxa"/>
            <w:vAlign w:val="bottom"/>
            <w:gridSpan w:val="5"/>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82"/>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1A.</w:t>
            </w:r>
          </w:p>
        </w:tc>
        <w:tc>
          <w:tcPr>
            <w:tcW w:w="920" w:type="dxa"/>
            <w:vAlign w:val="bottom"/>
            <w:tcBorders>
              <w:top w:val="single" w:sz="8" w:color="0000FF"/>
              <w:bottom w:val="single" w:sz="8" w:color="0000FF"/>
            </w:tcBorders>
            <w:gridSpan w:val="2"/>
          </w:tcPr>
          <w:p>
            <w:pPr>
              <w:spacing w:after="0" w:line="182" w:lineRule="exact"/>
              <w:rPr>
                <w:sz w:val="20"/>
                <w:szCs w:val="20"/>
                <w:color w:val="auto"/>
              </w:rPr>
            </w:pPr>
            <w:r>
              <w:rPr>
                <w:rFonts w:ascii="Arial" w:cs="Arial" w:eastAsia="Arial" w:hAnsi="Arial"/>
                <w:sz w:val="18"/>
                <w:szCs w:val="18"/>
                <w:color w:val="0000FF"/>
                <w:w w:val="89"/>
              </w:rPr>
              <w:t>Risk Factors</w:t>
            </w:r>
          </w:p>
        </w:tc>
        <w:tc>
          <w:tcPr>
            <w:tcW w:w="20" w:type="dxa"/>
            <w:vAlign w:val="bottom"/>
            <w:tcBorders>
              <w:top w:val="single" w:sz="8" w:color="0000FF"/>
              <w:bottom w:val="single" w:sz="8" w:color="0000EE"/>
            </w:tcBorders>
          </w:tcPr>
          <w:p>
            <w:pPr>
              <w:spacing w:after="0"/>
              <w:rPr>
                <w:sz w:val="15"/>
                <w:szCs w:val="15"/>
                <w:color w:val="auto"/>
              </w:rPr>
            </w:pPr>
          </w:p>
        </w:tc>
        <w:tc>
          <w:tcPr>
            <w:tcW w:w="400" w:type="dxa"/>
            <w:vAlign w:val="bottom"/>
            <w:tcBorders>
              <w:top w:val="single" w:sz="8" w:color="0000FF"/>
            </w:tcBorders>
            <w:gridSpan w:val="2"/>
          </w:tcPr>
          <w:p>
            <w:pPr>
              <w:spacing w:after="0"/>
              <w:rPr>
                <w:sz w:val="15"/>
                <w:szCs w:val="15"/>
                <w:color w:val="auto"/>
              </w:rPr>
            </w:pPr>
          </w:p>
        </w:tc>
        <w:tc>
          <w:tcPr>
            <w:tcW w:w="980" w:type="dxa"/>
            <w:vAlign w:val="bottom"/>
            <w:gridSpan w:val="5"/>
          </w:tcPr>
          <w:p>
            <w:pPr>
              <w:spacing w:after="0"/>
              <w:rPr>
                <w:sz w:val="15"/>
                <w:szCs w:val="15"/>
                <w:color w:val="auto"/>
              </w:rPr>
            </w:pPr>
          </w:p>
        </w:tc>
        <w:tc>
          <w:tcPr>
            <w:tcW w:w="2020" w:type="dxa"/>
            <w:vAlign w:val="bottom"/>
            <w:gridSpan w:val="6"/>
          </w:tcPr>
          <w:p>
            <w:pPr>
              <w:spacing w:after="0"/>
              <w:rPr>
                <w:sz w:val="15"/>
                <w:szCs w:val="15"/>
                <w:color w:val="auto"/>
              </w:rPr>
            </w:pPr>
          </w:p>
        </w:tc>
        <w:tc>
          <w:tcPr>
            <w:tcW w:w="4960" w:type="dxa"/>
            <w:vAlign w:val="bottom"/>
            <w:gridSpan w:val="5"/>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82"/>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2.</w:t>
            </w:r>
          </w:p>
        </w:tc>
        <w:tc>
          <w:tcPr>
            <w:tcW w:w="940" w:type="dxa"/>
            <w:vAlign w:val="bottom"/>
            <w:gridSpan w:val="3"/>
          </w:tcPr>
          <w:p>
            <w:pPr>
              <w:spacing w:after="0" w:line="182" w:lineRule="exact"/>
              <w:rPr>
                <w:sz w:val="20"/>
                <w:szCs w:val="20"/>
                <w:color w:val="auto"/>
              </w:rPr>
            </w:pPr>
            <w:r>
              <w:rPr>
                <w:rFonts w:ascii="Arial" w:cs="Arial" w:eastAsia="Arial" w:hAnsi="Arial"/>
                <w:sz w:val="18"/>
                <w:szCs w:val="18"/>
                <w:color w:val="0000FF"/>
                <w:w w:val="89"/>
              </w:rPr>
              <w:t>Unregistered</w:t>
            </w:r>
          </w:p>
        </w:tc>
        <w:tc>
          <w:tcPr>
            <w:tcW w:w="8360" w:type="dxa"/>
            <w:vAlign w:val="bottom"/>
            <w:gridSpan w:val="18"/>
          </w:tcPr>
          <w:p>
            <w:pPr>
              <w:ind w:left="40"/>
              <w:spacing w:after="0" w:line="182" w:lineRule="exact"/>
              <w:rPr>
                <w:sz w:val="20"/>
                <w:szCs w:val="20"/>
                <w:color w:val="auto"/>
              </w:rPr>
            </w:pPr>
            <w:r>
              <w:rPr>
                <w:rFonts w:ascii="Arial" w:cs="Arial" w:eastAsia="Arial" w:hAnsi="Arial"/>
                <w:sz w:val="18"/>
                <w:szCs w:val="18"/>
                <w:color w:val="0000FF"/>
              </w:rPr>
              <w:t>Sales of Equity Securities and Use of Proceeds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82"/>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3.</w:t>
            </w:r>
          </w:p>
        </w:tc>
        <w:tc>
          <w:tcPr>
            <w:tcW w:w="4340" w:type="dxa"/>
            <w:vAlign w:val="bottom"/>
            <w:tcBorders>
              <w:top w:val="single" w:sz="8" w:color="0000FF"/>
            </w:tcBorders>
            <w:gridSpan w:val="16"/>
          </w:tcPr>
          <w:p>
            <w:pPr>
              <w:spacing w:after="0" w:line="182" w:lineRule="exact"/>
              <w:rPr>
                <w:sz w:val="20"/>
                <w:szCs w:val="20"/>
                <w:color w:val="auto"/>
              </w:rPr>
            </w:pPr>
            <w:r>
              <w:rPr>
                <w:rFonts w:ascii="Arial" w:cs="Arial" w:eastAsia="Arial" w:hAnsi="Arial"/>
                <w:sz w:val="18"/>
                <w:szCs w:val="18"/>
                <w:color w:val="0000FF"/>
              </w:rPr>
              <w:t>Defaults Upon Senior Securities</w:t>
            </w:r>
          </w:p>
        </w:tc>
        <w:tc>
          <w:tcPr>
            <w:tcW w:w="4960" w:type="dxa"/>
            <w:vAlign w:val="bottom"/>
            <w:gridSpan w:val="5"/>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82"/>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4.</w:t>
            </w:r>
          </w:p>
        </w:tc>
        <w:tc>
          <w:tcPr>
            <w:tcW w:w="2320" w:type="dxa"/>
            <w:vAlign w:val="bottom"/>
            <w:tcBorders>
              <w:top w:val="single" w:sz="8" w:color="0000FF"/>
            </w:tcBorders>
            <w:gridSpan w:val="10"/>
          </w:tcPr>
          <w:p>
            <w:pPr>
              <w:spacing w:after="0" w:line="182" w:lineRule="exact"/>
              <w:rPr>
                <w:sz w:val="20"/>
                <w:szCs w:val="20"/>
                <w:color w:val="auto"/>
              </w:rPr>
            </w:pPr>
            <w:r>
              <w:rPr>
                <w:rFonts w:ascii="Arial" w:cs="Arial" w:eastAsia="Arial" w:hAnsi="Arial"/>
                <w:sz w:val="18"/>
                <w:szCs w:val="18"/>
                <w:color w:val="0000FF"/>
              </w:rPr>
              <w:t>Mine Safety Disclosures</w:t>
            </w:r>
          </w:p>
        </w:tc>
        <w:tc>
          <w:tcPr>
            <w:tcW w:w="6980" w:type="dxa"/>
            <w:vAlign w:val="bottom"/>
            <w:gridSpan w:val="11"/>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82"/>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5.</w:t>
            </w:r>
          </w:p>
        </w:tc>
        <w:tc>
          <w:tcPr>
            <w:tcW w:w="1780" w:type="dxa"/>
            <w:vAlign w:val="bottom"/>
            <w:tcBorders>
              <w:top w:val="single" w:sz="8" w:color="0000FF"/>
            </w:tcBorders>
            <w:gridSpan w:val="6"/>
          </w:tcPr>
          <w:p>
            <w:pPr>
              <w:spacing w:after="0" w:line="182" w:lineRule="exact"/>
              <w:rPr>
                <w:sz w:val="20"/>
                <w:szCs w:val="20"/>
                <w:color w:val="auto"/>
              </w:rPr>
            </w:pPr>
            <w:r>
              <w:rPr>
                <w:rFonts w:ascii="Arial" w:cs="Arial" w:eastAsia="Arial" w:hAnsi="Arial"/>
                <w:sz w:val="18"/>
                <w:szCs w:val="18"/>
                <w:color w:val="0000FF"/>
              </w:rPr>
              <w:t>Other Information</w:t>
            </w:r>
          </w:p>
        </w:tc>
        <w:tc>
          <w:tcPr>
            <w:tcW w:w="7520" w:type="dxa"/>
            <w:vAlign w:val="bottom"/>
            <w:gridSpan w:val="15"/>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82"/>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6.</w:t>
            </w:r>
          </w:p>
        </w:tc>
        <w:tc>
          <w:tcPr>
            <w:tcW w:w="1320" w:type="dxa"/>
            <w:vAlign w:val="bottom"/>
            <w:tcBorders>
              <w:top w:val="single" w:sz="8" w:color="0000FF"/>
            </w:tcBorders>
            <w:gridSpan w:val="4"/>
          </w:tcPr>
          <w:p>
            <w:pPr>
              <w:spacing w:after="0" w:line="182" w:lineRule="exact"/>
              <w:rPr>
                <w:sz w:val="20"/>
                <w:szCs w:val="20"/>
                <w:color w:val="auto"/>
              </w:rPr>
            </w:pPr>
            <w:r>
              <w:rPr>
                <w:rFonts w:ascii="Arial" w:cs="Arial" w:eastAsia="Arial" w:hAnsi="Arial"/>
                <w:sz w:val="18"/>
                <w:szCs w:val="18"/>
                <w:color w:val="0000FF"/>
              </w:rPr>
              <w:t>Exhibits</w:t>
            </w:r>
          </w:p>
        </w:tc>
        <w:tc>
          <w:tcPr>
            <w:tcW w:w="7980" w:type="dxa"/>
            <w:vAlign w:val="bottom"/>
            <w:gridSpan w:val="17"/>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82"/>
        </w:trPr>
        <w:tc>
          <w:tcPr>
            <w:tcW w:w="760" w:type="dxa"/>
            <w:vAlign w:val="bottom"/>
            <w:tcBorders>
              <w:bottom w:val="single" w:sz="8" w:color="0000FF"/>
            </w:tcBorders>
          </w:tcPr>
          <w:p>
            <w:pPr>
              <w:spacing w:after="0" w:line="182" w:lineRule="exact"/>
              <w:rPr>
                <w:sz w:val="20"/>
                <w:szCs w:val="20"/>
                <w:color w:val="auto"/>
              </w:rPr>
            </w:pPr>
            <w:r>
              <w:rPr>
                <w:rFonts w:ascii="Arial" w:cs="Arial" w:eastAsia="Arial" w:hAnsi="Arial"/>
                <w:sz w:val="18"/>
                <w:szCs w:val="18"/>
                <w:color w:val="0000FF"/>
                <w:w w:val="85"/>
              </w:rPr>
              <w:t>Signatures</w:t>
            </w:r>
          </w:p>
        </w:tc>
        <w:tc>
          <w:tcPr>
            <w:tcW w:w="380" w:type="dxa"/>
            <w:vAlign w:val="bottom"/>
          </w:tcPr>
          <w:p>
            <w:pPr>
              <w:spacing w:after="0"/>
              <w:rPr>
                <w:sz w:val="15"/>
                <w:szCs w:val="15"/>
                <w:color w:val="auto"/>
              </w:rPr>
            </w:pPr>
          </w:p>
        </w:tc>
        <w:tc>
          <w:tcPr>
            <w:tcW w:w="600" w:type="dxa"/>
            <w:vAlign w:val="bottom"/>
            <w:tcBorders>
              <w:top w:val="single" w:sz="8" w:color="0000FF"/>
            </w:tcBorders>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2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13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This Quarterly Report on Form 10-Q contains “forward-looking statements” regarding Columbia Care Inc. and its subsidiaries (collectively referred to as “Columbia Care,” “we,” “us,” “our,” or the “Company”). We make forward-looking statements related to future expectations, estimates, and projections that are uncertain and often contain words such as, but not limited to, “may”, “would”, “could”, “should”, “will”, “intend”, “plan”, “anticipate”, “believe”, “estimate”, “expect” or other similar words or phrases. These statements are not guarantees of future performance and are subject to known and unknown risks, uncertainties, and assumptions that are difficult to predict. Particular risks and uncertainties that could cause our actual results to be materially different from those expressed in our forward-looking statements include those listed below:</w:t>
      </w:r>
    </w:p>
    <w:p>
      <w:pPr>
        <w:spacing w:after="0" w:line="86" w:lineRule="exact"/>
        <w:rPr>
          <w:sz w:val="20"/>
          <w:szCs w:val="20"/>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satisfaction of the conditions precedent to the closing of the Cresco Transaction (as defined herein);</w:t>
      </w:r>
    </w:p>
    <w:p>
      <w:pPr>
        <w:spacing w:after="0" w:line="112"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receipt of any necessary regulatory approvals in connection with Cresco Transaction (as defined herein);</w:t>
      </w:r>
    </w:p>
    <w:p>
      <w:pPr>
        <w:spacing w:after="0" w:line="99"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of the Cresco Transaction (as defined herein) on the Company’s current and future operations, financial condition and prospects;</w:t>
      </w:r>
    </w:p>
    <w:p>
      <w:pPr>
        <w:spacing w:after="0" w:line="112"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value of the Cresco Labs Shares (as defined herein);</w:t>
      </w:r>
    </w:p>
    <w:p>
      <w:pPr>
        <w:spacing w:after="0" w:line="112"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costs of the Cresco Transaction (as defined herein) and potential payment of a termination fee in connection with the Cresco Transaction (as defined herein);</w:t>
      </w:r>
    </w:p>
    <w:p>
      <w:pPr>
        <w:spacing w:after="0" w:line="124" w:lineRule="exact"/>
        <w:rPr>
          <w:rFonts w:ascii="Arial" w:cs="Arial" w:eastAsia="Arial" w:hAnsi="Arial"/>
          <w:sz w:val="15"/>
          <w:szCs w:val="15"/>
          <w:color w:val="auto"/>
        </w:rPr>
      </w:pPr>
    </w:p>
    <w:p>
      <w:pPr>
        <w:ind w:left="380" w:hanging="372"/>
        <w:spacing w:after="0" w:line="275" w:lineRule="auto"/>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ability to successfully integrate with the operations of Cresco Labs (as defined herein) and realize the expected benefits of the Cresco Transaction (as defined herein);</w:t>
      </w:r>
    </w:p>
    <w:p>
      <w:pPr>
        <w:spacing w:after="0" w:line="50"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fact that marijuana remains illegal under federal law;</w:t>
      </w:r>
    </w:p>
    <w:p>
      <w:pPr>
        <w:spacing w:after="0" w:line="112"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application of anti-money laundering laws and regulations to the Company;</w:t>
      </w:r>
    </w:p>
    <w:p>
      <w:pPr>
        <w:spacing w:after="0" w:line="112"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legal, regulatory, or political change to the cannabis industry;</w:t>
      </w:r>
    </w:p>
    <w:p>
      <w:pPr>
        <w:spacing w:after="0" w:line="112"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access to the services of banks for the Company, Cresco Labs or buyers of divestiture assets in relation to the Cresco Transaction (as defined herein);</w:t>
      </w:r>
    </w:p>
    <w:p>
      <w:pPr>
        <w:spacing w:after="0" w:line="112"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ability to complete divestitures in connection with the Cresco Transaction, including the closing of the Combs Transaction (as defined herein);</w:t>
      </w:r>
    </w:p>
    <w:p>
      <w:pPr>
        <w:spacing w:after="0" w:line="99"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access to public and private capital;</w:t>
      </w:r>
    </w:p>
    <w:p>
      <w:pPr>
        <w:spacing w:after="0" w:line="112"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unfavorable publicity or consumer perception of the cannabis industry;</w:t>
      </w:r>
    </w:p>
    <w:p>
      <w:pPr>
        <w:spacing w:after="0" w:line="112"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expansion to the adult-use markets;</w:t>
      </w:r>
    </w:p>
    <w:p>
      <w:pPr>
        <w:spacing w:after="0" w:line="112"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of laws, regulations, and guidelines;</w:t>
      </w:r>
    </w:p>
    <w:p>
      <w:pPr>
        <w:spacing w:after="0" w:line="112"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of Section 280E of the Internal Revenue Code;</w:t>
      </w:r>
    </w:p>
    <w:p>
      <w:pPr>
        <w:spacing w:after="0" w:line="99"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of state laws pertaining to the cannabis industry;</w:t>
      </w:r>
    </w:p>
    <w:p>
      <w:pPr>
        <w:spacing w:after="0" w:line="112"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Company’s reliance on key inputs, suppliers and skilled labor;</w:t>
      </w:r>
    </w:p>
    <w:p>
      <w:pPr>
        <w:spacing w:after="0" w:line="112"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difficulty of forecasting the Company’s sales;</w:t>
      </w:r>
    </w:p>
    <w:p>
      <w:pPr>
        <w:spacing w:after="0" w:line="112"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constraints on marketing products;</w:t>
      </w:r>
    </w:p>
    <w:p>
      <w:pPr>
        <w:spacing w:after="0" w:line="99"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potential cyber-attacks and security breaches;</w:t>
      </w:r>
    </w:p>
    <w:p>
      <w:pPr>
        <w:spacing w:after="0" w:line="112"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net operating loss and other tax attribute limitations;</w:t>
      </w:r>
    </w:p>
    <w:p>
      <w:pPr>
        <w:spacing w:after="0" w:line="112"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of changes in tax laws;</w:t>
      </w:r>
    </w:p>
    <w:p>
      <w:pPr>
        <w:spacing w:after="0" w:line="112"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volatility of the market price of the Common Shares;</w:t>
      </w:r>
    </w:p>
    <w:p>
      <w:pPr>
        <w:spacing w:after="0" w:line="112"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reliance on management;</w:t>
      </w:r>
    </w:p>
    <w:p>
      <w:pPr>
        <w:spacing w:after="0" w:line="99"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litigation;</w:t>
      </w:r>
    </w:p>
    <w:p>
      <w:pPr>
        <w:spacing w:after="0" w:line="112"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future results and financial projections; and</w:t>
      </w:r>
    </w:p>
    <w:p>
      <w:pPr>
        <w:spacing w:after="0" w:line="112"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of global financial conditions</w:t>
      </w:r>
    </w:p>
    <w:p>
      <w:pPr>
        <w:spacing w:after="0" w:line="153" w:lineRule="exact"/>
        <w:rPr>
          <w:sz w:val="20"/>
          <w:szCs w:val="20"/>
          <w:color w:val="auto"/>
        </w:rPr>
      </w:pPr>
    </w:p>
    <w:p>
      <w:pPr>
        <w:jc w:val="both"/>
        <w:ind w:right="20"/>
        <w:spacing w:after="0" w:line="250" w:lineRule="auto"/>
        <w:rPr>
          <w:sz w:val="20"/>
          <w:szCs w:val="20"/>
          <w:color w:val="auto"/>
        </w:rPr>
      </w:pPr>
      <w:r>
        <w:rPr>
          <w:rFonts w:ascii="Arial" w:cs="Arial" w:eastAsia="Arial" w:hAnsi="Arial"/>
          <w:sz w:val="16"/>
          <w:szCs w:val="16"/>
          <w:color w:val="auto"/>
        </w:rPr>
        <w:t>The list of factors above is illustrative and by no means exhaustive. Additional information regarding these risks and other risks and uncertainties we face is contained in this Quarterly Report on Form 10-Q, our Annual Report on Form 10-K for the year ended December 31, 2021, and our Form 10, dated May 9, 2022. Although the Company has attempted to identify important factors that could cause actual results to differ materially from those contained in forward-looking information, there may be other factors that cause results not to be as anticipated, estimated, or intended.</w:t>
      </w:r>
    </w:p>
    <w:p>
      <w:pPr>
        <w:spacing w:after="0" w:line="11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urge readers to consider these risks and uncertainties in evaluating our forward-looking statements. We caution readers not to place undue reliance upon any such forward-looking statements, which speak only as of the date made. We undertake no obligation to publicly update any forward-looking statements, whether as a result of new information, future events, or otherwise, except as required by law.</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ind w:left="4640"/>
        <w:spacing w:after="0"/>
        <w:rPr>
          <w:sz w:val="20"/>
          <w:szCs w:val="20"/>
          <w:color w:val="auto"/>
        </w:rPr>
      </w:pPr>
      <w:r>
        <w:rPr>
          <w:rFonts w:ascii="Arial" w:cs="Arial" w:eastAsia="Arial" w:hAnsi="Arial"/>
          <w:sz w:val="18"/>
          <w:szCs w:val="18"/>
          <w:b w:val="1"/>
          <w:bCs w:val="1"/>
          <w:color w:val="auto"/>
        </w:rPr>
        <w:t>COLUMBIA CARE INC.</w:t>
      </w:r>
    </w:p>
    <w:p>
      <w:pPr>
        <w:spacing w:after="0" w:line="24"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CONDENSED CONSOLIDATED INTERIM BALANCE SHEETS</w:t>
      </w:r>
    </w:p>
    <w:p>
      <w:pPr>
        <w:jc w:val="center"/>
        <w:spacing w:after="0" w:line="234" w:lineRule="auto"/>
        <w:rPr>
          <w:sz w:val="20"/>
          <w:szCs w:val="20"/>
          <w:color w:val="auto"/>
        </w:rPr>
      </w:pPr>
      <w:r>
        <w:rPr>
          <w:rFonts w:ascii="Arial" w:cs="Arial" w:eastAsia="Arial" w:hAnsi="Arial"/>
          <w:sz w:val="18"/>
          <w:szCs w:val="18"/>
          <w:color w:val="auto"/>
        </w:rPr>
        <w:t>(Unaudited)</w:t>
      </w:r>
    </w:p>
    <w:p>
      <w:pPr>
        <w:jc w:val="center"/>
        <w:spacing w:after="0"/>
        <w:rPr>
          <w:sz w:val="20"/>
          <w:szCs w:val="20"/>
          <w:color w:val="auto"/>
        </w:rPr>
      </w:pPr>
      <w:r>
        <w:rPr>
          <w:rFonts w:ascii="Arial" w:cs="Arial" w:eastAsia="Arial" w:hAnsi="Arial"/>
          <w:sz w:val="18"/>
          <w:szCs w:val="18"/>
          <w:color w:val="auto"/>
        </w:rPr>
        <w:t>(Expressed in thousands of U.S. dollars,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7"/>
              </w:rPr>
              <w:t>September 30, 2022</w:t>
            </w:r>
          </w:p>
        </w:tc>
        <w:tc>
          <w:tcPr>
            <w:tcW w:w="140" w:type="dxa"/>
            <w:vAlign w:val="bottom"/>
          </w:tcPr>
          <w:p>
            <w:pPr>
              <w:spacing w:after="0"/>
              <w:rPr>
                <w:sz w:val="16"/>
                <w:szCs w:val="16"/>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5"/>
              </w:rPr>
              <w:t>December 31, 2021</w:t>
            </w:r>
          </w:p>
        </w:tc>
      </w:tr>
      <w:tr>
        <w:trPr>
          <w:trHeight w:val="169"/>
        </w:trPr>
        <w:tc>
          <w:tcPr>
            <w:tcW w:w="764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Assets</w:t>
            </w:r>
          </w:p>
        </w:tc>
        <w:tc>
          <w:tcPr>
            <w:tcW w:w="160" w:type="dxa"/>
            <w:vAlign w:val="bottom"/>
            <w:tcBorders>
              <w:top w:val="single" w:sz="8" w:color="auto"/>
            </w:tcBorders>
            <w:shd w:val="clear" w:color="auto" w:fill="CFF0FC"/>
          </w:tcPr>
          <w:p>
            <w:pPr>
              <w:spacing w:after="0"/>
              <w:rPr>
                <w:sz w:val="14"/>
                <w:szCs w:val="14"/>
                <w:color w:val="auto"/>
              </w:rPr>
            </w:pPr>
          </w:p>
        </w:tc>
        <w:tc>
          <w:tcPr>
            <w:tcW w:w="1540" w:type="dxa"/>
            <w:vAlign w:val="bottom"/>
            <w:tcBorders>
              <w:top w:val="single" w:sz="8" w:color="auto"/>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142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764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1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76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Cash</w:t>
            </w: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50,023</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82,198</w:t>
            </w:r>
          </w:p>
        </w:tc>
        <w:tc>
          <w:tcPr>
            <w:tcW w:w="100" w:type="dxa"/>
            <w:vAlign w:val="bottom"/>
            <w:shd w:val="clear" w:color="auto" w:fill="CFF0FC"/>
          </w:tcPr>
          <w:p>
            <w:pPr>
              <w:spacing w:after="0"/>
              <w:rPr>
                <w:sz w:val="15"/>
                <w:szCs w:val="15"/>
                <w:color w:val="auto"/>
              </w:rPr>
            </w:pPr>
          </w:p>
        </w:tc>
      </w:tr>
      <w:tr>
        <w:trPr>
          <w:trHeight w:val="175"/>
        </w:trPr>
        <w:tc>
          <w:tcPr>
            <w:tcW w:w="7640" w:type="dxa"/>
            <w:vAlign w:val="bottom"/>
          </w:tcPr>
          <w:p>
            <w:pPr>
              <w:ind w:left="200"/>
              <w:spacing w:after="0"/>
              <w:rPr>
                <w:sz w:val="20"/>
                <w:szCs w:val="20"/>
                <w:color w:val="auto"/>
              </w:rPr>
            </w:pPr>
            <w:r>
              <w:rPr>
                <w:rFonts w:ascii="Arial" w:cs="Arial" w:eastAsia="Arial" w:hAnsi="Arial"/>
                <w:sz w:val="14"/>
                <w:szCs w:val="14"/>
                <w:color w:val="auto"/>
              </w:rPr>
              <w:t>Accounts receivable, net of allowances of $1,721 and, $2,542, respectively</w:t>
            </w:r>
          </w:p>
        </w:tc>
        <w:tc>
          <w:tcPr>
            <w:tcW w:w="16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12,647</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18,302</w:t>
            </w:r>
          </w:p>
        </w:tc>
        <w:tc>
          <w:tcPr>
            <w:tcW w:w="100" w:type="dxa"/>
            <w:vAlign w:val="bottom"/>
          </w:tcPr>
          <w:p>
            <w:pPr>
              <w:spacing w:after="0"/>
              <w:rPr>
                <w:sz w:val="15"/>
                <w:szCs w:val="15"/>
                <w:color w:val="auto"/>
              </w:rPr>
            </w:pPr>
          </w:p>
        </w:tc>
      </w:tr>
      <w:tr>
        <w:trPr>
          <w:trHeight w:val="175"/>
        </w:trPr>
        <w:tc>
          <w:tcPr>
            <w:tcW w:w="76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Inventory</w:t>
            </w:r>
          </w:p>
        </w:tc>
        <w:tc>
          <w:tcPr>
            <w:tcW w:w="160" w:type="dxa"/>
            <w:vAlign w:val="bottom"/>
            <w:shd w:val="clear" w:color="auto" w:fill="CFF0FC"/>
          </w:tcPr>
          <w:p>
            <w:pPr>
              <w:spacing w:after="0"/>
              <w:rPr>
                <w:sz w:val="15"/>
                <w:szCs w:val="15"/>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130,176</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94,567</w:t>
            </w:r>
          </w:p>
        </w:tc>
        <w:tc>
          <w:tcPr>
            <w:tcW w:w="100" w:type="dxa"/>
            <w:vAlign w:val="bottom"/>
            <w:shd w:val="clear" w:color="auto" w:fill="CFF0FC"/>
          </w:tcPr>
          <w:p>
            <w:pPr>
              <w:spacing w:after="0"/>
              <w:rPr>
                <w:sz w:val="15"/>
                <w:szCs w:val="15"/>
                <w:color w:val="auto"/>
              </w:rPr>
            </w:pPr>
          </w:p>
        </w:tc>
      </w:tr>
      <w:tr>
        <w:trPr>
          <w:trHeight w:val="175"/>
        </w:trPr>
        <w:tc>
          <w:tcPr>
            <w:tcW w:w="7640" w:type="dxa"/>
            <w:vAlign w:val="bottom"/>
          </w:tcPr>
          <w:p>
            <w:pPr>
              <w:ind w:left="200"/>
              <w:spacing w:after="0"/>
              <w:rPr>
                <w:sz w:val="20"/>
                <w:szCs w:val="20"/>
                <w:color w:val="auto"/>
              </w:rPr>
            </w:pPr>
            <w:r>
              <w:rPr>
                <w:rFonts w:ascii="Arial" w:cs="Arial" w:eastAsia="Arial" w:hAnsi="Arial"/>
                <w:sz w:val="14"/>
                <w:szCs w:val="14"/>
                <w:color w:val="auto"/>
              </w:rPr>
              <w:t>Prepaid expenses and other current assets</w:t>
            </w:r>
          </w:p>
        </w:tc>
        <w:tc>
          <w:tcPr>
            <w:tcW w:w="16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15,669</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29,252</w:t>
            </w:r>
          </w:p>
        </w:tc>
        <w:tc>
          <w:tcPr>
            <w:tcW w:w="100" w:type="dxa"/>
            <w:vAlign w:val="bottom"/>
          </w:tcPr>
          <w:p>
            <w:pPr>
              <w:spacing w:after="0"/>
              <w:rPr>
                <w:sz w:val="15"/>
                <w:szCs w:val="15"/>
                <w:color w:val="auto"/>
              </w:rPr>
            </w:pPr>
          </w:p>
        </w:tc>
      </w:tr>
      <w:tr>
        <w:trPr>
          <w:trHeight w:val="175"/>
        </w:trPr>
        <w:tc>
          <w:tcPr>
            <w:tcW w:w="76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Assets held for sale</w:t>
            </w:r>
          </w:p>
        </w:tc>
        <w:tc>
          <w:tcPr>
            <w:tcW w:w="160" w:type="dxa"/>
            <w:vAlign w:val="bottom"/>
            <w:shd w:val="clear" w:color="auto" w:fill="CFF0FC"/>
          </w:tcPr>
          <w:p>
            <w:pPr>
              <w:spacing w:after="0"/>
              <w:rPr>
                <w:sz w:val="15"/>
                <w:szCs w:val="15"/>
                <w:color w:val="auto"/>
              </w:rPr>
            </w:pPr>
          </w:p>
        </w:tc>
        <w:tc>
          <w:tcPr>
            <w:tcW w:w="17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2,120</w:t>
            </w:r>
          </w:p>
        </w:tc>
        <w:tc>
          <w:tcPr>
            <w:tcW w:w="100" w:type="dxa"/>
            <w:vAlign w:val="bottom"/>
            <w:shd w:val="clear" w:color="auto" w:fill="CFF0FC"/>
          </w:tcPr>
          <w:p>
            <w:pPr>
              <w:spacing w:after="0"/>
              <w:rPr>
                <w:sz w:val="15"/>
                <w:szCs w:val="15"/>
                <w:color w:val="auto"/>
              </w:rPr>
            </w:pPr>
          </w:p>
        </w:tc>
      </w:tr>
      <w:tr>
        <w:trPr>
          <w:trHeight w:val="169"/>
        </w:trPr>
        <w:tc>
          <w:tcPr>
            <w:tcW w:w="7640" w:type="dxa"/>
            <w:vAlign w:val="bottom"/>
            <w:tcBorders>
              <w:top w:val="single" w:sz="8" w:color="CFF0FC"/>
            </w:tcBorders>
          </w:tcPr>
          <w:p>
            <w:pPr>
              <w:ind w:left="200"/>
              <w:spacing w:after="0"/>
              <w:rPr>
                <w:sz w:val="20"/>
                <w:szCs w:val="20"/>
                <w:color w:val="auto"/>
              </w:rPr>
            </w:pPr>
            <w:r>
              <w:rPr>
                <w:rFonts w:ascii="Arial" w:cs="Arial" w:eastAsia="Arial" w:hAnsi="Arial"/>
                <w:sz w:val="14"/>
                <w:szCs w:val="14"/>
                <w:color w:val="auto"/>
              </w:rPr>
              <w:t>Total current assets</w:t>
            </w:r>
          </w:p>
        </w:tc>
        <w:tc>
          <w:tcPr>
            <w:tcW w:w="160" w:type="dxa"/>
            <w:vAlign w:val="bottom"/>
            <w:tcBorders>
              <w:top w:val="single" w:sz="8" w:color="auto"/>
              <w:bottom w:val="single" w:sz="8" w:color="auto"/>
            </w:tcBorders>
          </w:tcPr>
          <w:p>
            <w:pPr>
              <w:spacing w:after="0"/>
              <w:rPr>
                <w:sz w:val="14"/>
                <w:szCs w:val="14"/>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208,515</w:t>
            </w:r>
          </w:p>
        </w:tc>
        <w:tc>
          <w:tcPr>
            <w:tcW w:w="240" w:type="dxa"/>
            <w:vAlign w:val="bottom"/>
            <w:tcBorders>
              <w:top w:val="single" w:sz="8" w:color="CFF0FC"/>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226,439</w:t>
            </w:r>
          </w:p>
        </w:tc>
        <w:tc>
          <w:tcPr>
            <w:tcW w:w="100" w:type="dxa"/>
            <w:vAlign w:val="bottom"/>
            <w:tcBorders>
              <w:top w:val="single" w:sz="8" w:color="CFF0FC"/>
            </w:tcBorders>
          </w:tcPr>
          <w:p>
            <w:pPr>
              <w:spacing w:after="0"/>
              <w:rPr>
                <w:sz w:val="14"/>
                <w:szCs w:val="14"/>
                <w:color w:val="auto"/>
              </w:rPr>
            </w:pPr>
          </w:p>
        </w:tc>
      </w:tr>
      <w:tr>
        <w:trPr>
          <w:trHeight w:val="169"/>
        </w:trPr>
        <w:tc>
          <w:tcPr>
            <w:tcW w:w="76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7640" w:type="dxa"/>
            <w:vAlign w:val="bottom"/>
          </w:tcPr>
          <w:p>
            <w:pPr>
              <w:ind w:left="20"/>
              <w:spacing w:after="0"/>
              <w:rPr>
                <w:sz w:val="20"/>
                <w:szCs w:val="20"/>
                <w:color w:val="auto"/>
              </w:rPr>
            </w:pPr>
            <w:r>
              <w:rPr>
                <w:rFonts w:ascii="Arial" w:cs="Arial" w:eastAsia="Arial" w:hAnsi="Arial"/>
                <w:sz w:val="14"/>
                <w:szCs w:val="14"/>
                <w:color w:val="auto"/>
              </w:rPr>
              <w:t>Property and equipment, net</w:t>
            </w:r>
          </w:p>
        </w:tc>
        <w:tc>
          <w:tcPr>
            <w:tcW w:w="16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370,820</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339,692</w:t>
            </w:r>
          </w:p>
        </w:tc>
        <w:tc>
          <w:tcPr>
            <w:tcW w:w="100" w:type="dxa"/>
            <w:vAlign w:val="bottom"/>
          </w:tcPr>
          <w:p>
            <w:pPr>
              <w:spacing w:after="0"/>
              <w:rPr>
                <w:sz w:val="15"/>
                <w:szCs w:val="15"/>
                <w:color w:val="auto"/>
              </w:rPr>
            </w:pPr>
          </w:p>
        </w:tc>
      </w:tr>
      <w:tr>
        <w:trPr>
          <w:trHeight w:val="175"/>
        </w:trPr>
        <w:tc>
          <w:tcPr>
            <w:tcW w:w="7640" w:type="dxa"/>
            <w:vAlign w:val="bottom"/>
            <w:shd w:val="clear" w:color="auto" w:fill="CFF0FC"/>
          </w:tcPr>
          <w:p>
            <w:pPr>
              <w:ind w:left="20"/>
              <w:spacing w:after="0"/>
              <w:rPr>
                <w:sz w:val="20"/>
                <w:szCs w:val="20"/>
                <w:color w:val="auto"/>
              </w:rPr>
            </w:pPr>
            <w:r>
              <w:rPr>
                <w:rFonts w:ascii="Arial" w:cs="Arial" w:eastAsia="Arial" w:hAnsi="Arial"/>
                <w:sz w:val="14"/>
                <w:szCs w:val="14"/>
                <w:color w:val="auto"/>
              </w:rPr>
              <w:t>Right of use assets - operating leases, net</w:t>
            </w:r>
          </w:p>
        </w:tc>
        <w:tc>
          <w:tcPr>
            <w:tcW w:w="160" w:type="dxa"/>
            <w:vAlign w:val="bottom"/>
            <w:shd w:val="clear" w:color="auto" w:fill="CFF0FC"/>
          </w:tcPr>
          <w:p>
            <w:pPr>
              <w:spacing w:after="0"/>
              <w:rPr>
                <w:sz w:val="15"/>
                <w:szCs w:val="15"/>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197,311</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179,099</w:t>
            </w:r>
          </w:p>
        </w:tc>
        <w:tc>
          <w:tcPr>
            <w:tcW w:w="100" w:type="dxa"/>
            <w:vAlign w:val="bottom"/>
            <w:shd w:val="clear" w:color="auto" w:fill="CFF0FC"/>
          </w:tcPr>
          <w:p>
            <w:pPr>
              <w:spacing w:after="0"/>
              <w:rPr>
                <w:sz w:val="15"/>
                <w:szCs w:val="15"/>
                <w:color w:val="auto"/>
              </w:rPr>
            </w:pPr>
          </w:p>
        </w:tc>
      </w:tr>
      <w:tr>
        <w:trPr>
          <w:trHeight w:val="175"/>
        </w:trPr>
        <w:tc>
          <w:tcPr>
            <w:tcW w:w="7640" w:type="dxa"/>
            <w:vAlign w:val="bottom"/>
          </w:tcPr>
          <w:p>
            <w:pPr>
              <w:ind w:left="20"/>
              <w:spacing w:after="0"/>
              <w:rPr>
                <w:sz w:val="20"/>
                <w:szCs w:val="20"/>
                <w:color w:val="auto"/>
              </w:rPr>
            </w:pPr>
            <w:r>
              <w:rPr>
                <w:rFonts w:ascii="Arial" w:cs="Arial" w:eastAsia="Arial" w:hAnsi="Arial"/>
                <w:sz w:val="14"/>
                <w:szCs w:val="14"/>
                <w:color w:val="auto"/>
              </w:rPr>
              <w:t>Right of use assets - finance leases, net</w:t>
            </w:r>
          </w:p>
        </w:tc>
        <w:tc>
          <w:tcPr>
            <w:tcW w:w="16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62,344</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66,442</w:t>
            </w:r>
          </w:p>
        </w:tc>
        <w:tc>
          <w:tcPr>
            <w:tcW w:w="100" w:type="dxa"/>
            <w:vAlign w:val="bottom"/>
          </w:tcPr>
          <w:p>
            <w:pPr>
              <w:spacing w:after="0"/>
              <w:rPr>
                <w:sz w:val="15"/>
                <w:szCs w:val="15"/>
                <w:color w:val="auto"/>
              </w:rPr>
            </w:pPr>
          </w:p>
        </w:tc>
      </w:tr>
      <w:tr>
        <w:trPr>
          <w:trHeight w:val="175"/>
        </w:trPr>
        <w:tc>
          <w:tcPr>
            <w:tcW w:w="7640" w:type="dxa"/>
            <w:vAlign w:val="bottom"/>
            <w:shd w:val="clear" w:color="auto" w:fill="CFF0FC"/>
          </w:tcPr>
          <w:p>
            <w:pPr>
              <w:ind w:left="20"/>
              <w:spacing w:after="0"/>
              <w:rPr>
                <w:sz w:val="20"/>
                <w:szCs w:val="20"/>
                <w:color w:val="auto"/>
              </w:rPr>
            </w:pPr>
            <w:r>
              <w:rPr>
                <w:rFonts w:ascii="Arial" w:cs="Arial" w:eastAsia="Arial" w:hAnsi="Arial"/>
                <w:sz w:val="14"/>
                <w:szCs w:val="14"/>
                <w:color w:val="auto"/>
              </w:rPr>
              <w:t>Goodwill</w:t>
            </w:r>
          </w:p>
        </w:tc>
        <w:tc>
          <w:tcPr>
            <w:tcW w:w="160" w:type="dxa"/>
            <w:vAlign w:val="bottom"/>
            <w:shd w:val="clear" w:color="auto" w:fill="CFF0FC"/>
          </w:tcPr>
          <w:p>
            <w:pPr>
              <w:spacing w:after="0"/>
              <w:rPr>
                <w:sz w:val="15"/>
                <w:szCs w:val="15"/>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189,917</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184,018</w:t>
            </w:r>
          </w:p>
        </w:tc>
        <w:tc>
          <w:tcPr>
            <w:tcW w:w="100" w:type="dxa"/>
            <w:vAlign w:val="bottom"/>
            <w:shd w:val="clear" w:color="auto" w:fill="CFF0FC"/>
          </w:tcPr>
          <w:p>
            <w:pPr>
              <w:spacing w:after="0"/>
              <w:rPr>
                <w:sz w:val="15"/>
                <w:szCs w:val="15"/>
                <w:color w:val="auto"/>
              </w:rPr>
            </w:pPr>
          </w:p>
        </w:tc>
      </w:tr>
      <w:tr>
        <w:trPr>
          <w:trHeight w:val="175"/>
        </w:trPr>
        <w:tc>
          <w:tcPr>
            <w:tcW w:w="7640" w:type="dxa"/>
            <w:vAlign w:val="bottom"/>
          </w:tcPr>
          <w:p>
            <w:pPr>
              <w:ind w:left="20"/>
              <w:spacing w:after="0"/>
              <w:rPr>
                <w:sz w:val="20"/>
                <w:szCs w:val="20"/>
                <w:color w:val="auto"/>
              </w:rPr>
            </w:pPr>
            <w:r>
              <w:rPr>
                <w:rFonts w:ascii="Arial" w:cs="Arial" w:eastAsia="Arial" w:hAnsi="Arial"/>
                <w:sz w:val="14"/>
                <w:szCs w:val="14"/>
                <w:color w:val="auto"/>
              </w:rPr>
              <w:t>Intangible assets, net</w:t>
            </w:r>
          </w:p>
        </w:tc>
        <w:tc>
          <w:tcPr>
            <w:tcW w:w="16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325,680</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367,787</w:t>
            </w:r>
          </w:p>
        </w:tc>
        <w:tc>
          <w:tcPr>
            <w:tcW w:w="100" w:type="dxa"/>
            <w:vAlign w:val="bottom"/>
          </w:tcPr>
          <w:p>
            <w:pPr>
              <w:spacing w:after="0"/>
              <w:rPr>
                <w:sz w:val="15"/>
                <w:szCs w:val="15"/>
                <w:color w:val="auto"/>
              </w:rPr>
            </w:pPr>
          </w:p>
        </w:tc>
      </w:tr>
      <w:tr>
        <w:trPr>
          <w:trHeight w:val="175"/>
        </w:trPr>
        <w:tc>
          <w:tcPr>
            <w:tcW w:w="7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Other non-current assets</w:t>
            </w:r>
          </w:p>
        </w:tc>
        <w:tc>
          <w:tcPr>
            <w:tcW w:w="160" w:type="dxa"/>
            <w:vAlign w:val="bottom"/>
            <w:tcBorders>
              <w:bottom w:val="single" w:sz="8" w:color="auto"/>
            </w:tcBorders>
            <w:shd w:val="clear" w:color="auto" w:fill="CFF0FC"/>
          </w:tcPr>
          <w:p>
            <w:pPr>
              <w:spacing w:after="0"/>
              <w:rPr>
                <w:sz w:val="15"/>
                <w:szCs w:val="15"/>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16,991</w:t>
            </w:r>
          </w:p>
        </w:tc>
        <w:tc>
          <w:tcPr>
            <w:tcW w:w="2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13,035</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7640" w:type="dxa"/>
            <w:vAlign w:val="bottom"/>
          </w:tcPr>
          <w:p>
            <w:pPr>
              <w:ind w:left="20"/>
              <w:spacing w:after="0"/>
              <w:rPr>
                <w:sz w:val="20"/>
                <w:szCs w:val="20"/>
                <w:color w:val="auto"/>
              </w:rPr>
            </w:pPr>
            <w:r>
              <w:rPr>
                <w:rFonts w:ascii="Arial" w:cs="Arial" w:eastAsia="Arial" w:hAnsi="Arial"/>
                <w:sz w:val="14"/>
                <w:szCs w:val="14"/>
                <w:color w:val="auto"/>
              </w:rPr>
              <w:t>Total assets</w:t>
            </w:r>
          </w:p>
        </w:tc>
        <w:tc>
          <w:tcPr>
            <w:tcW w:w="1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1,371,578</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1,376,512</w:t>
            </w:r>
          </w:p>
        </w:tc>
        <w:tc>
          <w:tcPr>
            <w:tcW w:w="100" w:type="dxa"/>
            <w:vAlign w:val="bottom"/>
          </w:tcPr>
          <w:p>
            <w:pPr>
              <w:spacing w:after="0"/>
              <w:rPr>
                <w:sz w:val="14"/>
                <w:szCs w:val="14"/>
                <w:color w:val="auto"/>
              </w:rPr>
            </w:pPr>
          </w:p>
        </w:tc>
      </w:tr>
      <w:tr>
        <w:trPr>
          <w:trHeight w:val="20"/>
        </w:trPr>
        <w:tc>
          <w:tcPr>
            <w:tcW w:w="7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76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5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75"/>
        </w:trPr>
        <w:tc>
          <w:tcPr>
            <w:tcW w:w="7640" w:type="dxa"/>
            <w:vAlign w:val="bottom"/>
          </w:tcPr>
          <w:p>
            <w:pPr>
              <w:ind w:left="20"/>
              <w:spacing w:after="0"/>
              <w:rPr>
                <w:sz w:val="20"/>
                <w:szCs w:val="20"/>
                <w:color w:val="auto"/>
              </w:rPr>
            </w:pPr>
            <w:r>
              <w:rPr>
                <w:rFonts w:ascii="Arial" w:cs="Arial" w:eastAsia="Arial" w:hAnsi="Arial"/>
                <w:sz w:val="14"/>
                <w:szCs w:val="14"/>
                <w:b w:val="1"/>
                <w:bCs w:val="1"/>
                <w:color w:val="auto"/>
              </w:rPr>
              <w:t>Liabilities and Equity</w:t>
            </w:r>
          </w:p>
        </w:tc>
        <w:tc>
          <w:tcPr>
            <w:tcW w:w="1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7640" w:type="dxa"/>
            <w:vAlign w:val="bottom"/>
            <w:shd w:val="clear" w:color="auto" w:fill="CFF0FC"/>
          </w:tcPr>
          <w:p>
            <w:pPr>
              <w:ind w:left="20"/>
              <w:spacing w:after="0"/>
              <w:rPr>
                <w:sz w:val="20"/>
                <w:szCs w:val="20"/>
                <w:color w:val="auto"/>
              </w:rPr>
            </w:pPr>
            <w:r>
              <w:rPr>
                <w:rFonts w:ascii="Arial" w:cs="Arial" w:eastAsia="Arial" w:hAnsi="Arial"/>
                <w:sz w:val="14"/>
                <w:szCs w:val="14"/>
                <w:color w:val="auto"/>
              </w:rPr>
              <w:t>Current liabilities:</w:t>
            </w:r>
          </w:p>
        </w:tc>
        <w:tc>
          <w:tcPr>
            <w:tcW w:w="160" w:type="dxa"/>
            <w:vAlign w:val="bottom"/>
            <w:shd w:val="clear" w:color="auto" w:fill="CFF0FC"/>
          </w:tcPr>
          <w:p>
            <w:pPr>
              <w:spacing w:after="0"/>
              <w:rPr>
                <w:sz w:val="15"/>
                <w:szCs w:val="15"/>
                <w:color w:val="auto"/>
              </w:rPr>
            </w:pPr>
          </w:p>
        </w:tc>
        <w:tc>
          <w:tcPr>
            <w:tcW w:w="15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7640" w:type="dxa"/>
            <w:vAlign w:val="bottom"/>
          </w:tcPr>
          <w:p>
            <w:pPr>
              <w:ind w:left="200"/>
              <w:spacing w:after="0"/>
              <w:rPr>
                <w:sz w:val="20"/>
                <w:szCs w:val="20"/>
                <w:color w:val="auto"/>
              </w:rPr>
            </w:pPr>
            <w:r>
              <w:rPr>
                <w:rFonts w:ascii="Arial" w:cs="Arial" w:eastAsia="Arial" w:hAnsi="Arial"/>
                <w:sz w:val="14"/>
                <w:szCs w:val="14"/>
                <w:color w:val="auto"/>
              </w:rPr>
              <w:t>Accounts payable</w:t>
            </w:r>
          </w:p>
        </w:tc>
        <w:tc>
          <w:tcPr>
            <w:tcW w:w="16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23,661</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44,007</w:t>
            </w:r>
          </w:p>
        </w:tc>
        <w:tc>
          <w:tcPr>
            <w:tcW w:w="100" w:type="dxa"/>
            <w:vAlign w:val="bottom"/>
          </w:tcPr>
          <w:p>
            <w:pPr>
              <w:spacing w:after="0"/>
              <w:rPr>
                <w:sz w:val="15"/>
                <w:szCs w:val="15"/>
                <w:color w:val="auto"/>
              </w:rPr>
            </w:pPr>
          </w:p>
        </w:tc>
      </w:tr>
      <w:tr>
        <w:trPr>
          <w:trHeight w:val="175"/>
        </w:trPr>
        <w:tc>
          <w:tcPr>
            <w:tcW w:w="76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Accrued expenses and other current liabilities</w:t>
            </w:r>
          </w:p>
        </w:tc>
        <w:tc>
          <w:tcPr>
            <w:tcW w:w="160" w:type="dxa"/>
            <w:vAlign w:val="bottom"/>
            <w:shd w:val="clear" w:color="auto" w:fill="CFF0FC"/>
          </w:tcPr>
          <w:p>
            <w:pPr>
              <w:spacing w:after="0"/>
              <w:rPr>
                <w:sz w:val="15"/>
                <w:szCs w:val="15"/>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90,217</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126,954</w:t>
            </w:r>
          </w:p>
        </w:tc>
        <w:tc>
          <w:tcPr>
            <w:tcW w:w="100" w:type="dxa"/>
            <w:vAlign w:val="bottom"/>
            <w:shd w:val="clear" w:color="auto" w:fill="CFF0FC"/>
          </w:tcPr>
          <w:p>
            <w:pPr>
              <w:spacing w:after="0"/>
              <w:rPr>
                <w:sz w:val="15"/>
                <w:szCs w:val="15"/>
                <w:color w:val="auto"/>
              </w:rPr>
            </w:pPr>
          </w:p>
        </w:tc>
      </w:tr>
      <w:tr>
        <w:trPr>
          <w:trHeight w:val="175"/>
        </w:trPr>
        <w:tc>
          <w:tcPr>
            <w:tcW w:w="7640" w:type="dxa"/>
            <w:vAlign w:val="bottom"/>
          </w:tcPr>
          <w:p>
            <w:pPr>
              <w:ind w:left="200"/>
              <w:spacing w:after="0"/>
              <w:rPr>
                <w:sz w:val="20"/>
                <w:szCs w:val="20"/>
                <w:color w:val="auto"/>
              </w:rPr>
            </w:pPr>
            <w:r>
              <w:rPr>
                <w:rFonts w:ascii="Arial" w:cs="Arial" w:eastAsia="Arial" w:hAnsi="Arial"/>
                <w:sz w:val="14"/>
                <w:szCs w:val="14"/>
                <w:color w:val="auto"/>
              </w:rPr>
              <w:t>Income tax payable</w:t>
            </w:r>
          </w:p>
        </w:tc>
        <w:tc>
          <w:tcPr>
            <w:tcW w:w="16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5,901</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26,537</w:t>
            </w:r>
          </w:p>
        </w:tc>
        <w:tc>
          <w:tcPr>
            <w:tcW w:w="100" w:type="dxa"/>
            <w:vAlign w:val="bottom"/>
          </w:tcPr>
          <w:p>
            <w:pPr>
              <w:spacing w:after="0"/>
              <w:rPr>
                <w:sz w:val="15"/>
                <w:szCs w:val="15"/>
                <w:color w:val="auto"/>
              </w:rPr>
            </w:pPr>
          </w:p>
        </w:tc>
      </w:tr>
      <w:tr>
        <w:trPr>
          <w:trHeight w:val="175"/>
        </w:trPr>
        <w:tc>
          <w:tcPr>
            <w:tcW w:w="76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Contingent consideration</w:t>
            </w:r>
          </w:p>
        </w:tc>
        <w:tc>
          <w:tcPr>
            <w:tcW w:w="160" w:type="dxa"/>
            <w:vAlign w:val="bottom"/>
            <w:shd w:val="clear" w:color="auto" w:fill="CFF0FC"/>
          </w:tcPr>
          <w:p>
            <w:pPr>
              <w:spacing w:after="0"/>
              <w:rPr>
                <w:sz w:val="15"/>
                <w:szCs w:val="15"/>
                <w:color w:val="auto"/>
              </w:rPr>
            </w:pPr>
          </w:p>
        </w:tc>
        <w:tc>
          <w:tcPr>
            <w:tcW w:w="17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29,345</w:t>
            </w:r>
          </w:p>
        </w:tc>
        <w:tc>
          <w:tcPr>
            <w:tcW w:w="100" w:type="dxa"/>
            <w:vAlign w:val="bottom"/>
            <w:shd w:val="clear" w:color="auto" w:fill="CFF0FC"/>
          </w:tcPr>
          <w:p>
            <w:pPr>
              <w:spacing w:after="0"/>
              <w:rPr>
                <w:sz w:val="15"/>
                <w:szCs w:val="15"/>
                <w:color w:val="auto"/>
              </w:rPr>
            </w:pPr>
          </w:p>
        </w:tc>
      </w:tr>
      <w:tr>
        <w:trPr>
          <w:trHeight w:val="175"/>
        </w:trPr>
        <w:tc>
          <w:tcPr>
            <w:tcW w:w="7640" w:type="dxa"/>
            <w:vAlign w:val="bottom"/>
          </w:tcPr>
          <w:p>
            <w:pPr>
              <w:ind w:left="200"/>
              <w:spacing w:after="0"/>
              <w:rPr>
                <w:sz w:val="20"/>
                <w:szCs w:val="20"/>
                <w:color w:val="auto"/>
              </w:rPr>
            </w:pPr>
            <w:r>
              <w:rPr>
                <w:rFonts w:ascii="Arial" w:cs="Arial" w:eastAsia="Arial" w:hAnsi="Arial"/>
                <w:sz w:val="14"/>
                <w:szCs w:val="14"/>
                <w:color w:val="auto"/>
              </w:rPr>
              <w:t>Current portion of lease liability - operating leases</w:t>
            </w:r>
          </w:p>
        </w:tc>
        <w:tc>
          <w:tcPr>
            <w:tcW w:w="16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10,291</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9,056</w:t>
            </w:r>
          </w:p>
        </w:tc>
        <w:tc>
          <w:tcPr>
            <w:tcW w:w="100" w:type="dxa"/>
            <w:vAlign w:val="bottom"/>
          </w:tcPr>
          <w:p>
            <w:pPr>
              <w:spacing w:after="0"/>
              <w:rPr>
                <w:sz w:val="15"/>
                <w:szCs w:val="15"/>
                <w:color w:val="auto"/>
              </w:rPr>
            </w:pPr>
          </w:p>
        </w:tc>
      </w:tr>
      <w:tr>
        <w:trPr>
          <w:trHeight w:val="175"/>
        </w:trPr>
        <w:tc>
          <w:tcPr>
            <w:tcW w:w="76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Current portion of lease liability - finance leases</w:t>
            </w:r>
          </w:p>
        </w:tc>
        <w:tc>
          <w:tcPr>
            <w:tcW w:w="160" w:type="dxa"/>
            <w:vAlign w:val="bottom"/>
            <w:shd w:val="clear" w:color="auto" w:fill="CFF0FC"/>
          </w:tcPr>
          <w:p>
            <w:pPr>
              <w:spacing w:after="0"/>
              <w:rPr>
                <w:sz w:val="15"/>
                <w:szCs w:val="15"/>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5,790</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5,092</w:t>
            </w:r>
          </w:p>
        </w:tc>
        <w:tc>
          <w:tcPr>
            <w:tcW w:w="100" w:type="dxa"/>
            <w:vAlign w:val="bottom"/>
            <w:shd w:val="clear" w:color="auto" w:fill="CFF0FC"/>
          </w:tcPr>
          <w:p>
            <w:pPr>
              <w:spacing w:after="0"/>
              <w:rPr>
                <w:sz w:val="15"/>
                <w:szCs w:val="15"/>
                <w:color w:val="auto"/>
              </w:rPr>
            </w:pPr>
          </w:p>
        </w:tc>
      </w:tr>
      <w:tr>
        <w:trPr>
          <w:trHeight w:val="175"/>
        </w:trPr>
        <w:tc>
          <w:tcPr>
            <w:tcW w:w="7640" w:type="dxa"/>
            <w:vAlign w:val="bottom"/>
          </w:tcPr>
          <w:p>
            <w:pPr>
              <w:ind w:left="200"/>
              <w:spacing w:after="0"/>
              <w:rPr>
                <w:sz w:val="20"/>
                <w:szCs w:val="20"/>
                <w:color w:val="auto"/>
              </w:rPr>
            </w:pPr>
            <w:r>
              <w:rPr>
                <w:rFonts w:ascii="Arial" w:cs="Arial" w:eastAsia="Arial" w:hAnsi="Arial"/>
                <w:sz w:val="14"/>
                <w:szCs w:val="14"/>
                <w:color w:val="auto"/>
              </w:rPr>
              <w:t>Current portion of long-term debt, net</w:t>
            </w:r>
          </w:p>
        </w:tc>
        <w:tc>
          <w:tcPr>
            <w:tcW w:w="16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42,155</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1,884</w:t>
            </w:r>
          </w:p>
        </w:tc>
        <w:tc>
          <w:tcPr>
            <w:tcW w:w="100" w:type="dxa"/>
            <w:vAlign w:val="bottom"/>
          </w:tcPr>
          <w:p>
            <w:pPr>
              <w:spacing w:after="0"/>
              <w:rPr>
                <w:sz w:val="15"/>
                <w:szCs w:val="15"/>
                <w:color w:val="auto"/>
              </w:rPr>
            </w:pPr>
          </w:p>
        </w:tc>
      </w:tr>
      <w:tr>
        <w:trPr>
          <w:trHeight w:val="175"/>
        </w:trPr>
        <w:tc>
          <w:tcPr>
            <w:tcW w:w="76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Liabilities held for sale</w:t>
            </w:r>
          </w:p>
        </w:tc>
        <w:tc>
          <w:tcPr>
            <w:tcW w:w="160" w:type="dxa"/>
            <w:vAlign w:val="bottom"/>
            <w:shd w:val="clear" w:color="auto" w:fill="CFF0FC"/>
          </w:tcPr>
          <w:p>
            <w:pPr>
              <w:spacing w:after="0"/>
              <w:rPr>
                <w:sz w:val="15"/>
                <w:szCs w:val="15"/>
                <w:color w:val="auto"/>
              </w:rPr>
            </w:pPr>
          </w:p>
        </w:tc>
        <w:tc>
          <w:tcPr>
            <w:tcW w:w="17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1,122</w:t>
            </w:r>
          </w:p>
        </w:tc>
        <w:tc>
          <w:tcPr>
            <w:tcW w:w="100" w:type="dxa"/>
            <w:vAlign w:val="bottom"/>
            <w:shd w:val="clear" w:color="auto" w:fill="CFF0FC"/>
          </w:tcPr>
          <w:p>
            <w:pPr>
              <w:spacing w:after="0"/>
              <w:rPr>
                <w:sz w:val="15"/>
                <w:szCs w:val="15"/>
                <w:color w:val="auto"/>
              </w:rPr>
            </w:pPr>
          </w:p>
        </w:tc>
      </w:tr>
      <w:tr>
        <w:trPr>
          <w:trHeight w:val="169"/>
        </w:trPr>
        <w:tc>
          <w:tcPr>
            <w:tcW w:w="7640" w:type="dxa"/>
            <w:vAlign w:val="bottom"/>
            <w:tcBorders>
              <w:top w:val="single" w:sz="8" w:color="CFF0FC"/>
            </w:tcBorders>
          </w:tcPr>
          <w:p>
            <w:pPr>
              <w:ind w:left="200"/>
              <w:spacing w:after="0"/>
              <w:rPr>
                <w:sz w:val="20"/>
                <w:szCs w:val="20"/>
                <w:color w:val="auto"/>
              </w:rPr>
            </w:pPr>
            <w:r>
              <w:rPr>
                <w:rFonts w:ascii="Arial" w:cs="Arial" w:eastAsia="Arial" w:hAnsi="Arial"/>
                <w:sz w:val="14"/>
                <w:szCs w:val="14"/>
                <w:color w:val="auto"/>
              </w:rPr>
              <w:t>Total current liabilities</w:t>
            </w:r>
          </w:p>
        </w:tc>
        <w:tc>
          <w:tcPr>
            <w:tcW w:w="160" w:type="dxa"/>
            <w:vAlign w:val="bottom"/>
            <w:tcBorders>
              <w:top w:val="single" w:sz="8" w:color="auto"/>
              <w:bottom w:val="single" w:sz="8" w:color="auto"/>
            </w:tcBorders>
          </w:tcPr>
          <w:p>
            <w:pPr>
              <w:spacing w:after="0"/>
              <w:rPr>
                <w:sz w:val="14"/>
                <w:szCs w:val="14"/>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178,015</w:t>
            </w:r>
          </w:p>
        </w:tc>
        <w:tc>
          <w:tcPr>
            <w:tcW w:w="240" w:type="dxa"/>
            <w:vAlign w:val="bottom"/>
            <w:tcBorders>
              <w:top w:val="single" w:sz="8" w:color="CFF0FC"/>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243,997</w:t>
            </w:r>
          </w:p>
        </w:tc>
        <w:tc>
          <w:tcPr>
            <w:tcW w:w="100" w:type="dxa"/>
            <w:vAlign w:val="bottom"/>
            <w:tcBorders>
              <w:top w:val="single" w:sz="8" w:color="CFF0FC"/>
            </w:tcBorders>
          </w:tcPr>
          <w:p>
            <w:pPr>
              <w:spacing w:after="0"/>
              <w:rPr>
                <w:sz w:val="14"/>
                <w:szCs w:val="14"/>
                <w:color w:val="auto"/>
              </w:rPr>
            </w:pPr>
          </w:p>
        </w:tc>
      </w:tr>
      <w:tr>
        <w:trPr>
          <w:trHeight w:val="169"/>
        </w:trPr>
        <w:tc>
          <w:tcPr>
            <w:tcW w:w="76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7640" w:type="dxa"/>
            <w:vAlign w:val="bottom"/>
          </w:tcPr>
          <w:p>
            <w:pPr>
              <w:ind w:left="20"/>
              <w:spacing w:after="0"/>
              <w:rPr>
                <w:sz w:val="20"/>
                <w:szCs w:val="20"/>
                <w:color w:val="auto"/>
              </w:rPr>
            </w:pPr>
            <w:r>
              <w:rPr>
                <w:rFonts w:ascii="Arial" w:cs="Arial" w:eastAsia="Arial" w:hAnsi="Arial"/>
                <w:sz w:val="14"/>
                <w:szCs w:val="14"/>
                <w:color w:val="auto"/>
              </w:rPr>
              <w:t>Long-term debt, net</w:t>
            </w:r>
          </w:p>
        </w:tc>
        <w:tc>
          <w:tcPr>
            <w:tcW w:w="16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285,113</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159,017</w:t>
            </w:r>
          </w:p>
        </w:tc>
        <w:tc>
          <w:tcPr>
            <w:tcW w:w="100" w:type="dxa"/>
            <w:vAlign w:val="bottom"/>
          </w:tcPr>
          <w:p>
            <w:pPr>
              <w:spacing w:after="0"/>
              <w:rPr>
                <w:sz w:val="15"/>
                <w:szCs w:val="15"/>
                <w:color w:val="auto"/>
              </w:rPr>
            </w:pPr>
          </w:p>
        </w:tc>
      </w:tr>
      <w:tr>
        <w:trPr>
          <w:trHeight w:val="175"/>
        </w:trPr>
        <w:tc>
          <w:tcPr>
            <w:tcW w:w="7640" w:type="dxa"/>
            <w:vAlign w:val="bottom"/>
            <w:shd w:val="clear" w:color="auto" w:fill="CFF0FC"/>
          </w:tcPr>
          <w:p>
            <w:pPr>
              <w:ind w:left="20"/>
              <w:spacing w:after="0"/>
              <w:rPr>
                <w:sz w:val="20"/>
                <w:szCs w:val="20"/>
                <w:color w:val="auto"/>
              </w:rPr>
            </w:pPr>
            <w:r>
              <w:rPr>
                <w:rFonts w:ascii="Arial" w:cs="Arial" w:eastAsia="Arial" w:hAnsi="Arial"/>
                <w:sz w:val="14"/>
                <w:szCs w:val="14"/>
                <w:color w:val="auto"/>
              </w:rPr>
              <w:t>Deferred taxes</w:t>
            </w:r>
          </w:p>
        </w:tc>
        <w:tc>
          <w:tcPr>
            <w:tcW w:w="160" w:type="dxa"/>
            <w:vAlign w:val="bottom"/>
            <w:shd w:val="clear" w:color="auto" w:fill="CFF0FC"/>
          </w:tcPr>
          <w:p>
            <w:pPr>
              <w:spacing w:after="0"/>
              <w:rPr>
                <w:sz w:val="15"/>
                <w:szCs w:val="15"/>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67,397</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79,477</w:t>
            </w:r>
          </w:p>
        </w:tc>
        <w:tc>
          <w:tcPr>
            <w:tcW w:w="100" w:type="dxa"/>
            <w:vAlign w:val="bottom"/>
            <w:shd w:val="clear" w:color="auto" w:fill="CFF0FC"/>
          </w:tcPr>
          <w:p>
            <w:pPr>
              <w:spacing w:after="0"/>
              <w:rPr>
                <w:sz w:val="15"/>
                <w:szCs w:val="15"/>
                <w:color w:val="auto"/>
              </w:rPr>
            </w:pPr>
          </w:p>
        </w:tc>
      </w:tr>
      <w:tr>
        <w:trPr>
          <w:trHeight w:val="175"/>
        </w:trPr>
        <w:tc>
          <w:tcPr>
            <w:tcW w:w="7640" w:type="dxa"/>
            <w:vAlign w:val="bottom"/>
          </w:tcPr>
          <w:p>
            <w:pPr>
              <w:ind w:left="20"/>
              <w:spacing w:after="0"/>
              <w:rPr>
                <w:sz w:val="20"/>
                <w:szCs w:val="20"/>
                <w:color w:val="auto"/>
              </w:rPr>
            </w:pPr>
            <w:r>
              <w:rPr>
                <w:rFonts w:ascii="Arial" w:cs="Arial" w:eastAsia="Arial" w:hAnsi="Arial"/>
                <w:sz w:val="14"/>
                <w:szCs w:val="14"/>
                <w:color w:val="auto"/>
              </w:rPr>
              <w:t>Long-term lease liability - operating leases</w:t>
            </w:r>
          </w:p>
        </w:tc>
        <w:tc>
          <w:tcPr>
            <w:tcW w:w="16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195,069</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176,004</w:t>
            </w:r>
          </w:p>
        </w:tc>
        <w:tc>
          <w:tcPr>
            <w:tcW w:w="100" w:type="dxa"/>
            <w:vAlign w:val="bottom"/>
          </w:tcPr>
          <w:p>
            <w:pPr>
              <w:spacing w:after="0"/>
              <w:rPr>
                <w:sz w:val="15"/>
                <w:szCs w:val="15"/>
                <w:color w:val="auto"/>
              </w:rPr>
            </w:pPr>
          </w:p>
        </w:tc>
      </w:tr>
      <w:tr>
        <w:trPr>
          <w:trHeight w:val="175"/>
        </w:trPr>
        <w:tc>
          <w:tcPr>
            <w:tcW w:w="7640" w:type="dxa"/>
            <w:vAlign w:val="bottom"/>
            <w:shd w:val="clear" w:color="auto" w:fill="CFF0FC"/>
          </w:tcPr>
          <w:p>
            <w:pPr>
              <w:ind w:left="20"/>
              <w:spacing w:after="0"/>
              <w:rPr>
                <w:sz w:val="20"/>
                <w:szCs w:val="20"/>
                <w:color w:val="auto"/>
              </w:rPr>
            </w:pPr>
            <w:r>
              <w:rPr>
                <w:rFonts w:ascii="Arial" w:cs="Arial" w:eastAsia="Arial" w:hAnsi="Arial"/>
                <w:sz w:val="14"/>
                <w:szCs w:val="14"/>
                <w:color w:val="auto"/>
              </w:rPr>
              <w:t>Long-term lease liability - finance leases</w:t>
            </w:r>
          </w:p>
        </w:tc>
        <w:tc>
          <w:tcPr>
            <w:tcW w:w="160" w:type="dxa"/>
            <w:vAlign w:val="bottom"/>
            <w:shd w:val="clear" w:color="auto" w:fill="CFF0FC"/>
          </w:tcPr>
          <w:p>
            <w:pPr>
              <w:spacing w:after="0"/>
              <w:rPr>
                <w:sz w:val="15"/>
                <w:szCs w:val="15"/>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67,117</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70,268</w:t>
            </w:r>
          </w:p>
        </w:tc>
        <w:tc>
          <w:tcPr>
            <w:tcW w:w="100" w:type="dxa"/>
            <w:vAlign w:val="bottom"/>
            <w:shd w:val="clear" w:color="auto" w:fill="CFF0FC"/>
          </w:tcPr>
          <w:p>
            <w:pPr>
              <w:spacing w:after="0"/>
              <w:rPr>
                <w:sz w:val="15"/>
                <w:szCs w:val="15"/>
                <w:color w:val="auto"/>
              </w:rPr>
            </w:pPr>
          </w:p>
        </w:tc>
      </w:tr>
      <w:tr>
        <w:trPr>
          <w:trHeight w:val="175"/>
        </w:trPr>
        <w:tc>
          <w:tcPr>
            <w:tcW w:w="7640" w:type="dxa"/>
            <w:vAlign w:val="bottom"/>
          </w:tcPr>
          <w:p>
            <w:pPr>
              <w:ind w:left="20"/>
              <w:spacing w:after="0"/>
              <w:rPr>
                <w:sz w:val="20"/>
                <w:szCs w:val="20"/>
                <w:color w:val="auto"/>
              </w:rPr>
            </w:pPr>
            <w:r>
              <w:rPr>
                <w:rFonts w:ascii="Arial" w:cs="Arial" w:eastAsia="Arial" w:hAnsi="Arial"/>
                <w:sz w:val="14"/>
                <w:szCs w:val="14"/>
                <w:color w:val="auto"/>
              </w:rPr>
              <w:t>Contingent consideration</w:t>
            </w:r>
          </w:p>
        </w:tc>
        <w:tc>
          <w:tcPr>
            <w:tcW w:w="160" w:type="dxa"/>
            <w:vAlign w:val="bottom"/>
          </w:tcPr>
          <w:p>
            <w:pPr>
              <w:spacing w:after="0"/>
              <w:rPr>
                <w:sz w:val="15"/>
                <w:szCs w:val="15"/>
                <w:color w:val="auto"/>
              </w:rPr>
            </w:pPr>
          </w:p>
        </w:tc>
        <w:tc>
          <w:tcPr>
            <w:tcW w:w="1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11,596</w:t>
            </w:r>
          </w:p>
        </w:tc>
        <w:tc>
          <w:tcPr>
            <w:tcW w:w="100" w:type="dxa"/>
            <w:vAlign w:val="bottom"/>
          </w:tcPr>
          <w:p>
            <w:pPr>
              <w:spacing w:after="0"/>
              <w:rPr>
                <w:sz w:val="15"/>
                <w:szCs w:val="15"/>
                <w:color w:val="auto"/>
              </w:rPr>
            </w:pPr>
          </w:p>
        </w:tc>
      </w:tr>
      <w:tr>
        <w:trPr>
          <w:trHeight w:val="175"/>
        </w:trPr>
        <w:tc>
          <w:tcPr>
            <w:tcW w:w="7640" w:type="dxa"/>
            <w:vAlign w:val="bottom"/>
            <w:shd w:val="clear" w:color="auto" w:fill="CFF0FC"/>
          </w:tcPr>
          <w:p>
            <w:pPr>
              <w:ind w:left="20"/>
              <w:spacing w:after="0"/>
              <w:rPr>
                <w:sz w:val="20"/>
                <w:szCs w:val="20"/>
                <w:color w:val="auto"/>
              </w:rPr>
            </w:pPr>
            <w:r>
              <w:rPr>
                <w:rFonts w:ascii="Arial" w:cs="Arial" w:eastAsia="Arial" w:hAnsi="Arial"/>
                <w:sz w:val="14"/>
                <w:szCs w:val="14"/>
                <w:color w:val="auto"/>
              </w:rPr>
              <w:t>Derivative liability</w:t>
            </w:r>
          </w:p>
        </w:tc>
        <w:tc>
          <w:tcPr>
            <w:tcW w:w="160" w:type="dxa"/>
            <w:vAlign w:val="bottom"/>
            <w:shd w:val="clear" w:color="auto" w:fill="CFF0FC"/>
          </w:tcPr>
          <w:p>
            <w:pPr>
              <w:spacing w:after="0"/>
              <w:rPr>
                <w:sz w:val="15"/>
                <w:szCs w:val="15"/>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855</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6,795</w:t>
            </w:r>
          </w:p>
        </w:tc>
        <w:tc>
          <w:tcPr>
            <w:tcW w:w="100" w:type="dxa"/>
            <w:vAlign w:val="bottom"/>
            <w:shd w:val="clear" w:color="auto" w:fill="CFF0FC"/>
          </w:tcPr>
          <w:p>
            <w:pPr>
              <w:spacing w:after="0"/>
              <w:rPr>
                <w:sz w:val="15"/>
                <w:szCs w:val="15"/>
                <w:color w:val="auto"/>
              </w:rPr>
            </w:pPr>
          </w:p>
        </w:tc>
      </w:tr>
      <w:tr>
        <w:trPr>
          <w:trHeight w:val="175"/>
        </w:trPr>
        <w:tc>
          <w:tcPr>
            <w:tcW w:w="7640" w:type="dxa"/>
            <w:vAlign w:val="bottom"/>
          </w:tcPr>
          <w:p>
            <w:pPr>
              <w:ind w:left="20"/>
              <w:spacing w:after="0"/>
              <w:rPr>
                <w:sz w:val="20"/>
                <w:szCs w:val="20"/>
                <w:color w:val="auto"/>
              </w:rPr>
            </w:pPr>
            <w:r>
              <w:rPr>
                <w:rFonts w:ascii="Arial" w:cs="Arial" w:eastAsia="Arial" w:hAnsi="Arial"/>
                <w:sz w:val="14"/>
                <w:szCs w:val="14"/>
                <w:color w:val="auto"/>
              </w:rPr>
              <w:t>Other long-term liabilities</w:t>
            </w:r>
          </w:p>
        </w:tc>
        <w:tc>
          <w:tcPr>
            <w:tcW w:w="1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77,135</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78,535</w:t>
            </w:r>
          </w:p>
        </w:tc>
        <w:tc>
          <w:tcPr>
            <w:tcW w:w="100" w:type="dxa"/>
            <w:vAlign w:val="bottom"/>
          </w:tcPr>
          <w:p>
            <w:pPr>
              <w:spacing w:after="0"/>
              <w:rPr>
                <w:sz w:val="15"/>
                <w:szCs w:val="15"/>
                <w:color w:val="auto"/>
              </w:rPr>
            </w:pPr>
          </w:p>
        </w:tc>
      </w:tr>
      <w:tr>
        <w:trPr>
          <w:trHeight w:val="169"/>
        </w:trPr>
        <w:tc>
          <w:tcPr>
            <w:tcW w:w="7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Total liabilities</w:t>
            </w:r>
          </w:p>
        </w:tc>
        <w:tc>
          <w:tcPr>
            <w:tcW w:w="160" w:type="dxa"/>
            <w:vAlign w:val="bottom"/>
            <w:tcBorders>
              <w:bottom w:val="single" w:sz="8" w:color="auto"/>
            </w:tcBorders>
            <w:shd w:val="clear" w:color="auto" w:fill="CFF0FC"/>
          </w:tcPr>
          <w:p>
            <w:pPr>
              <w:spacing w:after="0"/>
              <w:rPr>
                <w:sz w:val="14"/>
                <w:szCs w:val="14"/>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870,701</w:t>
            </w:r>
          </w:p>
        </w:tc>
        <w:tc>
          <w:tcPr>
            <w:tcW w:w="24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825,689</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69"/>
        </w:trPr>
        <w:tc>
          <w:tcPr>
            <w:tcW w:w="7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7640" w:type="dxa"/>
            <w:vAlign w:val="bottom"/>
            <w:shd w:val="clear" w:color="auto" w:fill="CFF0FC"/>
          </w:tcPr>
          <w:p>
            <w:pPr>
              <w:ind w:left="20"/>
              <w:spacing w:after="0"/>
              <w:rPr>
                <w:sz w:val="20"/>
                <w:szCs w:val="20"/>
                <w:color w:val="auto"/>
              </w:rPr>
            </w:pPr>
            <w:r>
              <w:rPr>
                <w:rFonts w:ascii="Arial" w:cs="Arial" w:eastAsia="Arial" w:hAnsi="Arial"/>
                <w:sz w:val="14"/>
                <w:szCs w:val="14"/>
                <w:color w:val="auto"/>
              </w:rPr>
              <w:t>Stockholders' Equity:</w:t>
            </w:r>
          </w:p>
        </w:tc>
        <w:tc>
          <w:tcPr>
            <w:tcW w:w="160" w:type="dxa"/>
            <w:vAlign w:val="bottom"/>
            <w:shd w:val="clear" w:color="auto" w:fill="CFF0FC"/>
          </w:tcPr>
          <w:p>
            <w:pPr>
              <w:spacing w:after="0"/>
              <w:rPr>
                <w:sz w:val="15"/>
                <w:szCs w:val="15"/>
                <w:color w:val="auto"/>
              </w:rPr>
            </w:pPr>
          </w:p>
        </w:tc>
        <w:tc>
          <w:tcPr>
            <w:tcW w:w="15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43"/>
        </w:trPr>
        <w:tc>
          <w:tcPr>
            <w:tcW w:w="7640" w:type="dxa"/>
            <w:vAlign w:val="bottom"/>
          </w:tcPr>
          <w:p>
            <w:pPr>
              <w:ind w:left="200"/>
              <w:spacing w:after="0" w:line="143" w:lineRule="exact"/>
              <w:rPr>
                <w:sz w:val="20"/>
                <w:szCs w:val="20"/>
                <w:color w:val="auto"/>
              </w:rPr>
            </w:pPr>
            <w:r>
              <w:rPr>
                <w:rFonts w:ascii="Arial" w:cs="Arial" w:eastAsia="Arial" w:hAnsi="Arial"/>
                <w:sz w:val="14"/>
                <w:szCs w:val="14"/>
                <w:color w:val="auto"/>
                <w:w w:val="97"/>
              </w:rPr>
              <w:t>Common Stock, no par value, unlimited shares authorized as of September 30, 2022 and December 31, 2021, respectively,</w:t>
            </w:r>
          </w:p>
        </w:tc>
        <w:tc>
          <w:tcPr>
            <w:tcW w:w="1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81"/>
        </w:trPr>
        <w:tc>
          <w:tcPr>
            <w:tcW w:w="7640" w:type="dxa"/>
            <w:vAlign w:val="bottom"/>
          </w:tcPr>
          <w:p>
            <w:pPr>
              <w:ind w:left="200"/>
              <w:spacing w:after="0"/>
              <w:rPr>
                <w:sz w:val="20"/>
                <w:szCs w:val="20"/>
                <w:color w:val="auto"/>
              </w:rPr>
            </w:pPr>
            <w:r>
              <w:rPr>
                <w:rFonts w:ascii="Arial" w:cs="Arial" w:eastAsia="Arial" w:hAnsi="Arial"/>
                <w:sz w:val="14"/>
                <w:szCs w:val="14"/>
                <w:color w:val="auto"/>
                <w:w w:val="94"/>
              </w:rPr>
              <w:t>387,673,510 and 361,423,270 shares issued and outstanding as of September 30, 2022 and December 31, 2021, respectively</w:t>
            </w:r>
          </w:p>
        </w:tc>
        <w:tc>
          <w:tcPr>
            <w:tcW w:w="160" w:type="dxa"/>
            <w:vAlign w:val="bottom"/>
          </w:tcPr>
          <w:p>
            <w:pPr>
              <w:spacing w:after="0"/>
              <w:rPr>
                <w:sz w:val="15"/>
                <w:szCs w:val="15"/>
                <w:color w:val="auto"/>
              </w:rPr>
            </w:pPr>
          </w:p>
        </w:tc>
        <w:tc>
          <w:tcPr>
            <w:tcW w:w="1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43"/>
        </w:trPr>
        <w:tc>
          <w:tcPr>
            <w:tcW w:w="7640" w:type="dxa"/>
            <w:vAlign w:val="bottom"/>
            <w:shd w:val="clear" w:color="auto" w:fill="CFF0FC"/>
          </w:tcPr>
          <w:p>
            <w:pPr>
              <w:ind w:left="200"/>
              <w:spacing w:after="0" w:line="143" w:lineRule="exact"/>
              <w:rPr>
                <w:sz w:val="20"/>
                <w:szCs w:val="20"/>
                <w:color w:val="auto"/>
              </w:rPr>
            </w:pPr>
            <w:r>
              <w:rPr>
                <w:rFonts w:ascii="Arial" w:cs="Arial" w:eastAsia="Arial" w:hAnsi="Arial"/>
                <w:sz w:val="14"/>
                <w:szCs w:val="14"/>
                <w:color w:val="auto"/>
                <w:w w:val="96"/>
              </w:rPr>
              <w:t>Preferred Stock, no par value, unlimited shares authorized as of September 30, 2022 and December 31, 2021, respectively,</w:t>
            </w:r>
          </w:p>
        </w:tc>
        <w:tc>
          <w:tcPr>
            <w:tcW w:w="160" w:type="dxa"/>
            <w:vAlign w:val="bottom"/>
            <w:shd w:val="clear" w:color="auto" w:fill="CFF0FC"/>
          </w:tcPr>
          <w:p>
            <w:pPr>
              <w:spacing w:after="0"/>
              <w:rPr>
                <w:sz w:val="12"/>
                <w:szCs w:val="12"/>
                <w:color w:val="auto"/>
              </w:rPr>
            </w:pPr>
          </w:p>
        </w:tc>
        <w:tc>
          <w:tcPr>
            <w:tcW w:w="15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81"/>
        </w:trPr>
        <w:tc>
          <w:tcPr>
            <w:tcW w:w="76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none issued and outstanding as of September 30, 2022 and December 31, 2021</w:t>
            </w:r>
          </w:p>
        </w:tc>
        <w:tc>
          <w:tcPr>
            <w:tcW w:w="160" w:type="dxa"/>
            <w:vAlign w:val="bottom"/>
            <w:shd w:val="clear" w:color="auto" w:fill="CFF0FC"/>
          </w:tcPr>
          <w:p>
            <w:pPr>
              <w:spacing w:after="0"/>
              <w:rPr>
                <w:sz w:val="15"/>
                <w:szCs w:val="15"/>
                <w:color w:val="auto"/>
              </w:rPr>
            </w:pPr>
          </w:p>
        </w:tc>
        <w:tc>
          <w:tcPr>
            <w:tcW w:w="17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5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43"/>
        </w:trPr>
        <w:tc>
          <w:tcPr>
            <w:tcW w:w="7640" w:type="dxa"/>
            <w:vAlign w:val="bottom"/>
          </w:tcPr>
          <w:p>
            <w:pPr>
              <w:ind w:left="200"/>
              <w:spacing w:after="0" w:line="143" w:lineRule="exact"/>
              <w:rPr>
                <w:sz w:val="20"/>
                <w:szCs w:val="20"/>
                <w:color w:val="auto"/>
              </w:rPr>
            </w:pPr>
            <w:r>
              <w:rPr>
                <w:rFonts w:ascii="Arial" w:cs="Arial" w:eastAsia="Arial" w:hAnsi="Arial"/>
                <w:sz w:val="14"/>
                <w:szCs w:val="14"/>
                <w:color w:val="auto"/>
                <w:w w:val="97"/>
              </w:rPr>
              <w:t>Proportionate voting shares, no par value, unlimited shares authorized as of September 30, 2022 and December 31, 2021,</w:t>
            </w:r>
          </w:p>
        </w:tc>
        <w:tc>
          <w:tcPr>
            <w:tcW w:w="1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7640" w:type="dxa"/>
            <w:vAlign w:val="bottom"/>
          </w:tcPr>
          <w:p>
            <w:pPr>
              <w:ind w:left="200"/>
              <w:spacing w:after="0" w:line="149" w:lineRule="exact"/>
              <w:rPr>
                <w:sz w:val="20"/>
                <w:szCs w:val="20"/>
                <w:color w:val="auto"/>
              </w:rPr>
            </w:pPr>
            <w:r>
              <w:rPr>
                <w:rFonts w:ascii="Arial" w:cs="Arial" w:eastAsia="Arial" w:hAnsi="Arial"/>
                <w:sz w:val="14"/>
                <w:szCs w:val="14"/>
                <w:color w:val="auto"/>
                <w:w w:val="96"/>
              </w:rPr>
              <w:t>respectively; 12,013,889 and 14,729,636 shares issued and outstanding as of September 30, 2022 and December 31, 2021,</w:t>
            </w:r>
          </w:p>
        </w:tc>
        <w:tc>
          <w:tcPr>
            <w:tcW w:w="1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94"/>
        </w:trPr>
        <w:tc>
          <w:tcPr>
            <w:tcW w:w="7640" w:type="dxa"/>
            <w:vAlign w:val="bottom"/>
          </w:tcPr>
          <w:p>
            <w:pPr>
              <w:ind w:left="200"/>
              <w:spacing w:after="0"/>
              <w:rPr>
                <w:sz w:val="20"/>
                <w:szCs w:val="20"/>
                <w:color w:val="auto"/>
              </w:rPr>
            </w:pPr>
            <w:r>
              <w:rPr>
                <w:rFonts w:ascii="Arial" w:cs="Arial" w:eastAsia="Arial" w:hAnsi="Arial"/>
                <w:sz w:val="14"/>
                <w:szCs w:val="14"/>
                <w:color w:val="auto"/>
              </w:rPr>
              <w:t>respectively</w:t>
            </w:r>
          </w:p>
        </w:tc>
        <w:tc>
          <w:tcPr>
            <w:tcW w:w="160" w:type="dxa"/>
            <w:vAlign w:val="bottom"/>
          </w:tcPr>
          <w:p>
            <w:pPr>
              <w:spacing w:after="0"/>
              <w:rPr>
                <w:sz w:val="16"/>
                <w:szCs w:val="16"/>
                <w:color w:val="auto"/>
              </w:rPr>
            </w:pPr>
          </w:p>
        </w:tc>
        <w:tc>
          <w:tcPr>
            <w:tcW w:w="1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75"/>
        </w:trPr>
        <w:tc>
          <w:tcPr>
            <w:tcW w:w="76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Additional paid-in-capital</w:t>
            </w:r>
          </w:p>
        </w:tc>
        <w:tc>
          <w:tcPr>
            <w:tcW w:w="160" w:type="dxa"/>
            <w:vAlign w:val="bottom"/>
            <w:shd w:val="clear" w:color="auto" w:fill="CFF0FC"/>
          </w:tcPr>
          <w:p>
            <w:pPr>
              <w:spacing w:after="0"/>
              <w:rPr>
                <w:sz w:val="15"/>
                <w:szCs w:val="15"/>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1,110,244</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1,039,726</w:t>
            </w:r>
          </w:p>
        </w:tc>
        <w:tc>
          <w:tcPr>
            <w:tcW w:w="100" w:type="dxa"/>
            <w:vAlign w:val="bottom"/>
            <w:shd w:val="clear" w:color="auto" w:fill="CFF0FC"/>
          </w:tcPr>
          <w:p>
            <w:pPr>
              <w:spacing w:after="0"/>
              <w:rPr>
                <w:sz w:val="15"/>
                <w:szCs w:val="15"/>
                <w:color w:val="auto"/>
              </w:rPr>
            </w:pPr>
          </w:p>
        </w:tc>
      </w:tr>
      <w:tr>
        <w:trPr>
          <w:trHeight w:val="175"/>
        </w:trPr>
        <w:tc>
          <w:tcPr>
            <w:tcW w:w="7640" w:type="dxa"/>
            <w:vAlign w:val="bottom"/>
          </w:tcPr>
          <w:p>
            <w:pPr>
              <w:ind w:left="200"/>
              <w:spacing w:after="0"/>
              <w:rPr>
                <w:sz w:val="20"/>
                <w:szCs w:val="20"/>
                <w:color w:val="auto"/>
              </w:rPr>
            </w:pPr>
            <w:r>
              <w:rPr>
                <w:rFonts w:ascii="Arial" w:cs="Arial" w:eastAsia="Arial" w:hAnsi="Arial"/>
                <w:sz w:val="14"/>
                <w:szCs w:val="14"/>
                <w:color w:val="auto"/>
              </w:rPr>
              <w:t>Accumulated deficit</w:t>
            </w:r>
          </w:p>
        </w:tc>
        <w:tc>
          <w:tcPr>
            <w:tcW w:w="160" w:type="dxa"/>
            <w:vAlign w:val="bottom"/>
          </w:tcPr>
          <w:p>
            <w:pPr>
              <w:spacing w:after="0"/>
              <w:rPr>
                <w:sz w:val="15"/>
                <w:szCs w:val="15"/>
                <w:color w:val="auto"/>
              </w:rPr>
            </w:pPr>
          </w:p>
        </w:tc>
        <w:tc>
          <w:tcPr>
            <w:tcW w:w="1780" w:type="dxa"/>
            <w:vAlign w:val="bottom"/>
            <w:gridSpan w:val="2"/>
          </w:tcPr>
          <w:p>
            <w:pPr>
              <w:jc w:val="right"/>
              <w:ind w:right="180"/>
              <w:spacing w:after="0"/>
              <w:rPr>
                <w:sz w:val="20"/>
                <w:szCs w:val="20"/>
                <w:color w:val="auto"/>
              </w:rPr>
            </w:pPr>
            <w:r>
              <w:rPr>
                <w:rFonts w:ascii="Arial" w:cs="Arial" w:eastAsia="Arial" w:hAnsi="Arial"/>
                <w:sz w:val="14"/>
                <w:szCs w:val="14"/>
                <w:color w:val="auto"/>
              </w:rPr>
              <w:t>(603,893 )</w:t>
            </w:r>
          </w:p>
        </w:tc>
        <w:tc>
          <w:tcPr>
            <w:tcW w:w="140" w:type="dxa"/>
            <w:vAlign w:val="bottom"/>
          </w:tcPr>
          <w:p>
            <w:pPr>
              <w:spacing w:after="0"/>
              <w:rPr>
                <w:sz w:val="15"/>
                <w:szCs w:val="15"/>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4"/>
                <w:szCs w:val="14"/>
                <w:color w:val="auto"/>
              </w:rPr>
              <w:t>(468,335 )</w:t>
            </w:r>
          </w:p>
        </w:tc>
      </w:tr>
      <w:tr>
        <w:trPr>
          <w:trHeight w:val="169"/>
        </w:trPr>
        <w:tc>
          <w:tcPr>
            <w:tcW w:w="76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4"/>
                <w:szCs w:val="14"/>
                <w:color w:val="auto"/>
              </w:rPr>
              <w:t>Equity attributable to Columbia Care Inc.</w:t>
            </w:r>
          </w:p>
        </w:tc>
        <w:tc>
          <w:tcPr>
            <w:tcW w:w="160" w:type="dxa"/>
            <w:vAlign w:val="bottom"/>
            <w:tcBorders>
              <w:top w:val="single" w:sz="8" w:color="auto"/>
              <w:bottom w:val="single" w:sz="8" w:color="auto"/>
            </w:tcBorders>
            <w:shd w:val="clear" w:color="auto" w:fill="CFF0FC"/>
          </w:tcPr>
          <w:p>
            <w:pPr>
              <w:spacing w:after="0"/>
              <w:rPr>
                <w:sz w:val="14"/>
                <w:szCs w:val="14"/>
                <w:color w:val="auto"/>
              </w:rPr>
            </w:pP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506,351</w:t>
            </w:r>
          </w:p>
        </w:tc>
        <w:tc>
          <w:tcPr>
            <w:tcW w:w="24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spacing w:after="0"/>
              <w:rPr>
                <w:sz w:val="14"/>
                <w:szCs w:val="14"/>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571,391</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69"/>
        </w:trPr>
        <w:tc>
          <w:tcPr>
            <w:tcW w:w="7640" w:type="dxa"/>
            <w:vAlign w:val="bottom"/>
          </w:tcPr>
          <w:p>
            <w:pPr>
              <w:ind w:left="200"/>
              <w:spacing w:after="0"/>
              <w:rPr>
                <w:sz w:val="20"/>
                <w:szCs w:val="20"/>
                <w:color w:val="auto"/>
              </w:rPr>
            </w:pPr>
            <w:r>
              <w:rPr>
                <w:rFonts w:ascii="Arial" w:cs="Arial" w:eastAsia="Arial" w:hAnsi="Arial"/>
                <w:sz w:val="14"/>
                <w:szCs w:val="14"/>
                <w:color w:val="auto"/>
              </w:rPr>
              <w:t>Non-controlling interest</w:t>
            </w:r>
          </w:p>
        </w:tc>
        <w:tc>
          <w:tcPr>
            <w:tcW w:w="160" w:type="dxa"/>
            <w:vAlign w:val="bottom"/>
          </w:tcPr>
          <w:p>
            <w:pPr>
              <w:spacing w:after="0"/>
              <w:rPr>
                <w:sz w:val="14"/>
                <w:szCs w:val="14"/>
                <w:color w:val="auto"/>
              </w:rPr>
            </w:pPr>
          </w:p>
        </w:tc>
        <w:tc>
          <w:tcPr>
            <w:tcW w:w="1780" w:type="dxa"/>
            <w:vAlign w:val="bottom"/>
            <w:gridSpan w:val="2"/>
          </w:tcPr>
          <w:p>
            <w:pPr>
              <w:jc w:val="right"/>
              <w:ind w:right="180"/>
              <w:spacing w:after="0"/>
              <w:rPr>
                <w:sz w:val="20"/>
                <w:szCs w:val="20"/>
                <w:color w:val="auto"/>
              </w:rPr>
            </w:pPr>
            <w:r>
              <w:rPr>
                <w:rFonts w:ascii="Arial" w:cs="Arial" w:eastAsia="Arial" w:hAnsi="Arial"/>
                <w:sz w:val="14"/>
                <w:szCs w:val="14"/>
                <w:color w:val="auto"/>
              </w:rPr>
              <w:t>(5,474 )</w:t>
            </w:r>
          </w:p>
        </w:tc>
        <w:tc>
          <w:tcPr>
            <w:tcW w:w="140" w:type="dxa"/>
            <w:vAlign w:val="bottom"/>
          </w:tcPr>
          <w:p>
            <w:pPr>
              <w:spacing w:after="0"/>
              <w:rPr>
                <w:sz w:val="14"/>
                <w:szCs w:val="14"/>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4"/>
                <w:szCs w:val="14"/>
                <w:color w:val="auto"/>
              </w:rPr>
              <w:t>(20,568 )</w:t>
            </w:r>
          </w:p>
        </w:tc>
      </w:tr>
      <w:tr>
        <w:trPr>
          <w:trHeight w:val="169"/>
        </w:trPr>
        <w:tc>
          <w:tcPr>
            <w:tcW w:w="76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Total equity</w:t>
            </w:r>
          </w:p>
        </w:tc>
        <w:tc>
          <w:tcPr>
            <w:tcW w:w="160" w:type="dxa"/>
            <w:vAlign w:val="bottom"/>
            <w:tcBorders>
              <w:top w:val="single" w:sz="8" w:color="auto"/>
              <w:bottom w:val="single" w:sz="8" w:color="auto"/>
            </w:tcBorders>
            <w:shd w:val="clear" w:color="auto" w:fill="CFF0FC"/>
          </w:tcPr>
          <w:p>
            <w:pPr>
              <w:spacing w:after="0"/>
              <w:rPr>
                <w:sz w:val="14"/>
                <w:szCs w:val="14"/>
                <w:color w:val="auto"/>
              </w:rPr>
            </w:pP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500,877</w:t>
            </w:r>
          </w:p>
        </w:tc>
        <w:tc>
          <w:tcPr>
            <w:tcW w:w="24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spacing w:after="0"/>
              <w:rPr>
                <w:sz w:val="14"/>
                <w:szCs w:val="14"/>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550,823</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69"/>
        </w:trPr>
        <w:tc>
          <w:tcPr>
            <w:tcW w:w="7640" w:type="dxa"/>
            <w:vAlign w:val="bottom"/>
          </w:tcPr>
          <w:p>
            <w:pPr>
              <w:ind w:left="200"/>
              <w:spacing w:after="0"/>
              <w:rPr>
                <w:sz w:val="20"/>
                <w:szCs w:val="20"/>
                <w:color w:val="auto"/>
              </w:rPr>
            </w:pPr>
            <w:r>
              <w:rPr>
                <w:rFonts w:ascii="Arial" w:cs="Arial" w:eastAsia="Arial" w:hAnsi="Arial"/>
                <w:sz w:val="14"/>
                <w:szCs w:val="14"/>
                <w:color w:val="auto"/>
              </w:rPr>
              <w:t>Total liabilities and equity</w:t>
            </w: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1,371,578</w:t>
            </w:r>
          </w:p>
        </w:tc>
        <w:tc>
          <w:tcPr>
            <w:tcW w:w="24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1,376,512</w:t>
            </w:r>
          </w:p>
        </w:tc>
        <w:tc>
          <w:tcPr>
            <w:tcW w:w="100" w:type="dxa"/>
            <w:vAlign w:val="bottom"/>
          </w:tcPr>
          <w:p>
            <w:pPr>
              <w:spacing w:after="0"/>
              <w:rPr>
                <w:sz w:val="14"/>
                <w:szCs w:val="14"/>
                <w:color w:val="auto"/>
              </w:rPr>
            </w:pPr>
          </w:p>
        </w:tc>
      </w:tr>
      <w:tr>
        <w:trPr>
          <w:trHeight w:val="20"/>
        </w:trPr>
        <w:tc>
          <w:tcPr>
            <w:tcW w:w="7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5930265</wp:posOffset>
            </wp:positionH>
            <wp:positionV relativeFrom="paragraph">
              <wp:posOffset>-5093970</wp:posOffset>
            </wp:positionV>
            <wp:extent cx="68580" cy="1282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-5093970</wp:posOffset>
            </wp:positionV>
            <wp:extent cx="68580"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5930265</wp:posOffset>
            </wp:positionH>
            <wp:positionV relativeFrom="paragraph">
              <wp:posOffset>-4186555</wp:posOffset>
            </wp:positionV>
            <wp:extent cx="68580"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-4186555</wp:posOffset>
            </wp:positionV>
            <wp:extent cx="68580" cy="145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5930265</wp:posOffset>
            </wp:positionH>
            <wp:positionV relativeFrom="paragraph">
              <wp:posOffset>-2816225</wp:posOffset>
            </wp:positionV>
            <wp:extent cx="68580"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-2816225</wp:posOffset>
            </wp:positionV>
            <wp:extent cx="68580" cy="1282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5930265</wp:posOffset>
            </wp:positionH>
            <wp:positionV relativeFrom="paragraph">
              <wp:posOffset>-1677670</wp:posOffset>
            </wp:positionV>
            <wp:extent cx="68580" cy="1200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-1677670</wp:posOffset>
            </wp:positionV>
            <wp:extent cx="68580" cy="1200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5930265</wp:posOffset>
            </wp:positionH>
            <wp:positionV relativeFrom="paragraph">
              <wp:posOffset>-384810</wp:posOffset>
            </wp:positionV>
            <wp:extent cx="68580" cy="1282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-384810</wp:posOffset>
            </wp:positionV>
            <wp:extent cx="68580"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5930265</wp:posOffset>
            </wp:positionH>
            <wp:positionV relativeFrom="paragraph">
              <wp:posOffset>-144780</wp:posOffset>
            </wp:positionV>
            <wp:extent cx="68580" cy="145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wp:posOffset>
            </wp:positionV>
            <wp:extent cx="68580" cy="145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14541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Interim Balance Sheets.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4" w:name="page5"/>
    <w:bookmarkEnd w:id="4"/>
    <w:p>
      <w:pPr>
        <w:ind w:left="4640"/>
        <w:spacing w:after="0"/>
        <w:rPr>
          <w:sz w:val="20"/>
          <w:szCs w:val="20"/>
          <w:color w:val="auto"/>
        </w:rPr>
      </w:pPr>
      <w:r>
        <w:rPr>
          <w:rFonts w:ascii="Arial" w:cs="Arial" w:eastAsia="Arial" w:hAnsi="Arial"/>
          <w:sz w:val="18"/>
          <w:szCs w:val="18"/>
          <w:b w:val="1"/>
          <w:bCs w:val="1"/>
          <w:color w:val="auto"/>
        </w:rPr>
        <w:t>COLUMBIA CARE INC.</w:t>
      </w:r>
    </w:p>
    <w:p>
      <w:pPr>
        <w:spacing w:after="0" w:line="24"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CONDENSED CONSOLIDATED INTERIM STATEMENTS OF OPERATIONS AND COMPREHENSIVE LOSS</w:t>
      </w:r>
    </w:p>
    <w:p>
      <w:pPr>
        <w:jc w:val="center"/>
        <w:spacing w:after="0" w:line="234" w:lineRule="auto"/>
        <w:rPr>
          <w:sz w:val="20"/>
          <w:szCs w:val="20"/>
          <w:color w:val="auto"/>
        </w:rPr>
      </w:pPr>
      <w:r>
        <w:rPr>
          <w:rFonts w:ascii="Arial" w:cs="Arial" w:eastAsia="Arial" w:hAnsi="Arial"/>
          <w:sz w:val="18"/>
          <w:szCs w:val="18"/>
          <w:color w:val="auto"/>
        </w:rPr>
        <w:t>(Unaudited)</w:t>
      </w:r>
    </w:p>
    <w:p>
      <w:pPr>
        <w:jc w:val="center"/>
        <w:spacing w:after="0"/>
        <w:rPr>
          <w:sz w:val="20"/>
          <w:szCs w:val="20"/>
          <w:color w:val="auto"/>
        </w:rPr>
      </w:pPr>
      <w:r>
        <w:rPr>
          <w:rFonts w:ascii="Arial" w:cs="Arial" w:eastAsia="Arial" w:hAnsi="Arial"/>
          <w:sz w:val="18"/>
          <w:szCs w:val="18"/>
          <w:color w:val="auto"/>
        </w:rPr>
        <w:t>(Expressed in thousands of U.S. dollars, except for number of shares and per share amounts)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gridSpan w:val="5"/>
          </w:tcPr>
          <w:p>
            <w:pPr>
              <w:ind w:left="70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09"/>
        </w:trPr>
        <w:tc>
          <w:tcPr>
            <w:tcW w:w="3980" w:type="dxa"/>
            <w:vAlign w:val="bottom"/>
          </w:tcPr>
          <w:p>
            <w:pPr>
              <w:spacing w:after="0"/>
              <w:rPr>
                <w:sz w:val="18"/>
                <w:szCs w:val="18"/>
                <w:color w:val="auto"/>
              </w:rPr>
            </w:pPr>
          </w:p>
        </w:tc>
        <w:tc>
          <w:tcPr>
            <w:tcW w:w="1680" w:type="dxa"/>
            <w:vAlign w:val="bottom"/>
            <w:gridSpan w:val="2"/>
          </w:tcPr>
          <w:p>
            <w:pPr>
              <w:ind w:left="20"/>
              <w:spacing w:after="0"/>
              <w:rPr>
                <w:sz w:val="20"/>
                <w:szCs w:val="20"/>
                <w:color w:val="auto"/>
              </w:rPr>
            </w:pPr>
            <w:r>
              <w:rPr>
                <w:rFonts w:ascii="Arial" w:cs="Arial" w:eastAsia="Arial" w:hAnsi="Arial"/>
                <w:sz w:val="18"/>
                <w:szCs w:val="18"/>
                <w:b w:val="1"/>
                <w:bCs w:val="1"/>
                <w:color w:val="auto"/>
                <w:w w:val="97"/>
              </w:rPr>
              <w:t>September 30, 2022</w:t>
            </w:r>
          </w:p>
        </w:tc>
        <w:tc>
          <w:tcPr>
            <w:tcW w:w="140" w:type="dxa"/>
            <w:vAlign w:val="bottom"/>
          </w:tcPr>
          <w:p>
            <w:pPr>
              <w:spacing w:after="0"/>
              <w:rPr>
                <w:sz w:val="18"/>
                <w:szCs w:val="18"/>
                <w:color w:val="auto"/>
              </w:rPr>
            </w:pPr>
          </w:p>
        </w:tc>
        <w:tc>
          <w:tcPr>
            <w:tcW w:w="174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w w:val="91"/>
              </w:rPr>
              <w:t>September 30, 2021</w:t>
            </w:r>
          </w:p>
        </w:tc>
        <w:tc>
          <w:tcPr>
            <w:tcW w:w="100" w:type="dxa"/>
            <w:vAlign w:val="bottom"/>
          </w:tcPr>
          <w:p>
            <w:pPr>
              <w:spacing w:after="0"/>
              <w:rPr>
                <w:sz w:val="18"/>
                <w:szCs w:val="18"/>
                <w:color w:val="auto"/>
              </w:rPr>
            </w:pPr>
          </w:p>
        </w:tc>
        <w:tc>
          <w:tcPr>
            <w:tcW w:w="1640" w:type="dxa"/>
            <w:vAlign w:val="bottom"/>
            <w:gridSpan w:val="2"/>
          </w:tcPr>
          <w:p>
            <w:pPr>
              <w:ind w:left="20"/>
              <w:spacing w:after="0"/>
              <w:rPr>
                <w:sz w:val="20"/>
                <w:szCs w:val="20"/>
                <w:color w:val="auto"/>
              </w:rPr>
            </w:pPr>
            <w:r>
              <w:rPr>
                <w:rFonts w:ascii="Arial" w:cs="Arial" w:eastAsia="Arial" w:hAnsi="Arial"/>
                <w:sz w:val="18"/>
                <w:szCs w:val="18"/>
                <w:b w:val="1"/>
                <w:bCs w:val="1"/>
                <w:color w:val="auto"/>
                <w:w w:val="95"/>
              </w:rPr>
              <w:t>September 30, 2022</w:t>
            </w:r>
          </w:p>
        </w:tc>
        <w:tc>
          <w:tcPr>
            <w:tcW w:w="140" w:type="dxa"/>
            <w:vAlign w:val="bottom"/>
          </w:tcPr>
          <w:p>
            <w:pPr>
              <w:spacing w:after="0"/>
              <w:rPr>
                <w:sz w:val="18"/>
                <w:szCs w:val="18"/>
                <w:color w:val="auto"/>
              </w:rPr>
            </w:pPr>
          </w:p>
        </w:tc>
        <w:tc>
          <w:tcPr>
            <w:tcW w:w="1820" w:type="dxa"/>
            <w:vAlign w:val="bottom"/>
            <w:gridSpan w:val="3"/>
          </w:tcPr>
          <w:p>
            <w:pPr>
              <w:ind w:left="40"/>
              <w:spacing w:after="0"/>
              <w:rPr>
                <w:sz w:val="20"/>
                <w:szCs w:val="20"/>
                <w:color w:val="auto"/>
              </w:rPr>
            </w:pPr>
            <w:r>
              <w:rPr>
                <w:rFonts w:ascii="Arial" w:cs="Arial" w:eastAsia="Arial" w:hAnsi="Arial"/>
                <w:sz w:val="18"/>
                <w:szCs w:val="18"/>
                <w:b w:val="1"/>
                <w:bCs w:val="1"/>
                <w:color w:val="auto"/>
              </w:rPr>
              <w:t>September 30, 2021</w:t>
            </w:r>
          </w:p>
        </w:tc>
        <w:tc>
          <w:tcPr>
            <w:tcW w:w="0" w:type="dxa"/>
            <w:vAlign w:val="bottom"/>
          </w:tcPr>
          <w:p>
            <w:pPr>
              <w:spacing w:after="0"/>
              <w:rPr>
                <w:sz w:val="1"/>
                <w:szCs w:val="1"/>
                <w:color w:val="auto"/>
              </w:rPr>
            </w:pPr>
          </w:p>
        </w:tc>
      </w:tr>
      <w:tr>
        <w:trPr>
          <w:trHeight w:val="209"/>
        </w:trPr>
        <w:tc>
          <w:tcPr>
            <w:tcW w:w="3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Revenues, net of discounts</w:t>
            </w:r>
          </w:p>
        </w:tc>
        <w:tc>
          <w:tcPr>
            <w:tcW w:w="36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132,733</w:t>
            </w:r>
          </w:p>
        </w:tc>
        <w:tc>
          <w:tcPr>
            <w:tcW w:w="140" w:type="dxa"/>
            <w:vAlign w:val="bottom"/>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jc w:val="right"/>
              <w:ind w:right="49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132,322</w:t>
            </w:r>
          </w:p>
        </w:tc>
        <w:tc>
          <w:tcPr>
            <w:tcW w:w="10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385,391</w:t>
            </w:r>
          </w:p>
        </w:tc>
        <w:tc>
          <w:tcPr>
            <w:tcW w:w="140" w:type="dxa"/>
            <w:vAlign w:val="bottom"/>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320,804</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20"/>
              <w:spacing w:after="0"/>
              <w:rPr>
                <w:sz w:val="20"/>
                <w:szCs w:val="20"/>
                <w:color w:val="auto"/>
              </w:rPr>
            </w:pPr>
            <w:r>
              <w:rPr>
                <w:rFonts w:ascii="Arial" w:cs="Arial" w:eastAsia="Arial" w:hAnsi="Arial"/>
                <w:sz w:val="18"/>
                <w:szCs w:val="18"/>
                <w:color w:val="auto"/>
              </w:rPr>
              <w:t>Cost of sales related to inventory production</w:t>
            </w: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(80,462 )</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(69,525 )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(225,645 )</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(181,120 )</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3980" w:type="dxa"/>
            <w:vAlign w:val="bottom"/>
            <w:shd w:val="clear" w:color="auto" w:fill="CFF0FC"/>
          </w:tcPr>
          <w:p>
            <w:pPr>
              <w:ind w:left="20"/>
              <w:spacing w:after="0" w:line="175" w:lineRule="exact"/>
              <w:rPr>
                <w:sz w:val="20"/>
                <w:szCs w:val="20"/>
                <w:color w:val="auto"/>
              </w:rPr>
            </w:pPr>
            <w:r>
              <w:rPr>
                <w:rFonts w:ascii="Arial" w:cs="Arial" w:eastAsia="Arial" w:hAnsi="Arial"/>
                <w:sz w:val="18"/>
                <w:szCs w:val="18"/>
                <w:color w:val="auto"/>
              </w:rPr>
              <w:t>Cost of sales related to business combination fair</w:t>
            </w:r>
          </w:p>
        </w:tc>
        <w:tc>
          <w:tcPr>
            <w:tcW w:w="360" w:type="dxa"/>
            <w:vAlign w:val="bottom"/>
            <w:shd w:val="clear" w:color="auto" w:fill="CFF0FC"/>
          </w:tcPr>
          <w:p>
            <w:pPr>
              <w:spacing w:after="0"/>
              <w:rPr>
                <w:sz w:val="15"/>
                <w:szCs w:val="15"/>
                <w:color w:val="auto"/>
              </w:rPr>
            </w:pPr>
          </w:p>
        </w:tc>
        <w:tc>
          <w:tcPr>
            <w:tcW w:w="13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(136 )</w:t>
            </w: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(1,430 )</w:t>
            </w:r>
          </w:p>
        </w:tc>
        <w:tc>
          <w:tcPr>
            <w:tcW w:w="1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(136 )</w:t>
            </w:r>
          </w:p>
        </w:tc>
        <w:tc>
          <w:tcPr>
            <w:tcW w:w="14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3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(2,922 )</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9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value adjustments to inventory</w:t>
            </w:r>
          </w:p>
        </w:tc>
        <w:tc>
          <w:tcPr>
            <w:tcW w:w="3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vMerge w:val="continue"/>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vMerge w:val="continue"/>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vMerge w:val="continue"/>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vMerge w:val="continue"/>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8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360" w:type="dxa"/>
            <w:vAlign w:val="bottom"/>
          </w:tcPr>
          <w:p>
            <w:pPr>
              <w:spacing w:after="0"/>
              <w:rPr>
                <w:sz w:val="18"/>
                <w:szCs w:val="18"/>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52,135</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61,367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159,610</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136,762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Selling, general and administrative expenses</w:t>
            </w:r>
          </w:p>
        </w:tc>
        <w:tc>
          <w:tcPr>
            <w:tcW w:w="3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(70,845 )</w:t>
            </w:r>
          </w:p>
        </w:tc>
        <w:tc>
          <w:tcPr>
            <w:tcW w:w="14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(61,745 )</w:t>
            </w:r>
          </w:p>
        </w:tc>
        <w:tc>
          <w:tcPr>
            <w:tcW w:w="1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(215,093 )</w:t>
            </w:r>
          </w:p>
        </w:tc>
        <w:tc>
          <w:tcPr>
            <w:tcW w:w="1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(162,282 )</w:t>
            </w:r>
          </w:p>
        </w:tc>
        <w:tc>
          <w:tcPr>
            <w:tcW w:w="14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8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(18,710 )</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(378 )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(55,483 )</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(25,520 )</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expense:</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200"/>
              <w:spacing w:after="0"/>
              <w:rPr>
                <w:sz w:val="20"/>
                <w:szCs w:val="20"/>
                <w:color w:val="auto"/>
              </w:rPr>
            </w:pPr>
            <w:r>
              <w:rPr>
                <w:rFonts w:ascii="Arial" w:cs="Arial" w:eastAsia="Arial" w:hAnsi="Arial"/>
                <w:sz w:val="18"/>
                <w:szCs w:val="18"/>
                <w:color w:val="auto"/>
              </w:rPr>
              <w:t>Interest (expense) income on leases, net</w:t>
            </w: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(1,365 )</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(1,067 )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(4,161 )</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(3,831 )</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(expense) income, net</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(12,974 )</w:t>
            </w: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(6,990 )</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(35,702 )</w:t>
            </w: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(14,855 )</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200"/>
              <w:spacing w:after="0"/>
              <w:rPr>
                <w:sz w:val="20"/>
                <w:szCs w:val="20"/>
                <w:color w:val="auto"/>
              </w:rPr>
            </w:pPr>
            <w:r>
              <w:rPr>
                <w:rFonts w:ascii="Arial" w:cs="Arial" w:eastAsia="Arial" w:hAnsi="Arial"/>
                <w:sz w:val="18"/>
                <w:szCs w:val="18"/>
                <w:color w:val="auto"/>
              </w:rPr>
              <w:t>Other income (expense), net</w:t>
            </w: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1,321</w:t>
            </w:r>
          </w:p>
        </w:tc>
        <w:tc>
          <w:tcPr>
            <w:tcW w:w="14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(48,934 )</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791</w:t>
            </w:r>
          </w:p>
        </w:tc>
        <w:tc>
          <w:tcPr>
            <w:tcW w:w="1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(48,615 )</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other expense</w:t>
            </w:r>
          </w:p>
        </w:tc>
        <w:tc>
          <w:tcPr>
            <w:tcW w:w="3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(13,018 )</w:t>
            </w:r>
          </w:p>
        </w:tc>
        <w:tc>
          <w:tcPr>
            <w:tcW w:w="14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(56,991 )</w:t>
            </w:r>
          </w:p>
        </w:tc>
        <w:tc>
          <w:tcPr>
            <w:tcW w:w="1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(39,072 )</w:t>
            </w:r>
          </w:p>
        </w:tc>
        <w:tc>
          <w:tcPr>
            <w:tcW w:w="1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(67,301 )</w:t>
            </w:r>
          </w:p>
        </w:tc>
        <w:tc>
          <w:tcPr>
            <w:tcW w:w="14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before provision for income taxes</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(31,728 )</w:t>
            </w: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(57,369 )</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(94,555 )</w:t>
            </w: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(92,821 )</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20"/>
              <w:spacing w:after="0"/>
              <w:rPr>
                <w:sz w:val="20"/>
                <w:szCs w:val="20"/>
                <w:color w:val="auto"/>
              </w:rPr>
            </w:pPr>
            <w:r>
              <w:rPr>
                <w:rFonts w:ascii="Arial" w:cs="Arial" w:eastAsia="Arial" w:hAnsi="Arial"/>
                <w:sz w:val="18"/>
                <w:szCs w:val="18"/>
                <w:color w:val="auto"/>
              </w:rPr>
              <w:t>Income tax benefit (expense)</w:t>
            </w: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(6,575 )</w:t>
            </w:r>
          </w:p>
        </w:tc>
        <w:tc>
          <w:tcPr>
            <w:tcW w:w="14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12,999</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(25,909 )</w:t>
            </w:r>
          </w:p>
        </w:tc>
        <w:tc>
          <w:tcPr>
            <w:tcW w:w="1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631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 and comprehensive loss</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(38,303 )</w:t>
            </w: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(44,370 )</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(120,464 )</w:t>
            </w: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(92,190 )</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200"/>
              <w:spacing w:after="0"/>
              <w:rPr>
                <w:sz w:val="20"/>
                <w:szCs w:val="20"/>
                <w:color w:val="auto"/>
              </w:rPr>
            </w:pPr>
            <w:r>
              <w:rPr>
                <w:rFonts w:ascii="Arial" w:cs="Arial" w:eastAsia="Arial" w:hAnsi="Arial"/>
                <w:sz w:val="18"/>
                <w:szCs w:val="18"/>
                <w:color w:val="auto"/>
              </w:rPr>
              <w:t>Net loss attributable to non-controlling interests</w:t>
            </w: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(2,872 )</w:t>
            </w:r>
          </w:p>
        </w:tc>
        <w:tc>
          <w:tcPr>
            <w:tcW w:w="14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(1,474 )</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(4,569 )</w:t>
            </w:r>
          </w:p>
        </w:tc>
        <w:tc>
          <w:tcPr>
            <w:tcW w:w="1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(2,368 )</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9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 attributable to shareholders</w:t>
            </w:r>
          </w:p>
        </w:tc>
        <w:tc>
          <w:tcPr>
            <w:tcW w:w="36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(35,431 )</w:t>
            </w:r>
          </w:p>
        </w:tc>
        <w:tc>
          <w:tcPr>
            <w:tcW w:w="140" w:type="dxa"/>
            <w:vAlign w:val="bottom"/>
            <w:tcBorders>
              <w:bottom w:val="single" w:sz="8" w:color="CFF0FC"/>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ind w:right="4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(42,896 )</w:t>
            </w: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(115,895 )</w:t>
            </w:r>
          </w:p>
        </w:tc>
        <w:tc>
          <w:tcPr>
            <w:tcW w:w="14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(89,822 )</w:t>
            </w:r>
          </w:p>
        </w:tc>
        <w:tc>
          <w:tcPr>
            <w:tcW w:w="1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3980" w:type="dxa"/>
            <w:vAlign w:val="bottom"/>
            <w:shd w:val="clear" w:color="auto" w:fill="CFF0FC"/>
          </w:tcPr>
          <w:p>
            <w:pPr>
              <w:ind w:left="20"/>
              <w:spacing w:after="0" w:line="175" w:lineRule="exact"/>
              <w:rPr>
                <w:sz w:val="20"/>
                <w:szCs w:val="20"/>
                <w:color w:val="auto"/>
              </w:rPr>
            </w:pPr>
            <w:r>
              <w:rPr>
                <w:rFonts w:ascii="Arial" w:cs="Arial" w:eastAsia="Arial" w:hAnsi="Arial"/>
                <w:sz w:val="18"/>
                <w:szCs w:val="18"/>
                <w:color w:val="auto"/>
              </w:rPr>
              <w:t>Weighted-average number of shares used in</w:t>
            </w:r>
          </w:p>
        </w:tc>
        <w:tc>
          <w:tcPr>
            <w:tcW w:w="360" w:type="dxa"/>
            <w:vAlign w:val="bottom"/>
            <w:shd w:val="clear" w:color="auto" w:fill="CFF0FC"/>
          </w:tcPr>
          <w:p>
            <w:pPr>
              <w:spacing w:after="0"/>
              <w:rPr>
                <w:sz w:val="15"/>
                <w:szCs w:val="15"/>
                <w:color w:val="auto"/>
              </w:rPr>
            </w:pPr>
          </w:p>
        </w:tc>
        <w:tc>
          <w:tcPr>
            <w:tcW w:w="1320" w:type="dxa"/>
            <w:vAlign w:val="bottom"/>
            <w:vMerge w:val="restart"/>
            <w:shd w:val="clear" w:color="auto" w:fill="CFF0FC"/>
          </w:tcPr>
          <w:p>
            <w:pPr>
              <w:jc w:val="right"/>
              <w:ind w:right="50"/>
              <w:spacing w:after="0"/>
              <w:rPr>
                <w:sz w:val="20"/>
                <w:szCs w:val="20"/>
                <w:color w:val="auto"/>
              </w:rPr>
            </w:pPr>
            <w:r>
              <w:rPr>
                <w:rFonts w:ascii="Arial" w:cs="Arial" w:eastAsia="Arial" w:hAnsi="Arial"/>
                <w:sz w:val="18"/>
                <w:szCs w:val="18"/>
                <w:color w:val="auto"/>
              </w:rPr>
              <w:t>399,227,935</w:t>
            </w: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060" w:type="dxa"/>
            <w:vAlign w:val="bottom"/>
            <w:vMerge w:val="restart"/>
            <w:shd w:val="clear" w:color="auto" w:fill="CFF0FC"/>
          </w:tcPr>
          <w:p>
            <w:pPr>
              <w:jc w:val="right"/>
              <w:ind w:right="50"/>
              <w:spacing w:after="0"/>
              <w:rPr>
                <w:sz w:val="20"/>
                <w:szCs w:val="20"/>
                <w:color w:val="auto"/>
              </w:rPr>
            </w:pPr>
            <w:r>
              <w:rPr>
                <w:rFonts w:ascii="Arial" w:cs="Arial" w:eastAsia="Arial" w:hAnsi="Arial"/>
                <w:sz w:val="18"/>
                <w:szCs w:val="18"/>
                <w:color w:val="auto"/>
                <w:w w:val="89"/>
              </w:rPr>
              <w:t>325,416,684</w:t>
            </w:r>
          </w:p>
        </w:tc>
        <w:tc>
          <w:tcPr>
            <w:tcW w:w="1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80" w:type="dxa"/>
            <w:vAlign w:val="bottom"/>
            <w:vMerge w:val="restart"/>
            <w:shd w:val="clear" w:color="auto" w:fill="CFF0FC"/>
          </w:tcPr>
          <w:p>
            <w:pPr>
              <w:jc w:val="right"/>
              <w:ind w:right="30"/>
              <w:spacing w:after="0"/>
              <w:rPr>
                <w:sz w:val="20"/>
                <w:szCs w:val="20"/>
                <w:color w:val="auto"/>
              </w:rPr>
            </w:pPr>
            <w:r>
              <w:rPr>
                <w:rFonts w:ascii="Arial" w:cs="Arial" w:eastAsia="Arial" w:hAnsi="Arial"/>
                <w:sz w:val="18"/>
                <w:szCs w:val="18"/>
                <w:color w:val="auto"/>
              </w:rPr>
              <w:t>389,966,408</w:t>
            </w:r>
          </w:p>
        </w:tc>
        <w:tc>
          <w:tcPr>
            <w:tcW w:w="14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300" w:type="dxa"/>
            <w:vAlign w:val="bottom"/>
            <w:vMerge w:val="restart"/>
            <w:shd w:val="clear" w:color="auto" w:fill="CFF0FC"/>
          </w:tcPr>
          <w:p>
            <w:pPr>
              <w:jc w:val="right"/>
              <w:ind w:right="30"/>
              <w:spacing w:after="0"/>
              <w:rPr>
                <w:sz w:val="20"/>
                <w:szCs w:val="20"/>
                <w:color w:val="auto"/>
              </w:rPr>
            </w:pPr>
            <w:r>
              <w:rPr>
                <w:rFonts w:ascii="Arial" w:cs="Arial" w:eastAsia="Arial" w:hAnsi="Arial"/>
                <w:sz w:val="18"/>
                <w:szCs w:val="18"/>
                <w:color w:val="auto"/>
              </w:rPr>
              <w:t>311,446,922</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980" w:type="dxa"/>
            <w:vAlign w:val="bottom"/>
            <w:tcBorders>
              <w:bottom w:val="single" w:sz="8" w:color="CFF0FC"/>
            </w:tcBorders>
            <w:shd w:val="clear" w:color="auto" w:fill="CFF0FC"/>
          </w:tcPr>
          <w:p>
            <w:pPr>
              <w:ind w:left="20"/>
              <w:spacing w:after="0" w:line="189" w:lineRule="exact"/>
              <w:rPr>
                <w:sz w:val="20"/>
                <w:szCs w:val="20"/>
                <w:color w:val="auto"/>
              </w:rPr>
            </w:pPr>
            <w:r>
              <w:rPr>
                <w:rFonts w:ascii="Arial" w:cs="Arial" w:eastAsia="Arial" w:hAnsi="Arial"/>
                <w:sz w:val="18"/>
                <w:szCs w:val="18"/>
                <w:color w:val="auto"/>
              </w:rPr>
              <w:t>earnings per share - basic and diluted</w:t>
            </w:r>
          </w:p>
        </w:tc>
        <w:tc>
          <w:tcPr>
            <w:tcW w:w="3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vMerge w:val="continue"/>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vMerge w:val="continue"/>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vMerge w:val="continue"/>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980" w:type="dxa"/>
            <w:vAlign w:val="bottom"/>
          </w:tcPr>
          <w:p>
            <w:pPr>
              <w:ind w:left="20"/>
              <w:spacing w:after="0" w:line="198" w:lineRule="exact"/>
              <w:rPr>
                <w:sz w:val="20"/>
                <w:szCs w:val="20"/>
                <w:color w:val="auto"/>
              </w:rPr>
            </w:pPr>
            <w:r>
              <w:rPr>
                <w:rFonts w:ascii="Arial" w:cs="Arial" w:eastAsia="Arial" w:hAnsi="Arial"/>
                <w:sz w:val="18"/>
                <w:szCs w:val="18"/>
                <w:color w:val="auto"/>
              </w:rPr>
              <w:t>Loss attributable to shares (basic and diluted)</w:t>
            </w:r>
          </w:p>
        </w:tc>
        <w:tc>
          <w:tcPr>
            <w:tcW w:w="360" w:type="dxa"/>
            <w:vAlign w:val="bottom"/>
          </w:tcPr>
          <w:p>
            <w:pPr>
              <w:spacing w:after="0" w:line="198" w:lineRule="exact"/>
              <w:rPr>
                <w:sz w:val="20"/>
                <w:szCs w:val="20"/>
                <w:color w:val="auto"/>
              </w:rPr>
            </w:pPr>
            <w:r>
              <w:rPr>
                <w:rFonts w:ascii="Arial" w:cs="Arial" w:eastAsia="Arial" w:hAnsi="Arial"/>
                <w:sz w:val="18"/>
                <w:szCs w:val="18"/>
                <w:color w:val="auto"/>
              </w:rPr>
              <w:t>$</w:t>
            </w:r>
          </w:p>
        </w:tc>
        <w:tc>
          <w:tcPr>
            <w:tcW w:w="1320" w:type="dxa"/>
            <w:vAlign w:val="bottom"/>
          </w:tcPr>
          <w:p>
            <w:pPr>
              <w:jc w:val="right"/>
              <w:spacing w:after="0" w:line="198" w:lineRule="exact"/>
              <w:rPr>
                <w:sz w:val="20"/>
                <w:szCs w:val="20"/>
                <w:color w:val="auto"/>
              </w:rPr>
            </w:pPr>
            <w:r>
              <w:rPr>
                <w:rFonts w:ascii="Arial" w:cs="Arial" w:eastAsia="Arial" w:hAnsi="Arial"/>
                <w:sz w:val="18"/>
                <w:szCs w:val="18"/>
                <w:color w:val="auto"/>
              </w:rPr>
              <w:t>(0.09 )</w:t>
            </w: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jc w:val="right"/>
              <w:spacing w:after="0" w:line="198" w:lineRule="exact"/>
              <w:rPr>
                <w:sz w:val="20"/>
                <w:szCs w:val="20"/>
                <w:color w:val="auto"/>
              </w:rPr>
            </w:pPr>
            <w:r>
              <w:rPr>
                <w:rFonts w:ascii="Arial" w:cs="Arial" w:eastAsia="Arial" w:hAnsi="Arial"/>
                <w:sz w:val="18"/>
                <w:szCs w:val="18"/>
                <w:color w:val="auto"/>
              </w:rPr>
              <w:t>(0.13 )</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spacing w:after="0" w:line="198" w:lineRule="exact"/>
              <w:rPr>
                <w:sz w:val="20"/>
                <w:szCs w:val="20"/>
                <w:color w:val="auto"/>
              </w:rPr>
            </w:pPr>
            <w:r>
              <w:rPr>
                <w:rFonts w:ascii="Arial" w:cs="Arial" w:eastAsia="Arial" w:hAnsi="Arial"/>
                <w:sz w:val="18"/>
                <w:szCs w:val="18"/>
                <w:color w:val="auto"/>
              </w:rPr>
              <w:t>(0.30 )</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line="198" w:lineRule="exact"/>
              <w:rPr>
                <w:sz w:val="20"/>
                <w:szCs w:val="20"/>
                <w:color w:val="auto"/>
              </w:rPr>
            </w:pPr>
            <w:r>
              <w:rPr>
                <w:rFonts w:ascii="Arial" w:cs="Arial" w:eastAsia="Arial" w:hAnsi="Arial"/>
                <w:sz w:val="18"/>
                <w:szCs w:val="18"/>
                <w:color w:val="auto"/>
              </w:rPr>
              <w:t>(0.29 )</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3592830</wp:posOffset>
            </wp:positionH>
            <wp:positionV relativeFrom="paragraph">
              <wp:posOffset>-2526030</wp:posOffset>
            </wp:positionV>
            <wp:extent cx="93980" cy="145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3980" cy="145415"/>
                    </a:xfrm>
                    <a:prstGeom prst="rect">
                      <a:avLst/>
                    </a:prstGeom>
                    <a:noFill/>
                  </pic:spPr>
                </pic:pic>
              </a:graphicData>
            </a:graphic>
          </wp:anchor>
        </w:drawing>
        <w:drawing>
          <wp:anchor simplePos="0" relativeHeight="251657728" behindDoc="1" locked="0" layoutInCell="0" allowOverlap="1">
            <wp:simplePos x="0" y="0"/>
            <wp:positionH relativeFrom="column">
              <wp:posOffset>4782820</wp:posOffset>
            </wp:positionH>
            <wp:positionV relativeFrom="paragraph">
              <wp:posOffset>-2526030</wp:posOffset>
            </wp:positionV>
            <wp:extent cx="68580" cy="145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-2526030</wp:posOffset>
            </wp:positionV>
            <wp:extent cx="85725" cy="145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5725" cy="14541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-2526030</wp:posOffset>
            </wp:positionV>
            <wp:extent cx="85725" cy="145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5725" cy="145415"/>
                    </a:xfrm>
                    <a:prstGeom prst="rect">
                      <a:avLst/>
                    </a:prstGeom>
                    <a:noFill/>
                  </pic:spPr>
                </pic:pic>
              </a:graphicData>
            </a:graphic>
          </wp:anchor>
        </w:drawing>
        <w:drawing>
          <wp:anchor simplePos="0" relativeHeight="251657728" behindDoc="1" locked="0" layoutInCell="0" allowOverlap="1">
            <wp:simplePos x="0" y="0"/>
            <wp:positionH relativeFrom="column">
              <wp:posOffset>3592830</wp:posOffset>
            </wp:positionH>
            <wp:positionV relativeFrom="paragraph">
              <wp:posOffset>-2243455</wp:posOffset>
            </wp:positionV>
            <wp:extent cx="93980" cy="145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3980" cy="145415"/>
                    </a:xfrm>
                    <a:prstGeom prst="rect">
                      <a:avLst/>
                    </a:prstGeom>
                    <a:noFill/>
                  </pic:spPr>
                </pic:pic>
              </a:graphicData>
            </a:graphic>
          </wp:anchor>
        </w:drawing>
        <w:drawing>
          <wp:anchor simplePos="0" relativeHeight="251657728" behindDoc="1" locked="0" layoutInCell="0" allowOverlap="1">
            <wp:simplePos x="0" y="0"/>
            <wp:positionH relativeFrom="column">
              <wp:posOffset>4782820</wp:posOffset>
            </wp:positionH>
            <wp:positionV relativeFrom="paragraph">
              <wp:posOffset>-2243455</wp:posOffset>
            </wp:positionV>
            <wp:extent cx="68580" cy="145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-2243455</wp:posOffset>
            </wp:positionV>
            <wp:extent cx="85725" cy="145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5725" cy="14541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-2243455</wp:posOffset>
            </wp:positionV>
            <wp:extent cx="85725" cy="145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5725" cy="145415"/>
                    </a:xfrm>
                    <a:prstGeom prst="rect">
                      <a:avLst/>
                    </a:prstGeom>
                    <a:noFill/>
                  </pic:spPr>
                </pic:pic>
              </a:graphicData>
            </a:graphic>
          </wp:anchor>
        </w:drawing>
        <w:drawing>
          <wp:anchor simplePos="0" relativeHeight="251657728" behindDoc="1" locked="0" layoutInCell="0" allowOverlap="1">
            <wp:simplePos x="0" y="0"/>
            <wp:positionH relativeFrom="column">
              <wp:posOffset>3592830</wp:posOffset>
            </wp:positionH>
            <wp:positionV relativeFrom="paragraph">
              <wp:posOffset>-1404620</wp:posOffset>
            </wp:positionV>
            <wp:extent cx="93980" cy="1454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93980" cy="145415"/>
                    </a:xfrm>
                    <a:prstGeom prst="rect">
                      <a:avLst/>
                    </a:prstGeom>
                    <a:noFill/>
                  </pic:spPr>
                </pic:pic>
              </a:graphicData>
            </a:graphic>
          </wp:anchor>
        </w:drawing>
        <w:drawing>
          <wp:anchor simplePos="0" relativeHeight="251657728" behindDoc="1" locked="0" layoutInCell="0" allowOverlap="1">
            <wp:simplePos x="0" y="0"/>
            <wp:positionH relativeFrom="column">
              <wp:posOffset>4782820</wp:posOffset>
            </wp:positionH>
            <wp:positionV relativeFrom="paragraph">
              <wp:posOffset>-1404620</wp:posOffset>
            </wp:positionV>
            <wp:extent cx="68580" cy="145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-1404620</wp:posOffset>
            </wp:positionV>
            <wp:extent cx="85725" cy="145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5725" cy="14541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-1404620</wp:posOffset>
            </wp:positionV>
            <wp:extent cx="85725" cy="1454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5725" cy="145415"/>
                    </a:xfrm>
                    <a:prstGeom prst="rect">
                      <a:avLst/>
                    </a:prstGeom>
                    <a:noFill/>
                  </pic:spPr>
                </pic:pic>
              </a:graphicData>
            </a:graphic>
          </wp:anchor>
        </w:drawing>
        <w:drawing>
          <wp:anchor simplePos="0" relativeHeight="251657728" behindDoc="1" locked="0" layoutInCell="0" allowOverlap="1">
            <wp:simplePos x="0" y="0"/>
            <wp:positionH relativeFrom="column">
              <wp:posOffset>3592830</wp:posOffset>
            </wp:positionH>
            <wp:positionV relativeFrom="paragraph">
              <wp:posOffset>-556895</wp:posOffset>
            </wp:positionV>
            <wp:extent cx="3544570" cy="1625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544570" cy="162560"/>
                    </a:xfrm>
                    <a:prstGeom prst="rect">
                      <a:avLst/>
                    </a:prstGeom>
                    <a:noFill/>
                  </pic:spPr>
                </pic:pic>
              </a:graphicData>
            </a:graphic>
          </wp:anchor>
        </w:drawing>
        <w:drawing>
          <wp:anchor simplePos="0" relativeHeight="251657728" behindDoc="1" locked="0" layoutInCell="0" allowOverlap="1">
            <wp:simplePos x="0" y="0"/>
            <wp:positionH relativeFrom="column">
              <wp:posOffset>3592830</wp:posOffset>
            </wp:positionH>
            <wp:positionV relativeFrom="paragraph">
              <wp:posOffset>-163195</wp:posOffset>
            </wp:positionV>
            <wp:extent cx="3544570" cy="1625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544570" cy="16256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Interim Statements of Operations and Comprehensive Loss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5" w:name="page6"/>
    <w:bookmarkEnd w:id="5"/>
    <w:p>
      <w:pPr>
        <w:ind w:left="4940"/>
        <w:spacing w:after="0"/>
        <w:rPr>
          <w:sz w:val="20"/>
          <w:szCs w:val="20"/>
          <w:color w:val="auto"/>
        </w:rPr>
      </w:pPr>
      <w:r>
        <w:rPr>
          <w:rFonts w:ascii="Arial" w:cs="Arial" w:eastAsia="Arial" w:hAnsi="Arial"/>
          <w:sz w:val="13"/>
          <w:szCs w:val="13"/>
          <w:b w:val="1"/>
          <w:bCs w:val="1"/>
          <w:color w:val="auto"/>
        </w:rPr>
        <w:t>COLUMBIA CARE INC.</w:t>
      </w:r>
    </w:p>
    <w:p>
      <w:pPr>
        <w:spacing w:after="0" w:line="11" w:lineRule="exact"/>
        <w:rPr>
          <w:sz w:val="20"/>
          <w:szCs w:val="20"/>
          <w:color w:val="auto"/>
        </w:rPr>
      </w:pPr>
    </w:p>
    <w:p>
      <w:pPr>
        <w:ind w:left="3320"/>
        <w:spacing w:after="0"/>
        <w:rPr>
          <w:sz w:val="20"/>
          <w:szCs w:val="20"/>
          <w:color w:val="auto"/>
        </w:rPr>
      </w:pPr>
      <w:r>
        <w:rPr>
          <w:rFonts w:ascii="Arial" w:cs="Arial" w:eastAsia="Arial" w:hAnsi="Arial"/>
          <w:sz w:val="13"/>
          <w:szCs w:val="13"/>
          <w:color w:val="auto"/>
        </w:rPr>
        <w:t>CONDENSED CONSOLIDATED INTERIM STATEMENTS OF CHANGES IN EQUITY</w:t>
      </w:r>
    </w:p>
    <w:p>
      <w:pPr>
        <w:ind w:left="5320"/>
        <w:spacing w:after="0" w:line="216" w:lineRule="auto"/>
        <w:rPr>
          <w:sz w:val="20"/>
          <w:szCs w:val="20"/>
          <w:color w:val="auto"/>
        </w:rPr>
      </w:pPr>
      <w:r>
        <w:rPr>
          <w:rFonts w:ascii="Arial" w:cs="Arial" w:eastAsia="Arial" w:hAnsi="Arial"/>
          <w:sz w:val="13"/>
          <w:szCs w:val="13"/>
          <w:color w:val="auto"/>
        </w:rPr>
        <w:t>(Unaudited)</w:t>
      </w:r>
    </w:p>
    <w:p>
      <w:pPr>
        <w:jc w:val="center"/>
        <w:spacing w:after="0"/>
        <w:rPr>
          <w:sz w:val="20"/>
          <w:szCs w:val="20"/>
          <w:color w:val="auto"/>
        </w:rPr>
      </w:pPr>
      <w:r>
        <w:rPr>
          <w:rFonts w:ascii="Arial" w:cs="Arial" w:eastAsia="Arial" w:hAnsi="Arial"/>
          <w:sz w:val="13"/>
          <w:szCs w:val="13"/>
          <w:color w:val="auto"/>
        </w:rPr>
        <w:t>(Expressed in thousands of U.S. dollars, except for 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jc w:val="center"/>
              <w:ind w:right="157"/>
              <w:spacing w:after="0"/>
              <w:rPr>
                <w:sz w:val="20"/>
                <w:szCs w:val="20"/>
                <w:color w:val="auto"/>
              </w:rPr>
            </w:pPr>
            <w:r>
              <w:rPr>
                <w:rFonts w:ascii="Arial" w:cs="Arial" w:eastAsia="Arial" w:hAnsi="Arial"/>
                <w:sz w:val="13"/>
                <w:szCs w:val="13"/>
                <w:b w:val="1"/>
                <w:bCs w:val="1"/>
                <w:color w:val="auto"/>
                <w:w w:val="90"/>
              </w:rPr>
              <w:t>Total Columbia Care</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center"/>
              <w:ind w:right="157"/>
              <w:spacing w:after="0"/>
              <w:rPr>
                <w:sz w:val="20"/>
                <w:szCs w:val="20"/>
                <w:color w:val="auto"/>
              </w:rPr>
            </w:pPr>
            <w:r>
              <w:rPr>
                <w:rFonts w:ascii="Arial" w:cs="Arial" w:eastAsia="Arial" w:hAnsi="Arial"/>
                <w:sz w:val="13"/>
                <w:szCs w:val="13"/>
                <w:b w:val="1"/>
                <w:bCs w:val="1"/>
                <w:color w:val="auto"/>
                <w:w w:val="87"/>
              </w:rPr>
              <w:t>Non-</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62"/>
        </w:trPr>
        <w:tc>
          <w:tcPr>
            <w:tcW w:w="26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right"/>
              <w:ind w:right="217"/>
              <w:spacing w:after="0"/>
              <w:rPr>
                <w:sz w:val="20"/>
                <w:szCs w:val="20"/>
                <w:color w:val="auto"/>
              </w:rPr>
            </w:pPr>
            <w:r>
              <w:rPr>
                <w:rFonts w:ascii="Arial" w:cs="Arial" w:eastAsia="Arial" w:hAnsi="Arial"/>
                <w:sz w:val="13"/>
                <w:szCs w:val="13"/>
                <w:b w:val="1"/>
                <w:bCs w:val="1"/>
                <w:color w:val="auto"/>
              </w:rPr>
              <w:t>Proportionate</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ind w:right="217"/>
              <w:spacing w:after="0"/>
              <w:rPr>
                <w:sz w:val="20"/>
                <w:szCs w:val="20"/>
                <w:color w:val="auto"/>
              </w:rPr>
            </w:pPr>
            <w:r>
              <w:rPr>
                <w:rFonts w:ascii="Arial" w:cs="Arial" w:eastAsia="Arial" w:hAnsi="Arial"/>
                <w:sz w:val="13"/>
                <w:szCs w:val="13"/>
                <w:b w:val="1"/>
                <w:bCs w:val="1"/>
                <w:color w:val="auto"/>
                <w:w w:val="94"/>
              </w:rPr>
              <w:t>Additional</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137"/>
              <w:spacing w:after="0"/>
              <w:rPr>
                <w:sz w:val="20"/>
                <w:szCs w:val="20"/>
                <w:color w:val="auto"/>
              </w:rPr>
            </w:pPr>
            <w:r>
              <w:rPr>
                <w:rFonts w:ascii="Arial" w:cs="Arial" w:eastAsia="Arial" w:hAnsi="Arial"/>
                <w:sz w:val="13"/>
                <w:szCs w:val="13"/>
                <w:b w:val="1"/>
                <w:bCs w:val="1"/>
                <w:color w:val="auto"/>
                <w:w w:val="85"/>
              </w:rPr>
              <w:t>Accumulated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jc w:val="center"/>
              <w:ind w:right="117"/>
              <w:spacing w:after="0"/>
              <w:rPr>
                <w:sz w:val="20"/>
                <w:szCs w:val="20"/>
                <w:color w:val="auto"/>
              </w:rPr>
            </w:pPr>
            <w:r>
              <w:rPr>
                <w:rFonts w:ascii="Arial" w:cs="Arial" w:eastAsia="Arial" w:hAnsi="Arial"/>
                <w:sz w:val="13"/>
                <w:szCs w:val="13"/>
                <w:b w:val="1"/>
                <w:bCs w:val="1"/>
                <w:color w:val="auto"/>
                <w:w w:val="97"/>
              </w:rPr>
              <w:t>Inc.</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157"/>
              <w:spacing w:after="0"/>
              <w:rPr>
                <w:sz w:val="20"/>
                <w:szCs w:val="20"/>
                <w:color w:val="auto"/>
              </w:rPr>
            </w:pPr>
            <w:r>
              <w:rPr>
                <w:rFonts w:ascii="Arial" w:cs="Arial" w:eastAsia="Arial" w:hAnsi="Arial"/>
                <w:sz w:val="13"/>
                <w:szCs w:val="13"/>
                <w:b w:val="1"/>
                <w:bCs w:val="1"/>
                <w:color w:val="auto"/>
                <w:w w:val="89"/>
              </w:rPr>
              <w:t>Controlling</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297"/>
              <w:spacing w:after="0"/>
              <w:rPr>
                <w:sz w:val="20"/>
                <w:szCs w:val="20"/>
                <w:color w:val="auto"/>
              </w:rPr>
            </w:pPr>
            <w:r>
              <w:rPr>
                <w:rFonts w:ascii="Arial" w:cs="Arial" w:eastAsia="Arial" w:hAnsi="Arial"/>
                <w:sz w:val="13"/>
                <w:szCs w:val="13"/>
                <w:b w:val="1"/>
                <w:bCs w:val="1"/>
                <w:color w:val="auto"/>
              </w:rPr>
              <w:t>Total</w:t>
            </w:r>
          </w:p>
        </w:tc>
      </w:tr>
      <w:tr>
        <w:trPr>
          <w:trHeight w:val="174"/>
        </w:trPr>
        <w:tc>
          <w:tcPr>
            <w:tcW w:w="2680" w:type="dxa"/>
            <w:vAlign w:val="bottom"/>
          </w:tcPr>
          <w:p>
            <w:pPr>
              <w:spacing w:after="0"/>
              <w:rPr>
                <w:sz w:val="15"/>
                <w:szCs w:val="15"/>
                <w:color w:val="auto"/>
              </w:rPr>
            </w:pPr>
          </w:p>
        </w:tc>
        <w:tc>
          <w:tcPr>
            <w:tcW w:w="1320" w:type="dxa"/>
            <w:vAlign w:val="bottom"/>
            <w:tcBorders>
              <w:bottom w:val="single" w:sz="8" w:color="auto"/>
            </w:tcBorders>
          </w:tcPr>
          <w:p>
            <w:pPr>
              <w:jc w:val="right"/>
              <w:ind w:right="477"/>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5"/>
                <w:szCs w:val="15"/>
                <w:color w:val="auto"/>
              </w:rPr>
            </w:pPr>
          </w:p>
        </w:tc>
        <w:tc>
          <w:tcPr>
            <w:tcW w:w="118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Voting Shares</w:t>
            </w:r>
          </w:p>
        </w:tc>
        <w:tc>
          <w:tcPr>
            <w:tcW w:w="120" w:type="dxa"/>
            <w:vAlign w:val="bottom"/>
          </w:tcPr>
          <w:p>
            <w:pPr>
              <w:spacing w:after="0"/>
              <w:rPr>
                <w:sz w:val="15"/>
                <w:szCs w:val="15"/>
                <w:color w:val="auto"/>
              </w:rPr>
            </w:pPr>
          </w:p>
        </w:tc>
        <w:tc>
          <w:tcPr>
            <w:tcW w:w="1040" w:type="dxa"/>
            <w:vAlign w:val="bottom"/>
            <w:tcBorders>
              <w:bottom w:val="single" w:sz="8" w:color="auto"/>
            </w:tcBorders>
            <w:gridSpan w:val="2"/>
          </w:tcPr>
          <w:p>
            <w:pPr>
              <w:jc w:val="right"/>
              <w:ind w:right="97"/>
              <w:spacing w:after="0"/>
              <w:rPr>
                <w:sz w:val="20"/>
                <w:szCs w:val="20"/>
                <w:color w:val="auto"/>
              </w:rPr>
            </w:pPr>
            <w:r>
              <w:rPr>
                <w:rFonts w:ascii="Arial" w:cs="Arial" w:eastAsia="Arial" w:hAnsi="Arial"/>
                <w:sz w:val="13"/>
                <w:szCs w:val="13"/>
                <w:b w:val="1"/>
                <w:bCs w:val="1"/>
                <w:color w:val="auto"/>
                <w:w w:val="95"/>
              </w:rPr>
              <w:t>Paid-in Capital</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b w:val="1"/>
                <w:bCs w:val="1"/>
                <w:color w:val="auto"/>
              </w:rPr>
              <w:t>Deficit</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117"/>
              <w:spacing w:after="0"/>
              <w:rPr>
                <w:sz w:val="20"/>
                <w:szCs w:val="20"/>
                <w:color w:val="auto"/>
              </w:rPr>
            </w:pPr>
            <w:r>
              <w:rPr>
                <w:rFonts w:ascii="Arial" w:cs="Arial" w:eastAsia="Arial" w:hAnsi="Arial"/>
                <w:sz w:val="13"/>
                <w:szCs w:val="13"/>
                <w:b w:val="1"/>
                <w:bCs w:val="1"/>
                <w:color w:val="auto"/>
                <w:w w:val="87"/>
              </w:rPr>
              <w:t>Shareholders' Equity</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157"/>
              <w:spacing w:after="0"/>
              <w:rPr>
                <w:sz w:val="20"/>
                <w:szCs w:val="20"/>
                <w:color w:val="auto"/>
              </w:rPr>
            </w:pPr>
            <w:r>
              <w:rPr>
                <w:rFonts w:ascii="Arial" w:cs="Arial" w:eastAsia="Arial" w:hAnsi="Arial"/>
                <w:sz w:val="13"/>
                <w:szCs w:val="13"/>
                <w:b w:val="1"/>
                <w:bCs w:val="1"/>
                <w:color w:val="auto"/>
                <w:w w:val="89"/>
              </w:rPr>
              <w:t>Interest</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Equity</w:t>
            </w:r>
          </w:p>
        </w:tc>
      </w:tr>
      <w:tr>
        <w:trPr>
          <w:trHeight w:val="162"/>
        </w:trPr>
        <w:tc>
          <w:tcPr>
            <w:tcW w:w="268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Balance, December 31, 2021</w:t>
            </w:r>
          </w:p>
        </w:tc>
        <w:tc>
          <w:tcPr>
            <w:tcW w:w="1320" w:type="dxa"/>
            <w:vAlign w:val="bottom"/>
            <w:shd w:val="clear" w:color="auto" w:fill="CFF0FC"/>
          </w:tcPr>
          <w:p>
            <w:pPr>
              <w:jc w:val="right"/>
              <w:ind w:right="77"/>
              <w:spacing w:after="0"/>
              <w:rPr>
                <w:sz w:val="20"/>
                <w:szCs w:val="20"/>
                <w:color w:val="auto"/>
              </w:rPr>
            </w:pPr>
            <w:r>
              <w:rPr>
                <w:rFonts w:ascii="Arial" w:cs="Arial" w:eastAsia="Arial" w:hAnsi="Arial"/>
                <w:sz w:val="13"/>
                <w:szCs w:val="13"/>
                <w:b w:val="1"/>
                <w:bCs w:val="1"/>
                <w:color w:val="auto"/>
              </w:rPr>
              <w:t>361,423,270</w:t>
            </w:r>
          </w:p>
        </w:tc>
        <w:tc>
          <w:tcPr>
            <w:tcW w:w="120" w:type="dxa"/>
            <w:vAlign w:val="bottom"/>
            <w:shd w:val="clear" w:color="auto" w:fill="CFF0FC"/>
          </w:tcPr>
          <w:p>
            <w:pPr>
              <w:spacing w:after="0"/>
              <w:rPr>
                <w:sz w:val="14"/>
                <w:szCs w:val="14"/>
                <w:color w:val="auto"/>
              </w:rPr>
            </w:pPr>
          </w:p>
        </w:tc>
        <w:tc>
          <w:tcPr>
            <w:tcW w:w="1180" w:type="dxa"/>
            <w:vAlign w:val="bottom"/>
            <w:shd w:val="clear" w:color="auto" w:fill="CFF0FC"/>
          </w:tcPr>
          <w:p>
            <w:pPr>
              <w:jc w:val="right"/>
              <w:ind w:right="77"/>
              <w:spacing w:after="0"/>
              <w:rPr>
                <w:sz w:val="20"/>
                <w:szCs w:val="20"/>
                <w:color w:val="auto"/>
              </w:rPr>
            </w:pPr>
            <w:r>
              <w:rPr>
                <w:rFonts w:ascii="Arial" w:cs="Arial" w:eastAsia="Arial" w:hAnsi="Arial"/>
                <w:sz w:val="13"/>
                <w:szCs w:val="13"/>
                <w:b w:val="1"/>
                <w:bCs w:val="1"/>
                <w:color w:val="auto"/>
              </w:rPr>
              <w:t>14,729,636</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w w:val="82"/>
              </w:rPr>
              <w:t>$</w:t>
            </w:r>
          </w:p>
        </w:tc>
        <w:tc>
          <w:tcPr>
            <w:tcW w:w="900" w:type="dxa"/>
            <w:vAlign w:val="bottom"/>
            <w:shd w:val="clear" w:color="auto" w:fill="CFF0FC"/>
          </w:tcPr>
          <w:p>
            <w:pPr>
              <w:jc w:val="right"/>
              <w:ind w:right="57"/>
              <w:spacing w:after="0"/>
              <w:rPr>
                <w:sz w:val="20"/>
                <w:szCs w:val="20"/>
                <w:color w:val="auto"/>
              </w:rPr>
            </w:pPr>
            <w:r>
              <w:rPr>
                <w:rFonts w:ascii="Arial" w:cs="Arial" w:eastAsia="Arial" w:hAnsi="Arial"/>
                <w:sz w:val="13"/>
                <w:szCs w:val="13"/>
                <w:b w:val="1"/>
                <w:bCs w:val="1"/>
                <w:color w:val="auto"/>
              </w:rPr>
              <w:t>1,039,726</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w w:val="82"/>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(468,335 )</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w w:val="82"/>
              </w:rPr>
              <w:t>$</w:t>
            </w:r>
          </w:p>
        </w:tc>
        <w:tc>
          <w:tcPr>
            <w:tcW w:w="1360" w:type="dxa"/>
            <w:vAlign w:val="bottom"/>
            <w:shd w:val="clear" w:color="auto" w:fill="CFF0FC"/>
          </w:tcPr>
          <w:p>
            <w:pPr>
              <w:jc w:val="right"/>
              <w:ind w:right="57"/>
              <w:spacing w:after="0"/>
              <w:rPr>
                <w:sz w:val="20"/>
                <w:szCs w:val="20"/>
                <w:color w:val="auto"/>
              </w:rPr>
            </w:pPr>
            <w:r>
              <w:rPr>
                <w:rFonts w:ascii="Arial" w:cs="Arial" w:eastAsia="Arial" w:hAnsi="Arial"/>
                <w:sz w:val="13"/>
                <w:szCs w:val="13"/>
                <w:b w:val="1"/>
                <w:bCs w:val="1"/>
                <w:color w:val="auto"/>
              </w:rPr>
              <w:t>571,391</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w w:val="82"/>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(20,568 )</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w w:val="82"/>
              </w:rPr>
              <w:t>$</w:t>
            </w:r>
          </w:p>
        </w:tc>
        <w:tc>
          <w:tcPr>
            <w:tcW w:w="760" w:type="dxa"/>
            <w:vAlign w:val="bottom"/>
            <w:shd w:val="clear" w:color="auto" w:fill="CFF0FC"/>
          </w:tcPr>
          <w:p>
            <w:pPr>
              <w:jc w:val="right"/>
              <w:ind w:right="57"/>
              <w:spacing w:after="0"/>
              <w:rPr>
                <w:sz w:val="20"/>
                <w:szCs w:val="20"/>
                <w:color w:val="auto"/>
              </w:rPr>
            </w:pPr>
            <w:r>
              <w:rPr>
                <w:rFonts w:ascii="Arial" w:cs="Arial" w:eastAsia="Arial" w:hAnsi="Arial"/>
                <w:sz w:val="13"/>
                <w:szCs w:val="13"/>
                <w:b w:val="1"/>
                <w:bCs w:val="1"/>
                <w:color w:val="auto"/>
              </w:rPr>
              <w:t>550,823</w:t>
            </w:r>
          </w:p>
        </w:tc>
      </w:tr>
      <w:tr>
        <w:trPr>
          <w:trHeight w:val="162"/>
        </w:trPr>
        <w:tc>
          <w:tcPr>
            <w:tcW w:w="2680" w:type="dxa"/>
            <w:vAlign w:val="bottom"/>
          </w:tcPr>
          <w:p>
            <w:pPr>
              <w:ind w:left="20"/>
              <w:spacing w:after="0" w:line="162" w:lineRule="exact"/>
              <w:rPr>
                <w:sz w:val="20"/>
                <w:szCs w:val="20"/>
                <w:color w:val="auto"/>
              </w:rPr>
            </w:pPr>
            <w:r>
              <w:rPr>
                <w:rFonts w:ascii="Arial" w:cs="Arial" w:eastAsia="Arial" w:hAnsi="Arial"/>
                <w:sz w:val="13"/>
                <w:szCs w:val="13"/>
                <w:color w:val="auto"/>
              </w:rPr>
              <w:t xml:space="preserve">Equity-based compensation </w:t>
            </w:r>
            <w:r>
              <w:rPr>
                <w:rFonts w:ascii="Arial" w:cs="Arial" w:eastAsia="Arial" w:hAnsi="Arial"/>
                <w:sz w:val="16"/>
                <w:szCs w:val="16"/>
                <w:color w:val="auto"/>
                <w:vertAlign w:val="superscript"/>
              </w:rPr>
              <w:t>(1)</w:t>
            </w:r>
          </w:p>
        </w:tc>
        <w:tc>
          <w:tcPr>
            <w:tcW w:w="1320" w:type="dxa"/>
            <w:vAlign w:val="bottom"/>
          </w:tcPr>
          <w:p>
            <w:pPr>
              <w:jc w:val="right"/>
              <w:ind w:right="77"/>
              <w:spacing w:after="0"/>
              <w:rPr>
                <w:sz w:val="20"/>
                <w:szCs w:val="20"/>
                <w:color w:val="auto"/>
              </w:rPr>
            </w:pPr>
            <w:r>
              <w:rPr>
                <w:rFonts w:ascii="Arial" w:cs="Arial" w:eastAsia="Arial" w:hAnsi="Arial"/>
                <w:sz w:val="13"/>
                <w:szCs w:val="13"/>
                <w:color w:val="auto"/>
              </w:rPr>
              <w:t>237,486</w:t>
            </w:r>
          </w:p>
        </w:tc>
        <w:tc>
          <w:tcPr>
            <w:tcW w:w="120" w:type="dxa"/>
            <w:vAlign w:val="bottom"/>
          </w:tcPr>
          <w:p>
            <w:pPr>
              <w:spacing w:after="0"/>
              <w:rPr>
                <w:sz w:val="14"/>
                <w:szCs w:val="14"/>
                <w:color w:val="auto"/>
              </w:rPr>
            </w:pPr>
          </w:p>
        </w:tc>
        <w:tc>
          <w:tcPr>
            <w:tcW w:w="11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6,358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jc w:val="right"/>
              <w:ind w:right="57"/>
              <w:spacing w:after="0"/>
              <w:rPr>
                <w:sz w:val="20"/>
                <w:szCs w:val="20"/>
                <w:color w:val="auto"/>
              </w:rPr>
            </w:pPr>
            <w:r>
              <w:rPr>
                <w:rFonts w:ascii="Arial" w:cs="Arial" w:eastAsia="Arial" w:hAnsi="Arial"/>
                <w:sz w:val="13"/>
                <w:szCs w:val="13"/>
                <w:color w:val="auto"/>
              </w:rPr>
              <w:t>6,358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6,358</w:t>
            </w:r>
          </w:p>
        </w:tc>
      </w:tr>
      <w:tr>
        <w:trPr>
          <w:trHeight w:val="162"/>
        </w:trPr>
        <w:tc>
          <w:tcPr>
            <w:tcW w:w="2680" w:type="dxa"/>
            <w:vAlign w:val="bottom"/>
            <w:shd w:val="clear" w:color="auto" w:fill="CFF0FC"/>
          </w:tcPr>
          <w:p>
            <w:pPr>
              <w:ind w:left="20"/>
              <w:spacing w:after="0"/>
              <w:rPr>
                <w:sz w:val="20"/>
                <w:szCs w:val="20"/>
                <w:color w:val="auto"/>
              </w:rPr>
            </w:pPr>
            <w:r>
              <w:rPr>
                <w:rFonts w:ascii="Arial" w:cs="Arial" w:eastAsia="Arial" w:hAnsi="Arial"/>
                <w:sz w:val="13"/>
                <w:szCs w:val="13"/>
                <w:color w:val="auto"/>
              </w:rPr>
              <w:t>Warrants exercised</w:t>
            </w:r>
          </w:p>
        </w:tc>
        <w:tc>
          <w:tcPr>
            <w:tcW w:w="132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180,000</w:t>
            </w:r>
          </w:p>
        </w:tc>
        <w:tc>
          <w:tcPr>
            <w:tcW w:w="120" w:type="dxa"/>
            <w:vAlign w:val="bottom"/>
            <w:shd w:val="clear" w:color="auto" w:fill="CFF0FC"/>
          </w:tcPr>
          <w:p>
            <w:pPr>
              <w:spacing w:after="0"/>
              <w:rPr>
                <w:sz w:val="14"/>
                <w:szCs w:val="14"/>
                <w:color w:val="auto"/>
              </w:rPr>
            </w:pPr>
          </w:p>
        </w:tc>
        <w:tc>
          <w:tcPr>
            <w:tcW w:w="118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425</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36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425</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425</w:t>
            </w:r>
          </w:p>
        </w:tc>
      </w:tr>
      <w:tr>
        <w:trPr>
          <w:trHeight w:val="158"/>
        </w:trPr>
        <w:tc>
          <w:tcPr>
            <w:tcW w:w="2680" w:type="dxa"/>
            <w:vAlign w:val="bottom"/>
          </w:tcPr>
          <w:p>
            <w:pPr>
              <w:ind w:left="20"/>
              <w:spacing w:after="0"/>
              <w:rPr>
                <w:sz w:val="20"/>
                <w:szCs w:val="20"/>
                <w:color w:val="auto"/>
              </w:rPr>
            </w:pPr>
            <w:r>
              <w:rPr>
                <w:rFonts w:ascii="Arial" w:cs="Arial" w:eastAsia="Arial" w:hAnsi="Arial"/>
                <w:sz w:val="13"/>
                <w:szCs w:val="13"/>
                <w:color w:val="auto"/>
              </w:rPr>
              <w:t>Net loss</w:t>
            </w:r>
          </w:p>
        </w:tc>
        <w:tc>
          <w:tcPr>
            <w:tcW w:w="13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1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(26,636 )</w:t>
            </w: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(26,636 )</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(1,270 )</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(27,906 )</w:t>
            </w:r>
          </w:p>
        </w:tc>
      </w:tr>
      <w:tr>
        <w:trPr>
          <w:trHeight w:val="199"/>
        </w:trPr>
        <w:tc>
          <w:tcPr>
            <w:tcW w:w="2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b w:val="1"/>
                <w:bCs w:val="1"/>
                <w:color w:val="auto"/>
              </w:rPr>
              <w:t>Balance, March 31, 2022</w:t>
            </w:r>
          </w:p>
        </w:tc>
        <w:tc>
          <w:tcPr>
            <w:tcW w:w="1320" w:type="dxa"/>
            <w:vAlign w:val="bottom"/>
            <w:tcBorders>
              <w:bottom w:val="single" w:sz="8" w:color="auto"/>
            </w:tcBorders>
            <w:shd w:val="clear" w:color="auto" w:fill="CFF0FC"/>
          </w:tcPr>
          <w:p>
            <w:pPr>
              <w:jc w:val="right"/>
              <w:ind w:right="77"/>
              <w:spacing w:after="0"/>
              <w:rPr>
                <w:sz w:val="20"/>
                <w:szCs w:val="20"/>
                <w:color w:val="auto"/>
              </w:rPr>
            </w:pPr>
            <w:r>
              <w:rPr>
                <w:rFonts w:ascii="Arial" w:cs="Arial" w:eastAsia="Arial" w:hAnsi="Arial"/>
                <w:sz w:val="13"/>
                <w:szCs w:val="13"/>
                <w:b w:val="1"/>
                <w:bCs w:val="1"/>
                <w:color w:val="auto"/>
              </w:rPr>
              <w:t>361,840,756</w:t>
            </w:r>
          </w:p>
        </w:tc>
        <w:tc>
          <w:tcPr>
            <w:tcW w:w="120" w:type="dxa"/>
            <w:vAlign w:val="bottom"/>
            <w:tcBorders>
              <w:bottom w:val="single" w:sz="8" w:color="CFF0FC"/>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ind w:right="77"/>
              <w:spacing w:after="0"/>
              <w:rPr>
                <w:sz w:val="20"/>
                <w:szCs w:val="20"/>
                <w:color w:val="auto"/>
              </w:rPr>
            </w:pPr>
            <w:r>
              <w:rPr>
                <w:rFonts w:ascii="Arial" w:cs="Arial" w:eastAsia="Arial" w:hAnsi="Arial"/>
                <w:sz w:val="13"/>
                <w:szCs w:val="13"/>
                <w:b w:val="1"/>
                <w:bCs w:val="1"/>
                <w:color w:val="auto"/>
              </w:rPr>
              <w:t>14,729,636</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w w:val="82"/>
              </w:rPr>
              <w:t>$</w:t>
            </w:r>
          </w:p>
        </w:tc>
        <w:tc>
          <w:tcPr>
            <w:tcW w:w="90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b w:val="1"/>
                <w:bCs w:val="1"/>
                <w:color w:val="auto"/>
              </w:rPr>
              <w:t>1,046,509</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w w:val="82"/>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(494,971 )</w:t>
            </w: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w w:val="82"/>
              </w:rPr>
              <w:t>$</w:t>
            </w:r>
          </w:p>
        </w:tc>
        <w:tc>
          <w:tcPr>
            <w:tcW w:w="136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b w:val="1"/>
                <w:bCs w:val="1"/>
                <w:color w:val="auto"/>
              </w:rPr>
              <w:t>551,538</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w w:val="82"/>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(21,838 )</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w w:val="82"/>
              </w:rPr>
              <w:t>$</w:t>
            </w:r>
          </w:p>
        </w:tc>
        <w:tc>
          <w:tcPr>
            <w:tcW w:w="76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b w:val="1"/>
                <w:bCs w:val="1"/>
                <w:color w:val="auto"/>
              </w:rPr>
              <w:t>529,700</w:t>
            </w:r>
          </w:p>
        </w:tc>
      </w:tr>
      <w:tr>
        <w:trPr>
          <w:trHeight w:val="142"/>
        </w:trPr>
        <w:tc>
          <w:tcPr>
            <w:tcW w:w="26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62"/>
        </w:trPr>
        <w:tc>
          <w:tcPr>
            <w:tcW w:w="2680" w:type="dxa"/>
            <w:vAlign w:val="bottom"/>
            <w:shd w:val="clear" w:color="auto" w:fill="CFF0FC"/>
          </w:tcPr>
          <w:p>
            <w:pPr>
              <w:ind w:left="20"/>
              <w:spacing w:after="0" w:line="162" w:lineRule="exact"/>
              <w:rPr>
                <w:sz w:val="20"/>
                <w:szCs w:val="20"/>
                <w:color w:val="auto"/>
              </w:rPr>
            </w:pPr>
            <w:r>
              <w:rPr>
                <w:rFonts w:ascii="Arial" w:cs="Arial" w:eastAsia="Arial" w:hAnsi="Arial"/>
                <w:sz w:val="13"/>
                <w:szCs w:val="13"/>
                <w:color w:val="auto"/>
              </w:rPr>
              <w:t xml:space="preserve">Equity-based compensation </w:t>
            </w:r>
            <w:r>
              <w:rPr>
                <w:rFonts w:ascii="Arial" w:cs="Arial" w:eastAsia="Arial" w:hAnsi="Arial"/>
                <w:sz w:val="16"/>
                <w:szCs w:val="16"/>
                <w:color w:val="auto"/>
                <w:vertAlign w:val="superscript"/>
              </w:rPr>
              <w:t>(1)</w:t>
            </w:r>
          </w:p>
        </w:tc>
        <w:tc>
          <w:tcPr>
            <w:tcW w:w="132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21,034,418</w:t>
            </w:r>
          </w:p>
        </w:tc>
        <w:tc>
          <w:tcPr>
            <w:tcW w:w="120" w:type="dxa"/>
            <w:vAlign w:val="bottom"/>
            <w:shd w:val="clear" w:color="auto" w:fill="CFF0FC"/>
          </w:tcPr>
          <w:p>
            <w:pPr>
              <w:spacing w:after="0"/>
              <w:rPr>
                <w:sz w:val="14"/>
                <w:szCs w:val="14"/>
                <w:color w:val="auto"/>
              </w:rPr>
            </w:pPr>
          </w:p>
        </w:tc>
        <w:tc>
          <w:tcPr>
            <w:tcW w:w="118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49,346</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36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49,346</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49,346</w:t>
            </w:r>
          </w:p>
        </w:tc>
      </w:tr>
      <w:tr>
        <w:trPr>
          <w:trHeight w:val="160"/>
        </w:trPr>
        <w:tc>
          <w:tcPr>
            <w:tcW w:w="2680" w:type="dxa"/>
            <w:vAlign w:val="bottom"/>
          </w:tcPr>
          <w:p>
            <w:pPr>
              <w:ind w:left="20"/>
              <w:spacing w:after="0"/>
              <w:rPr>
                <w:sz w:val="20"/>
                <w:szCs w:val="20"/>
                <w:color w:val="auto"/>
              </w:rPr>
            </w:pPr>
            <w:r>
              <w:rPr>
                <w:rFonts w:ascii="Arial" w:cs="Arial" w:eastAsia="Arial" w:hAnsi="Arial"/>
                <w:sz w:val="13"/>
                <w:szCs w:val="13"/>
                <w:color w:val="auto"/>
                <w:w w:val="91"/>
              </w:rPr>
              <w:t>Issuance of shares in connection with acquisitions</w:t>
            </w:r>
          </w:p>
        </w:tc>
        <w:tc>
          <w:tcPr>
            <w:tcW w:w="1320" w:type="dxa"/>
            <w:vAlign w:val="bottom"/>
          </w:tcPr>
          <w:p>
            <w:pPr>
              <w:jc w:val="right"/>
              <w:ind w:right="77"/>
              <w:spacing w:after="0"/>
              <w:rPr>
                <w:sz w:val="20"/>
                <w:szCs w:val="20"/>
                <w:color w:val="auto"/>
              </w:rPr>
            </w:pPr>
            <w:r>
              <w:rPr>
                <w:rFonts w:ascii="Arial" w:cs="Arial" w:eastAsia="Arial" w:hAnsi="Arial"/>
                <w:sz w:val="13"/>
                <w:szCs w:val="13"/>
                <w:color w:val="auto"/>
              </w:rPr>
              <w:t>1,099,549</w:t>
            </w:r>
          </w:p>
        </w:tc>
        <w:tc>
          <w:tcPr>
            <w:tcW w:w="120" w:type="dxa"/>
            <w:vAlign w:val="bottom"/>
          </w:tcPr>
          <w:p>
            <w:pPr>
              <w:spacing w:after="0"/>
              <w:rPr>
                <w:sz w:val="13"/>
                <w:szCs w:val="13"/>
                <w:color w:val="auto"/>
              </w:rPr>
            </w:pPr>
          </w:p>
        </w:tc>
        <w:tc>
          <w:tcPr>
            <w:tcW w:w="11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3,178</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jc w:val="right"/>
              <w:ind w:right="57"/>
              <w:spacing w:after="0"/>
              <w:rPr>
                <w:sz w:val="20"/>
                <w:szCs w:val="20"/>
                <w:color w:val="auto"/>
              </w:rPr>
            </w:pPr>
            <w:r>
              <w:rPr>
                <w:rFonts w:ascii="Arial" w:cs="Arial" w:eastAsia="Arial" w:hAnsi="Arial"/>
                <w:sz w:val="13"/>
                <w:szCs w:val="13"/>
                <w:color w:val="auto"/>
              </w:rPr>
              <w:t>3,178</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3,178</w:t>
            </w:r>
          </w:p>
        </w:tc>
      </w:tr>
      <w:tr>
        <w:trPr>
          <w:trHeight w:val="164"/>
        </w:trPr>
        <w:tc>
          <w:tcPr>
            <w:tcW w:w="2680" w:type="dxa"/>
            <w:vAlign w:val="bottom"/>
            <w:shd w:val="clear" w:color="auto" w:fill="CFF0FC"/>
          </w:tcPr>
          <w:p>
            <w:pPr>
              <w:ind w:left="20"/>
              <w:spacing w:after="0"/>
              <w:rPr>
                <w:sz w:val="20"/>
                <w:szCs w:val="20"/>
                <w:color w:val="auto"/>
              </w:rPr>
            </w:pPr>
            <w:r>
              <w:rPr>
                <w:rFonts w:ascii="Arial" w:cs="Arial" w:eastAsia="Arial" w:hAnsi="Arial"/>
                <w:sz w:val="13"/>
                <w:szCs w:val="13"/>
                <w:color w:val="auto"/>
              </w:rPr>
              <w:t>Cancellation of restricted stock awards</w:t>
            </w:r>
          </w:p>
        </w:tc>
        <w:tc>
          <w:tcPr>
            <w:tcW w:w="132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18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36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r>
      <w:tr>
        <w:trPr>
          <w:trHeight w:val="160"/>
        </w:trPr>
        <w:tc>
          <w:tcPr>
            <w:tcW w:w="2680" w:type="dxa"/>
            <w:vAlign w:val="bottom"/>
          </w:tcPr>
          <w:p>
            <w:pPr>
              <w:ind w:left="20"/>
              <w:spacing w:after="0"/>
              <w:rPr>
                <w:sz w:val="20"/>
                <w:szCs w:val="20"/>
                <w:color w:val="auto"/>
              </w:rPr>
            </w:pPr>
            <w:r>
              <w:rPr>
                <w:rFonts w:ascii="Arial" w:cs="Arial" w:eastAsia="Arial" w:hAnsi="Arial"/>
                <w:sz w:val="13"/>
                <w:szCs w:val="13"/>
                <w:color w:val="auto"/>
              </w:rPr>
              <w:t>Conversion of convertible notes</w:t>
            </w:r>
          </w:p>
        </w:tc>
        <w:tc>
          <w:tcPr>
            <w:tcW w:w="13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1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w:t>
            </w:r>
          </w:p>
        </w:tc>
      </w:tr>
      <w:tr>
        <w:trPr>
          <w:trHeight w:val="164"/>
        </w:trPr>
        <w:tc>
          <w:tcPr>
            <w:tcW w:w="2680" w:type="dxa"/>
            <w:vAlign w:val="bottom"/>
            <w:shd w:val="clear" w:color="auto" w:fill="CFF0FC"/>
          </w:tcPr>
          <w:p>
            <w:pPr>
              <w:ind w:left="20"/>
              <w:spacing w:after="0"/>
              <w:rPr>
                <w:sz w:val="20"/>
                <w:szCs w:val="20"/>
                <w:color w:val="auto"/>
              </w:rPr>
            </w:pPr>
            <w:r>
              <w:rPr>
                <w:rFonts w:ascii="Arial" w:cs="Arial" w:eastAsia="Arial" w:hAnsi="Arial"/>
                <w:sz w:val="13"/>
                <w:szCs w:val="13"/>
                <w:color w:val="auto"/>
              </w:rPr>
              <w:t>Conversion between classes of shares</w:t>
            </w:r>
          </w:p>
        </w:tc>
        <w:tc>
          <w:tcPr>
            <w:tcW w:w="132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2,431,508</w:t>
            </w:r>
          </w:p>
        </w:tc>
        <w:tc>
          <w:tcPr>
            <w:tcW w:w="1300" w:type="dxa"/>
            <w:vAlign w:val="bottom"/>
            <w:gridSpan w:val="2"/>
            <w:shd w:val="clear" w:color="auto" w:fill="CFF0FC"/>
          </w:tcPr>
          <w:p>
            <w:pPr>
              <w:jc w:val="right"/>
              <w:ind w:right="17"/>
              <w:spacing w:after="0"/>
              <w:rPr>
                <w:sz w:val="20"/>
                <w:szCs w:val="20"/>
                <w:color w:val="auto"/>
              </w:rPr>
            </w:pPr>
            <w:r>
              <w:rPr>
                <w:rFonts w:ascii="Arial" w:cs="Arial" w:eastAsia="Arial" w:hAnsi="Arial"/>
                <w:sz w:val="13"/>
                <w:szCs w:val="13"/>
                <w:color w:val="auto"/>
              </w:rPr>
              <w:t>(2,431,508 )</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36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r>
      <w:tr>
        <w:trPr>
          <w:trHeight w:val="160"/>
        </w:trPr>
        <w:tc>
          <w:tcPr>
            <w:tcW w:w="2680" w:type="dxa"/>
            <w:vAlign w:val="bottom"/>
          </w:tcPr>
          <w:p>
            <w:pPr>
              <w:ind w:left="20"/>
              <w:spacing w:after="0"/>
              <w:rPr>
                <w:sz w:val="20"/>
                <w:szCs w:val="20"/>
                <w:color w:val="auto"/>
              </w:rPr>
            </w:pPr>
            <w:r>
              <w:rPr>
                <w:rFonts w:ascii="Arial" w:cs="Arial" w:eastAsia="Arial" w:hAnsi="Arial"/>
                <w:sz w:val="13"/>
                <w:szCs w:val="13"/>
                <w:color w:val="auto"/>
              </w:rPr>
              <w:t>Non-controlling interest buyout</w:t>
            </w:r>
          </w:p>
        </w:tc>
        <w:tc>
          <w:tcPr>
            <w:tcW w:w="13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1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(19,663 )</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(19,663 )</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19,663</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w:t>
            </w:r>
          </w:p>
        </w:tc>
      </w:tr>
      <w:tr>
        <w:trPr>
          <w:trHeight w:val="164"/>
        </w:trPr>
        <w:tc>
          <w:tcPr>
            <w:tcW w:w="2680" w:type="dxa"/>
            <w:vAlign w:val="bottom"/>
            <w:shd w:val="clear" w:color="auto" w:fill="CFF0FC"/>
          </w:tcPr>
          <w:p>
            <w:pPr>
              <w:ind w:left="20"/>
              <w:spacing w:after="0"/>
              <w:rPr>
                <w:sz w:val="20"/>
                <w:szCs w:val="20"/>
                <w:color w:val="auto"/>
              </w:rPr>
            </w:pPr>
            <w:r>
              <w:rPr>
                <w:rFonts w:ascii="Arial" w:cs="Arial" w:eastAsia="Arial" w:hAnsi="Arial"/>
                <w:sz w:val="13"/>
                <w:szCs w:val="13"/>
                <w:color w:val="auto"/>
              </w:rPr>
              <w:t>Warrants exercised</w:t>
            </w:r>
          </w:p>
        </w:tc>
        <w:tc>
          <w:tcPr>
            <w:tcW w:w="132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18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36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r>
      <w:tr>
        <w:trPr>
          <w:trHeight w:val="158"/>
        </w:trPr>
        <w:tc>
          <w:tcPr>
            <w:tcW w:w="2680" w:type="dxa"/>
            <w:vAlign w:val="bottom"/>
          </w:tcPr>
          <w:p>
            <w:pPr>
              <w:ind w:left="20"/>
              <w:spacing w:after="0"/>
              <w:rPr>
                <w:sz w:val="20"/>
                <w:szCs w:val="20"/>
                <w:color w:val="auto"/>
              </w:rPr>
            </w:pPr>
            <w:r>
              <w:rPr>
                <w:rFonts w:ascii="Arial" w:cs="Arial" w:eastAsia="Arial" w:hAnsi="Arial"/>
                <w:sz w:val="13"/>
                <w:szCs w:val="13"/>
                <w:color w:val="auto"/>
              </w:rPr>
              <w:t>Net loss</w:t>
            </w:r>
          </w:p>
        </w:tc>
        <w:tc>
          <w:tcPr>
            <w:tcW w:w="13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1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(53,828 )</w:t>
            </w: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(53,828 )</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(427 )</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(54,255 )</w:t>
            </w:r>
          </w:p>
        </w:tc>
      </w:tr>
      <w:tr>
        <w:trPr>
          <w:trHeight w:val="159"/>
        </w:trPr>
        <w:tc>
          <w:tcPr>
            <w:tcW w:w="268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Balance, June 30, 2022</w:t>
            </w:r>
          </w:p>
        </w:tc>
        <w:tc>
          <w:tcPr>
            <w:tcW w:w="1320" w:type="dxa"/>
            <w:vAlign w:val="bottom"/>
            <w:shd w:val="clear" w:color="auto" w:fill="CFF0FC"/>
          </w:tcPr>
          <w:p>
            <w:pPr>
              <w:jc w:val="right"/>
              <w:ind w:right="77"/>
              <w:spacing w:after="0"/>
              <w:rPr>
                <w:sz w:val="20"/>
                <w:szCs w:val="20"/>
                <w:color w:val="auto"/>
              </w:rPr>
            </w:pPr>
            <w:r>
              <w:rPr>
                <w:rFonts w:ascii="Arial" w:cs="Arial" w:eastAsia="Arial" w:hAnsi="Arial"/>
                <w:sz w:val="13"/>
                <w:szCs w:val="13"/>
                <w:b w:val="1"/>
                <w:bCs w:val="1"/>
                <w:color w:val="auto"/>
              </w:rPr>
              <w:t>386,406,231</w:t>
            </w:r>
          </w:p>
        </w:tc>
        <w:tc>
          <w:tcPr>
            <w:tcW w:w="120" w:type="dxa"/>
            <w:vAlign w:val="bottom"/>
            <w:shd w:val="clear" w:color="auto" w:fill="CFF0FC"/>
          </w:tcPr>
          <w:p>
            <w:pPr>
              <w:spacing w:after="0"/>
              <w:rPr>
                <w:sz w:val="13"/>
                <w:szCs w:val="13"/>
                <w:color w:val="auto"/>
              </w:rPr>
            </w:pPr>
          </w:p>
        </w:tc>
        <w:tc>
          <w:tcPr>
            <w:tcW w:w="1180" w:type="dxa"/>
            <w:vAlign w:val="bottom"/>
            <w:shd w:val="clear" w:color="auto" w:fill="CFF0FC"/>
          </w:tcPr>
          <w:p>
            <w:pPr>
              <w:jc w:val="right"/>
              <w:ind w:right="77"/>
              <w:spacing w:after="0"/>
              <w:rPr>
                <w:sz w:val="20"/>
                <w:szCs w:val="20"/>
                <w:color w:val="auto"/>
              </w:rPr>
            </w:pPr>
            <w:r>
              <w:rPr>
                <w:rFonts w:ascii="Arial" w:cs="Arial" w:eastAsia="Arial" w:hAnsi="Arial"/>
                <w:sz w:val="13"/>
                <w:szCs w:val="13"/>
                <w:b w:val="1"/>
                <w:bCs w:val="1"/>
                <w:color w:val="auto"/>
              </w:rPr>
              <w:t>12,298,128</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00" w:type="dxa"/>
            <w:vAlign w:val="bottom"/>
            <w:shd w:val="clear" w:color="auto" w:fill="CFF0FC"/>
          </w:tcPr>
          <w:p>
            <w:pPr>
              <w:jc w:val="right"/>
              <w:ind w:right="57"/>
              <w:spacing w:after="0"/>
              <w:rPr>
                <w:sz w:val="20"/>
                <w:szCs w:val="20"/>
                <w:color w:val="auto"/>
              </w:rPr>
            </w:pPr>
            <w:r>
              <w:rPr>
                <w:rFonts w:ascii="Arial" w:cs="Arial" w:eastAsia="Arial" w:hAnsi="Arial"/>
                <w:sz w:val="13"/>
                <w:szCs w:val="13"/>
                <w:b w:val="1"/>
                <w:bCs w:val="1"/>
                <w:color w:val="auto"/>
              </w:rPr>
              <w:t>1,099,033</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(568,462 )</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360" w:type="dxa"/>
            <w:vAlign w:val="bottom"/>
            <w:shd w:val="clear" w:color="auto" w:fill="CFF0FC"/>
          </w:tcPr>
          <w:p>
            <w:pPr>
              <w:jc w:val="right"/>
              <w:ind w:right="57"/>
              <w:spacing w:after="0"/>
              <w:rPr>
                <w:sz w:val="20"/>
                <w:szCs w:val="20"/>
                <w:color w:val="auto"/>
              </w:rPr>
            </w:pPr>
            <w:r>
              <w:rPr>
                <w:rFonts w:ascii="Arial" w:cs="Arial" w:eastAsia="Arial" w:hAnsi="Arial"/>
                <w:sz w:val="13"/>
                <w:szCs w:val="13"/>
                <w:b w:val="1"/>
                <w:bCs w:val="1"/>
                <w:color w:val="auto"/>
              </w:rPr>
              <w:t>530,571</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(2,602 )</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60" w:type="dxa"/>
            <w:vAlign w:val="bottom"/>
            <w:shd w:val="clear" w:color="auto" w:fill="CFF0FC"/>
          </w:tcPr>
          <w:p>
            <w:pPr>
              <w:jc w:val="right"/>
              <w:ind w:right="57"/>
              <w:spacing w:after="0"/>
              <w:rPr>
                <w:sz w:val="20"/>
                <w:szCs w:val="20"/>
                <w:color w:val="auto"/>
              </w:rPr>
            </w:pPr>
            <w:r>
              <w:rPr>
                <w:rFonts w:ascii="Arial" w:cs="Arial" w:eastAsia="Arial" w:hAnsi="Arial"/>
                <w:sz w:val="13"/>
                <w:szCs w:val="13"/>
                <w:b w:val="1"/>
                <w:bCs w:val="1"/>
                <w:color w:val="auto"/>
              </w:rPr>
              <w:t>527,969</w:t>
            </w:r>
          </w:p>
        </w:tc>
      </w:tr>
      <w:tr>
        <w:trPr>
          <w:trHeight w:val="162"/>
        </w:trPr>
        <w:tc>
          <w:tcPr>
            <w:tcW w:w="26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2"/>
        </w:trPr>
        <w:tc>
          <w:tcPr>
            <w:tcW w:w="2680" w:type="dxa"/>
            <w:vAlign w:val="bottom"/>
            <w:shd w:val="clear" w:color="auto" w:fill="CFF0FC"/>
          </w:tcPr>
          <w:p>
            <w:pPr>
              <w:ind w:left="20"/>
              <w:spacing w:after="0" w:line="162" w:lineRule="exact"/>
              <w:rPr>
                <w:sz w:val="20"/>
                <w:szCs w:val="20"/>
                <w:color w:val="auto"/>
              </w:rPr>
            </w:pPr>
            <w:r>
              <w:rPr>
                <w:rFonts w:ascii="Arial" w:cs="Arial" w:eastAsia="Arial" w:hAnsi="Arial"/>
                <w:sz w:val="13"/>
                <w:szCs w:val="13"/>
                <w:color w:val="auto"/>
              </w:rPr>
              <w:t xml:space="preserve">Equity-based compensation </w:t>
            </w:r>
            <w:r>
              <w:rPr>
                <w:rFonts w:ascii="Arial" w:cs="Arial" w:eastAsia="Arial" w:hAnsi="Arial"/>
                <w:sz w:val="16"/>
                <w:szCs w:val="16"/>
                <w:color w:val="auto"/>
                <w:vertAlign w:val="superscript"/>
              </w:rPr>
              <w:t>(1)</w:t>
            </w:r>
          </w:p>
        </w:tc>
        <w:tc>
          <w:tcPr>
            <w:tcW w:w="13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8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6,780</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36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6,780</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6,780</w:t>
            </w:r>
          </w:p>
        </w:tc>
      </w:tr>
      <w:tr>
        <w:trPr>
          <w:trHeight w:val="160"/>
        </w:trPr>
        <w:tc>
          <w:tcPr>
            <w:tcW w:w="2680" w:type="dxa"/>
            <w:vAlign w:val="bottom"/>
          </w:tcPr>
          <w:p>
            <w:pPr>
              <w:ind w:left="20"/>
              <w:spacing w:after="0"/>
              <w:rPr>
                <w:sz w:val="20"/>
                <w:szCs w:val="20"/>
                <w:color w:val="auto"/>
              </w:rPr>
            </w:pPr>
            <w:r>
              <w:rPr>
                <w:rFonts w:ascii="Arial" w:cs="Arial" w:eastAsia="Arial" w:hAnsi="Arial"/>
                <w:sz w:val="13"/>
                <w:szCs w:val="13"/>
                <w:color w:val="auto"/>
                <w:w w:val="91"/>
              </w:rPr>
              <w:t>Issuance of shares in connection with acquisitions</w:t>
            </w:r>
          </w:p>
        </w:tc>
        <w:tc>
          <w:tcPr>
            <w:tcW w:w="1320" w:type="dxa"/>
            <w:vAlign w:val="bottom"/>
          </w:tcPr>
          <w:p>
            <w:pPr>
              <w:jc w:val="right"/>
              <w:ind w:right="77"/>
              <w:spacing w:after="0"/>
              <w:rPr>
                <w:sz w:val="20"/>
                <w:szCs w:val="20"/>
                <w:color w:val="auto"/>
              </w:rPr>
            </w:pPr>
            <w:r>
              <w:rPr>
                <w:rFonts w:ascii="Arial" w:cs="Arial" w:eastAsia="Arial" w:hAnsi="Arial"/>
                <w:sz w:val="13"/>
                <w:szCs w:val="13"/>
                <w:color w:val="auto"/>
              </w:rPr>
              <w:t>983,040</w:t>
            </w:r>
          </w:p>
        </w:tc>
        <w:tc>
          <w:tcPr>
            <w:tcW w:w="120" w:type="dxa"/>
            <w:vAlign w:val="bottom"/>
          </w:tcPr>
          <w:p>
            <w:pPr>
              <w:spacing w:after="0"/>
              <w:rPr>
                <w:sz w:val="13"/>
                <w:szCs w:val="13"/>
                <w:color w:val="auto"/>
              </w:rPr>
            </w:pPr>
          </w:p>
        </w:tc>
        <w:tc>
          <w:tcPr>
            <w:tcW w:w="11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4,431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jc w:val="right"/>
              <w:ind w:right="57"/>
              <w:spacing w:after="0"/>
              <w:rPr>
                <w:sz w:val="20"/>
                <w:szCs w:val="20"/>
                <w:color w:val="auto"/>
              </w:rPr>
            </w:pPr>
            <w:r>
              <w:rPr>
                <w:rFonts w:ascii="Arial" w:cs="Arial" w:eastAsia="Arial" w:hAnsi="Arial"/>
                <w:sz w:val="13"/>
                <w:szCs w:val="13"/>
                <w:color w:val="auto"/>
              </w:rPr>
              <w:t>4,431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4,431</w:t>
            </w:r>
          </w:p>
        </w:tc>
      </w:tr>
      <w:tr>
        <w:trPr>
          <w:trHeight w:val="164"/>
        </w:trPr>
        <w:tc>
          <w:tcPr>
            <w:tcW w:w="2680" w:type="dxa"/>
            <w:vAlign w:val="bottom"/>
            <w:shd w:val="clear" w:color="auto" w:fill="CFF0FC"/>
          </w:tcPr>
          <w:p>
            <w:pPr>
              <w:ind w:left="20"/>
              <w:spacing w:after="0"/>
              <w:rPr>
                <w:sz w:val="20"/>
                <w:szCs w:val="20"/>
                <w:color w:val="auto"/>
              </w:rPr>
            </w:pPr>
            <w:r>
              <w:rPr>
                <w:rFonts w:ascii="Arial" w:cs="Arial" w:eastAsia="Arial" w:hAnsi="Arial"/>
                <w:sz w:val="13"/>
                <w:szCs w:val="13"/>
                <w:color w:val="auto"/>
              </w:rPr>
              <w:t>Conversion between classes of shares</w:t>
            </w:r>
          </w:p>
        </w:tc>
        <w:tc>
          <w:tcPr>
            <w:tcW w:w="132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284,239</w:t>
            </w:r>
          </w:p>
        </w:tc>
        <w:tc>
          <w:tcPr>
            <w:tcW w:w="1300" w:type="dxa"/>
            <w:vAlign w:val="bottom"/>
            <w:gridSpan w:val="2"/>
            <w:shd w:val="clear" w:color="auto" w:fill="CFF0FC"/>
          </w:tcPr>
          <w:p>
            <w:pPr>
              <w:jc w:val="right"/>
              <w:ind w:right="17"/>
              <w:spacing w:after="0"/>
              <w:rPr>
                <w:sz w:val="20"/>
                <w:szCs w:val="20"/>
                <w:color w:val="auto"/>
              </w:rPr>
            </w:pPr>
            <w:r>
              <w:rPr>
                <w:rFonts w:ascii="Arial" w:cs="Arial" w:eastAsia="Arial" w:hAnsi="Arial"/>
                <w:sz w:val="13"/>
                <w:szCs w:val="13"/>
                <w:color w:val="auto"/>
              </w:rPr>
              <w:t>(284,239 )</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36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r>
      <w:tr>
        <w:trPr>
          <w:trHeight w:val="160"/>
        </w:trPr>
        <w:tc>
          <w:tcPr>
            <w:tcW w:w="2680" w:type="dxa"/>
            <w:vAlign w:val="bottom"/>
          </w:tcPr>
          <w:p>
            <w:pPr>
              <w:ind w:left="20"/>
              <w:spacing w:after="0"/>
              <w:rPr>
                <w:sz w:val="20"/>
                <w:szCs w:val="20"/>
                <w:color w:val="auto"/>
              </w:rPr>
            </w:pPr>
            <w:r>
              <w:rPr>
                <w:rFonts w:ascii="Arial" w:cs="Arial" w:eastAsia="Arial" w:hAnsi="Arial"/>
                <w:sz w:val="13"/>
                <w:szCs w:val="13"/>
                <w:color w:val="auto"/>
              </w:rPr>
              <w:t>Cancellation of restricted stock awards</w:t>
            </w: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w:t>
            </w:r>
          </w:p>
        </w:tc>
      </w:tr>
      <w:tr>
        <w:trPr>
          <w:trHeight w:val="162"/>
        </w:trPr>
        <w:tc>
          <w:tcPr>
            <w:tcW w:w="2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Net loss</w:t>
            </w:r>
          </w:p>
        </w:tc>
        <w:tc>
          <w:tcPr>
            <w:tcW w:w="1320" w:type="dxa"/>
            <w:vAlign w:val="bottom"/>
            <w:tcBorders>
              <w:bottom w:val="single" w:sz="8" w:color="auto"/>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180" w:type="dxa"/>
            <w:vAlign w:val="bottom"/>
            <w:tcBorders>
              <w:bottom w:val="single" w:sz="8" w:color="auto"/>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(35,431 )</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(35,431 )</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(2,872 )</w:t>
            </w:r>
          </w:p>
        </w:tc>
        <w:tc>
          <w:tcPr>
            <w:tcW w:w="1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(38,303 )</w:t>
            </w:r>
          </w:p>
        </w:tc>
      </w:tr>
      <w:tr>
        <w:trPr>
          <w:trHeight w:val="157"/>
        </w:trPr>
        <w:tc>
          <w:tcPr>
            <w:tcW w:w="2680" w:type="dxa"/>
            <w:vAlign w:val="bottom"/>
          </w:tcPr>
          <w:p>
            <w:pPr>
              <w:ind w:left="20"/>
              <w:spacing w:after="0"/>
              <w:rPr>
                <w:sz w:val="20"/>
                <w:szCs w:val="20"/>
                <w:color w:val="auto"/>
              </w:rPr>
            </w:pPr>
            <w:r>
              <w:rPr>
                <w:rFonts w:ascii="Arial" w:cs="Arial" w:eastAsia="Arial" w:hAnsi="Arial"/>
                <w:sz w:val="13"/>
                <w:szCs w:val="13"/>
                <w:b w:val="1"/>
                <w:bCs w:val="1"/>
                <w:color w:val="auto"/>
              </w:rPr>
              <w:t>Balance, September 30, 2022</w:t>
            </w:r>
          </w:p>
        </w:tc>
        <w:tc>
          <w:tcPr>
            <w:tcW w:w="1320" w:type="dxa"/>
            <w:vAlign w:val="bottom"/>
          </w:tcPr>
          <w:p>
            <w:pPr>
              <w:jc w:val="right"/>
              <w:ind w:right="77"/>
              <w:spacing w:after="0"/>
              <w:rPr>
                <w:sz w:val="20"/>
                <w:szCs w:val="20"/>
                <w:color w:val="auto"/>
              </w:rPr>
            </w:pPr>
            <w:r>
              <w:rPr>
                <w:rFonts w:ascii="Arial" w:cs="Arial" w:eastAsia="Arial" w:hAnsi="Arial"/>
                <w:sz w:val="13"/>
                <w:szCs w:val="13"/>
                <w:b w:val="1"/>
                <w:bCs w:val="1"/>
                <w:color w:val="auto"/>
              </w:rPr>
              <w:t>387,673,510</w:t>
            </w:r>
          </w:p>
        </w:tc>
        <w:tc>
          <w:tcPr>
            <w:tcW w:w="1300" w:type="dxa"/>
            <w:vAlign w:val="bottom"/>
            <w:gridSpan w:val="2"/>
          </w:tcPr>
          <w:p>
            <w:pPr>
              <w:jc w:val="right"/>
              <w:ind w:right="77"/>
              <w:spacing w:after="0"/>
              <w:rPr>
                <w:sz w:val="20"/>
                <w:szCs w:val="20"/>
                <w:color w:val="auto"/>
              </w:rPr>
            </w:pPr>
            <w:r>
              <w:rPr>
                <w:rFonts w:ascii="Arial" w:cs="Arial" w:eastAsia="Arial" w:hAnsi="Arial"/>
                <w:sz w:val="13"/>
                <w:szCs w:val="13"/>
                <w:b w:val="1"/>
                <w:bCs w:val="1"/>
                <w:color w:val="auto"/>
              </w:rPr>
              <w:t>12,013,889</w:t>
            </w:r>
          </w:p>
        </w:tc>
        <w:tc>
          <w:tcPr>
            <w:tcW w:w="260" w:type="dxa"/>
            <w:vAlign w:val="bottom"/>
            <w:gridSpan w:val="2"/>
          </w:tcPr>
          <w:p>
            <w:pPr>
              <w:jc w:val="right"/>
              <w:spacing w:after="0"/>
              <w:rPr>
                <w:sz w:val="20"/>
                <w:szCs w:val="20"/>
                <w:color w:val="auto"/>
              </w:rPr>
            </w:pPr>
            <w:r>
              <w:rPr>
                <w:rFonts w:ascii="Arial" w:cs="Arial" w:eastAsia="Arial" w:hAnsi="Arial"/>
                <w:sz w:val="13"/>
                <w:szCs w:val="13"/>
                <w:b w:val="1"/>
                <w:bCs w:val="1"/>
                <w:color w:val="auto"/>
              </w:rPr>
              <w:t>$</w:t>
            </w:r>
          </w:p>
        </w:tc>
        <w:tc>
          <w:tcPr>
            <w:tcW w:w="900" w:type="dxa"/>
            <w:vAlign w:val="bottom"/>
          </w:tcPr>
          <w:p>
            <w:pPr>
              <w:jc w:val="right"/>
              <w:ind w:right="57"/>
              <w:spacing w:after="0"/>
              <w:rPr>
                <w:sz w:val="20"/>
                <w:szCs w:val="20"/>
                <w:color w:val="auto"/>
              </w:rPr>
            </w:pPr>
            <w:r>
              <w:rPr>
                <w:rFonts w:ascii="Arial" w:cs="Arial" w:eastAsia="Arial" w:hAnsi="Arial"/>
                <w:sz w:val="13"/>
                <w:szCs w:val="13"/>
                <w:b w:val="1"/>
                <w:bCs w:val="1"/>
                <w:color w:val="auto"/>
              </w:rPr>
              <w:t>1,110,244</w:t>
            </w:r>
          </w:p>
        </w:tc>
        <w:tc>
          <w:tcPr>
            <w:tcW w:w="220" w:type="dxa"/>
            <w:vAlign w:val="bottom"/>
            <w:gridSpan w:val="2"/>
          </w:tcPr>
          <w:p>
            <w:pPr>
              <w:jc w:val="right"/>
              <w:spacing w:after="0"/>
              <w:rPr>
                <w:sz w:val="20"/>
                <w:szCs w:val="20"/>
                <w:color w:val="auto"/>
              </w:rPr>
            </w:pPr>
            <w:r>
              <w:rPr>
                <w:rFonts w:ascii="Arial" w:cs="Arial" w:eastAsia="Arial" w:hAnsi="Arial"/>
                <w:sz w:val="13"/>
                <w:szCs w:val="13"/>
                <w:b w:val="1"/>
                <w:bCs w:val="1"/>
                <w:color w:val="auto"/>
              </w:rPr>
              <w:t>$</w:t>
            </w: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(603,893 )</w:t>
            </w:r>
          </w:p>
        </w:tc>
        <w:tc>
          <w:tcPr>
            <w:tcW w:w="200" w:type="dxa"/>
            <w:vAlign w:val="bottom"/>
            <w:gridSpan w:val="2"/>
          </w:tcPr>
          <w:p>
            <w:pPr>
              <w:jc w:val="right"/>
              <w:spacing w:after="0"/>
              <w:rPr>
                <w:sz w:val="20"/>
                <w:szCs w:val="20"/>
                <w:color w:val="auto"/>
              </w:rPr>
            </w:pPr>
            <w:r>
              <w:rPr>
                <w:rFonts w:ascii="Arial" w:cs="Arial" w:eastAsia="Arial" w:hAnsi="Arial"/>
                <w:sz w:val="13"/>
                <w:szCs w:val="13"/>
                <w:b w:val="1"/>
                <w:bCs w:val="1"/>
                <w:color w:val="auto"/>
              </w:rPr>
              <w:t>$</w:t>
            </w:r>
          </w:p>
        </w:tc>
        <w:tc>
          <w:tcPr>
            <w:tcW w:w="1360" w:type="dxa"/>
            <w:vAlign w:val="bottom"/>
          </w:tcPr>
          <w:p>
            <w:pPr>
              <w:jc w:val="right"/>
              <w:ind w:right="57"/>
              <w:spacing w:after="0"/>
              <w:rPr>
                <w:sz w:val="20"/>
                <w:szCs w:val="20"/>
                <w:color w:val="auto"/>
              </w:rPr>
            </w:pPr>
            <w:r>
              <w:rPr>
                <w:rFonts w:ascii="Arial" w:cs="Arial" w:eastAsia="Arial" w:hAnsi="Arial"/>
                <w:sz w:val="13"/>
                <w:szCs w:val="13"/>
                <w:b w:val="1"/>
                <w:bCs w:val="1"/>
                <w:color w:val="auto"/>
              </w:rPr>
              <w:t>506,351</w:t>
            </w:r>
          </w:p>
        </w:tc>
        <w:tc>
          <w:tcPr>
            <w:tcW w:w="220" w:type="dxa"/>
            <w:vAlign w:val="bottom"/>
            <w:gridSpan w:val="2"/>
          </w:tcPr>
          <w:p>
            <w:pPr>
              <w:jc w:val="right"/>
              <w:spacing w:after="0"/>
              <w:rPr>
                <w:sz w:val="20"/>
                <w:szCs w:val="20"/>
                <w:color w:val="auto"/>
              </w:rPr>
            </w:pPr>
            <w:r>
              <w:rPr>
                <w:rFonts w:ascii="Arial" w:cs="Arial" w:eastAsia="Arial" w:hAnsi="Arial"/>
                <w:sz w:val="13"/>
                <w:szCs w:val="13"/>
                <w:b w:val="1"/>
                <w:bCs w:val="1"/>
                <w:color w:val="auto"/>
              </w:rPr>
              <w:t>$</w:t>
            </w: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(5,474 )</w:t>
            </w:r>
          </w:p>
        </w:tc>
        <w:tc>
          <w:tcPr>
            <w:tcW w:w="260" w:type="dxa"/>
            <w:vAlign w:val="bottom"/>
            <w:gridSpan w:val="2"/>
          </w:tcPr>
          <w:p>
            <w:pPr>
              <w:jc w:val="right"/>
              <w:spacing w:after="0"/>
              <w:rPr>
                <w:sz w:val="20"/>
                <w:szCs w:val="20"/>
                <w:color w:val="auto"/>
              </w:rPr>
            </w:pPr>
            <w:r>
              <w:rPr>
                <w:rFonts w:ascii="Arial" w:cs="Arial" w:eastAsia="Arial" w:hAnsi="Arial"/>
                <w:sz w:val="13"/>
                <w:szCs w:val="13"/>
                <w:b w:val="1"/>
                <w:bCs w:val="1"/>
                <w:color w:val="auto"/>
              </w:rPr>
              <w:t>$</w:t>
            </w:r>
          </w:p>
        </w:tc>
        <w:tc>
          <w:tcPr>
            <w:tcW w:w="760" w:type="dxa"/>
            <w:vAlign w:val="bottom"/>
          </w:tcPr>
          <w:p>
            <w:pPr>
              <w:jc w:val="right"/>
              <w:ind w:right="57"/>
              <w:spacing w:after="0"/>
              <w:rPr>
                <w:sz w:val="20"/>
                <w:szCs w:val="20"/>
                <w:color w:val="auto"/>
              </w:rPr>
            </w:pPr>
            <w:r>
              <w:rPr>
                <w:rFonts w:ascii="Arial" w:cs="Arial" w:eastAsia="Arial" w:hAnsi="Arial"/>
                <w:sz w:val="13"/>
                <w:szCs w:val="13"/>
                <w:b w:val="1"/>
                <w:bCs w:val="1"/>
                <w:color w:val="auto"/>
              </w:rPr>
              <w:t>500,877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2539365</wp:posOffset>
            </wp:positionH>
            <wp:positionV relativeFrom="paragraph">
              <wp:posOffset>-1788795</wp:posOffset>
            </wp:positionV>
            <wp:extent cx="4024630" cy="1282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024630" cy="128270"/>
                    </a:xfrm>
                    <a:prstGeom prst="rect">
                      <a:avLst/>
                    </a:prstGeom>
                    <a:noFill/>
                  </pic:spPr>
                </pic:pic>
              </a:graphicData>
            </a:graphic>
          </wp:anchor>
        </w:drawing>
        <w:drawing>
          <wp:anchor simplePos="0" relativeHeight="251657728" behindDoc="1" locked="0" layoutInCell="0" allowOverlap="1">
            <wp:simplePos x="0" y="0"/>
            <wp:positionH relativeFrom="column">
              <wp:posOffset>1700530</wp:posOffset>
            </wp:positionH>
            <wp:positionV relativeFrom="paragraph">
              <wp:posOffset>-111125</wp:posOffset>
            </wp:positionV>
            <wp:extent cx="543687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436870" cy="137160"/>
                    </a:xfrm>
                    <a:prstGeom prst="rect">
                      <a:avLst/>
                    </a:prstGeom>
                    <a:noFill/>
                  </pic:spPr>
                </pic:pic>
              </a:graphicData>
            </a:graphic>
          </wp:anchor>
        </w:drawing>
      </w:r>
    </w:p>
    <w:p>
      <w:pPr>
        <w:spacing w:after="0" w:line="6" w:lineRule="exact"/>
        <w:rPr>
          <w:sz w:val="20"/>
          <w:szCs w:val="20"/>
          <w:color w:val="auto"/>
        </w:rPr>
      </w:pPr>
    </w:p>
    <w:p>
      <w:pPr>
        <w:ind w:left="380" w:hanging="372"/>
        <w:spacing w:after="0"/>
        <w:tabs>
          <w:tab w:leader="none" w:pos="38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amounts shown are net of any shares withheld by the Company to satisfy certain tax withholdings in connection with vesting of equity-based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1700530</wp:posOffset>
            </wp:positionH>
            <wp:positionV relativeFrom="paragraph">
              <wp:posOffset>-93980</wp:posOffset>
            </wp:positionV>
            <wp:extent cx="54368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436870" cy="8255"/>
                    </a:xfrm>
                    <a:prstGeom prst="rect">
                      <a:avLst/>
                    </a:prstGeom>
                    <a:noFill/>
                  </pic:spPr>
                </pic:pic>
              </a:graphicData>
            </a:graphic>
          </wp:anchor>
        </w:drawing>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Interim Statements of Changes in Equity.</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COLUMBIA CARE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CHANGES IN EQUITY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jc w:val="center"/>
        <w:spacing w:after="0"/>
        <w:rPr>
          <w:sz w:val="20"/>
          <w:szCs w:val="20"/>
          <w:color w:val="auto"/>
        </w:rPr>
      </w:pPr>
      <w:r>
        <w:rPr>
          <w:rFonts w:ascii="Arial" w:cs="Arial" w:eastAsia="Arial" w:hAnsi="Arial"/>
          <w:sz w:val="18"/>
          <w:szCs w:val="18"/>
          <w:color w:val="auto"/>
        </w:rPr>
        <w:t>(expressed in thousands of U.S. dollars, except for 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jc w:val="center"/>
              <w:ind w:right="157"/>
              <w:spacing w:after="0"/>
              <w:rPr>
                <w:sz w:val="20"/>
                <w:szCs w:val="20"/>
                <w:color w:val="auto"/>
              </w:rPr>
            </w:pPr>
            <w:r>
              <w:rPr>
                <w:rFonts w:ascii="Arial" w:cs="Arial" w:eastAsia="Arial" w:hAnsi="Arial"/>
                <w:sz w:val="13"/>
                <w:szCs w:val="13"/>
                <w:b w:val="1"/>
                <w:bCs w:val="1"/>
                <w:color w:val="auto"/>
                <w:w w:val="90"/>
              </w:rPr>
              <w:t>Total Columbia Care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center"/>
              <w:ind w:right="117"/>
              <w:spacing w:after="0"/>
              <w:rPr>
                <w:sz w:val="20"/>
                <w:szCs w:val="20"/>
                <w:color w:val="auto"/>
              </w:rPr>
            </w:pPr>
            <w:r>
              <w:rPr>
                <w:rFonts w:ascii="Arial" w:cs="Arial" w:eastAsia="Arial" w:hAnsi="Arial"/>
                <w:sz w:val="13"/>
                <w:szCs w:val="13"/>
                <w:b w:val="1"/>
                <w:bCs w:val="1"/>
                <w:color w:val="auto"/>
                <w:w w:val="87"/>
              </w:rPr>
              <w:t>Non-</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ind w:right="197"/>
              <w:spacing w:after="0"/>
              <w:rPr>
                <w:sz w:val="20"/>
                <w:szCs w:val="20"/>
                <w:color w:val="auto"/>
              </w:rPr>
            </w:pPr>
            <w:r>
              <w:rPr>
                <w:rFonts w:ascii="Arial" w:cs="Arial" w:eastAsia="Arial" w:hAnsi="Arial"/>
                <w:sz w:val="13"/>
                <w:szCs w:val="13"/>
                <w:b w:val="1"/>
                <w:bCs w:val="1"/>
                <w:color w:val="auto"/>
              </w:rPr>
              <w:t>Proportionate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ind w:right="257"/>
              <w:spacing w:after="0"/>
              <w:rPr>
                <w:sz w:val="20"/>
                <w:szCs w:val="20"/>
                <w:color w:val="auto"/>
              </w:rPr>
            </w:pPr>
            <w:r>
              <w:rPr>
                <w:rFonts w:ascii="Arial" w:cs="Arial" w:eastAsia="Arial" w:hAnsi="Arial"/>
                <w:sz w:val="13"/>
                <w:szCs w:val="13"/>
                <w:b w:val="1"/>
                <w:bCs w:val="1"/>
                <w:color w:val="auto"/>
              </w:rPr>
              <w:t>Additional</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137"/>
              <w:spacing w:after="0"/>
              <w:rPr>
                <w:sz w:val="20"/>
                <w:szCs w:val="20"/>
                <w:color w:val="auto"/>
              </w:rPr>
            </w:pPr>
            <w:r>
              <w:rPr>
                <w:rFonts w:ascii="Arial" w:cs="Arial" w:eastAsia="Arial" w:hAnsi="Arial"/>
                <w:sz w:val="13"/>
                <w:szCs w:val="13"/>
                <w:b w:val="1"/>
                <w:bCs w:val="1"/>
                <w:color w:val="auto"/>
                <w:w w:val="85"/>
              </w:rPr>
              <w:t>Accumulated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jc w:val="center"/>
              <w:ind w:right="117"/>
              <w:spacing w:after="0"/>
              <w:rPr>
                <w:sz w:val="20"/>
                <w:szCs w:val="20"/>
                <w:color w:val="auto"/>
              </w:rPr>
            </w:pPr>
            <w:r>
              <w:rPr>
                <w:rFonts w:ascii="Arial" w:cs="Arial" w:eastAsia="Arial" w:hAnsi="Arial"/>
                <w:sz w:val="13"/>
                <w:szCs w:val="13"/>
                <w:b w:val="1"/>
                <w:bCs w:val="1"/>
                <w:color w:val="auto"/>
                <w:w w:val="97"/>
              </w:rPr>
              <w:t>Inc.</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center"/>
              <w:ind w:right="117"/>
              <w:spacing w:after="0"/>
              <w:rPr>
                <w:sz w:val="20"/>
                <w:szCs w:val="20"/>
                <w:color w:val="auto"/>
              </w:rPr>
            </w:pPr>
            <w:r>
              <w:rPr>
                <w:rFonts w:ascii="Arial" w:cs="Arial" w:eastAsia="Arial" w:hAnsi="Arial"/>
                <w:sz w:val="13"/>
                <w:szCs w:val="13"/>
                <w:b w:val="1"/>
                <w:bCs w:val="1"/>
                <w:color w:val="auto"/>
                <w:w w:val="89"/>
              </w:rPr>
              <w:t>Controlling</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29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4"/>
        </w:trPr>
        <w:tc>
          <w:tcPr>
            <w:tcW w:w="2660" w:type="dxa"/>
            <w:vAlign w:val="bottom"/>
          </w:tcPr>
          <w:p>
            <w:pPr>
              <w:spacing w:after="0"/>
              <w:rPr>
                <w:sz w:val="15"/>
                <w:szCs w:val="15"/>
                <w:color w:val="auto"/>
              </w:rPr>
            </w:pPr>
          </w:p>
        </w:tc>
        <w:tc>
          <w:tcPr>
            <w:tcW w:w="1300" w:type="dxa"/>
            <w:vAlign w:val="bottom"/>
            <w:tcBorders>
              <w:bottom w:val="single" w:sz="8" w:color="auto"/>
            </w:tcBorders>
          </w:tcPr>
          <w:p>
            <w:pPr>
              <w:jc w:val="right"/>
              <w:ind w:right="477"/>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5"/>
                <w:szCs w:val="15"/>
                <w:color w:val="auto"/>
              </w:rPr>
            </w:pPr>
          </w:p>
        </w:tc>
        <w:tc>
          <w:tcPr>
            <w:tcW w:w="116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Voting Shares</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w w:val="90"/>
              </w:rPr>
              <w:t>Paid-in Capital</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b w:val="1"/>
                <w:bCs w:val="1"/>
                <w:color w:val="auto"/>
              </w:rPr>
              <w:t>Deficit</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117"/>
              <w:spacing w:after="0"/>
              <w:rPr>
                <w:sz w:val="20"/>
                <w:szCs w:val="20"/>
                <w:color w:val="auto"/>
              </w:rPr>
            </w:pPr>
            <w:r>
              <w:rPr>
                <w:rFonts w:ascii="Arial" w:cs="Arial" w:eastAsia="Arial" w:hAnsi="Arial"/>
                <w:sz w:val="13"/>
                <w:szCs w:val="13"/>
                <w:b w:val="1"/>
                <w:bCs w:val="1"/>
                <w:color w:val="auto"/>
                <w:w w:val="87"/>
              </w:rPr>
              <w:t>Shareholders' Equity</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117"/>
              <w:spacing w:after="0"/>
              <w:rPr>
                <w:sz w:val="20"/>
                <w:szCs w:val="20"/>
                <w:color w:val="auto"/>
              </w:rPr>
            </w:pPr>
            <w:r>
              <w:rPr>
                <w:rFonts w:ascii="Arial" w:cs="Arial" w:eastAsia="Arial" w:hAnsi="Arial"/>
                <w:sz w:val="13"/>
                <w:szCs w:val="13"/>
                <w:b w:val="1"/>
                <w:bCs w:val="1"/>
                <w:color w:val="auto"/>
                <w:w w:val="89"/>
              </w:rPr>
              <w:t>Interest</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62"/>
        </w:trPr>
        <w:tc>
          <w:tcPr>
            <w:tcW w:w="266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Balance, December 31, 2020</w:t>
            </w:r>
          </w:p>
        </w:tc>
        <w:tc>
          <w:tcPr>
            <w:tcW w:w="1300" w:type="dxa"/>
            <w:vAlign w:val="bottom"/>
            <w:shd w:val="clear" w:color="auto" w:fill="CFF0FC"/>
          </w:tcPr>
          <w:p>
            <w:pPr>
              <w:jc w:val="right"/>
              <w:ind w:right="77"/>
              <w:spacing w:after="0"/>
              <w:rPr>
                <w:sz w:val="20"/>
                <w:szCs w:val="20"/>
                <w:color w:val="auto"/>
              </w:rPr>
            </w:pPr>
            <w:r>
              <w:rPr>
                <w:rFonts w:ascii="Arial" w:cs="Arial" w:eastAsia="Arial" w:hAnsi="Arial"/>
                <w:sz w:val="13"/>
                <w:szCs w:val="13"/>
                <w:b w:val="1"/>
                <w:bCs w:val="1"/>
                <w:color w:val="auto"/>
              </w:rPr>
              <w:t>250,003,917</w:t>
            </w:r>
          </w:p>
        </w:tc>
        <w:tc>
          <w:tcPr>
            <w:tcW w:w="120" w:type="dxa"/>
            <w:vAlign w:val="bottom"/>
            <w:shd w:val="clear" w:color="auto" w:fill="CFF0FC"/>
          </w:tcPr>
          <w:p>
            <w:pPr>
              <w:spacing w:after="0"/>
              <w:rPr>
                <w:sz w:val="14"/>
                <w:szCs w:val="14"/>
                <w:color w:val="auto"/>
              </w:rPr>
            </w:pPr>
          </w:p>
        </w:tc>
        <w:tc>
          <w:tcPr>
            <w:tcW w:w="1160" w:type="dxa"/>
            <w:vAlign w:val="bottom"/>
            <w:shd w:val="clear" w:color="auto" w:fill="CFF0FC"/>
          </w:tcPr>
          <w:p>
            <w:pPr>
              <w:jc w:val="right"/>
              <w:ind w:right="77"/>
              <w:spacing w:after="0"/>
              <w:rPr>
                <w:sz w:val="20"/>
                <w:szCs w:val="20"/>
                <w:color w:val="auto"/>
              </w:rPr>
            </w:pPr>
            <w:r>
              <w:rPr>
                <w:rFonts w:ascii="Arial" w:cs="Arial" w:eastAsia="Arial" w:hAnsi="Arial"/>
                <w:sz w:val="13"/>
                <w:szCs w:val="13"/>
                <w:b w:val="1"/>
                <w:bCs w:val="1"/>
                <w:color w:val="auto"/>
              </w:rPr>
              <w:t>26,507,914</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w w:val="82"/>
              </w:rPr>
              <w:t>$</w:t>
            </w:r>
          </w:p>
        </w:tc>
        <w:tc>
          <w:tcPr>
            <w:tcW w:w="1040" w:type="dxa"/>
            <w:vAlign w:val="bottom"/>
            <w:shd w:val="clear" w:color="auto" w:fill="CFF0FC"/>
          </w:tcPr>
          <w:p>
            <w:pPr>
              <w:jc w:val="right"/>
              <w:ind w:right="57"/>
              <w:spacing w:after="0"/>
              <w:rPr>
                <w:sz w:val="20"/>
                <w:szCs w:val="20"/>
                <w:color w:val="auto"/>
              </w:rPr>
            </w:pPr>
            <w:r>
              <w:rPr>
                <w:rFonts w:ascii="Arial" w:cs="Arial" w:eastAsia="Arial" w:hAnsi="Arial"/>
                <w:sz w:val="13"/>
                <w:szCs w:val="13"/>
                <w:b w:val="1"/>
                <w:bCs w:val="1"/>
                <w:color w:val="auto"/>
              </w:rPr>
              <w:t>632,062</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w w:val="82"/>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(325,238 )</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w w:val="82"/>
              </w:rPr>
              <w:t>$</w:t>
            </w:r>
          </w:p>
        </w:tc>
        <w:tc>
          <w:tcPr>
            <w:tcW w:w="1360" w:type="dxa"/>
            <w:vAlign w:val="bottom"/>
            <w:shd w:val="clear" w:color="auto" w:fill="CFF0FC"/>
          </w:tcPr>
          <w:p>
            <w:pPr>
              <w:jc w:val="right"/>
              <w:ind w:right="57"/>
              <w:spacing w:after="0"/>
              <w:rPr>
                <w:sz w:val="20"/>
                <w:szCs w:val="20"/>
                <w:color w:val="auto"/>
              </w:rPr>
            </w:pPr>
            <w:r>
              <w:rPr>
                <w:rFonts w:ascii="Arial" w:cs="Arial" w:eastAsia="Arial" w:hAnsi="Arial"/>
                <w:sz w:val="13"/>
                <w:szCs w:val="13"/>
                <w:b w:val="1"/>
                <w:bCs w:val="1"/>
                <w:color w:val="auto"/>
              </w:rPr>
              <w:t>306,824</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w w:val="82"/>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(19,875 )</w:t>
            </w: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jc w:val="right"/>
              <w:ind w:right="28"/>
              <w:spacing w:after="0"/>
              <w:rPr>
                <w:sz w:val="20"/>
                <w:szCs w:val="20"/>
                <w:color w:val="auto"/>
              </w:rPr>
            </w:pPr>
            <w:r>
              <w:rPr>
                <w:rFonts w:ascii="Arial" w:cs="Arial" w:eastAsia="Arial" w:hAnsi="Arial"/>
                <w:sz w:val="10"/>
                <w:szCs w:val="10"/>
                <w:b w:val="1"/>
                <w:bCs w:val="1"/>
                <w:color w:val="auto"/>
                <w:w w:val="71"/>
              </w:rPr>
              <w:t>$</w:t>
            </w:r>
          </w:p>
        </w:tc>
        <w:tc>
          <w:tcPr>
            <w:tcW w:w="740" w:type="dxa"/>
            <w:vAlign w:val="bottom"/>
            <w:shd w:val="clear" w:color="auto" w:fill="CFF0FC"/>
          </w:tcPr>
          <w:p>
            <w:pPr>
              <w:jc w:val="right"/>
              <w:ind w:right="57"/>
              <w:spacing w:after="0"/>
              <w:rPr>
                <w:sz w:val="20"/>
                <w:szCs w:val="20"/>
                <w:color w:val="auto"/>
              </w:rPr>
            </w:pPr>
            <w:r>
              <w:rPr>
                <w:rFonts w:ascii="Arial" w:cs="Arial" w:eastAsia="Arial" w:hAnsi="Arial"/>
                <w:sz w:val="13"/>
                <w:szCs w:val="13"/>
                <w:b w:val="1"/>
                <w:bCs w:val="1"/>
                <w:color w:val="auto"/>
              </w:rPr>
              <w:t>286,949</w:t>
            </w:r>
          </w:p>
        </w:tc>
        <w:tc>
          <w:tcPr>
            <w:tcW w:w="0" w:type="dxa"/>
            <w:vAlign w:val="bottom"/>
          </w:tcPr>
          <w:p>
            <w:pPr>
              <w:spacing w:after="0"/>
              <w:rPr>
                <w:sz w:val="1"/>
                <w:szCs w:val="1"/>
                <w:color w:val="auto"/>
              </w:rPr>
            </w:pPr>
          </w:p>
        </w:tc>
      </w:tr>
      <w:tr>
        <w:trPr>
          <w:trHeight w:val="160"/>
        </w:trPr>
        <w:tc>
          <w:tcPr>
            <w:tcW w:w="2660" w:type="dxa"/>
            <w:vAlign w:val="bottom"/>
          </w:tcPr>
          <w:p>
            <w:pPr>
              <w:ind w:left="20"/>
              <w:spacing w:after="0"/>
              <w:rPr>
                <w:sz w:val="20"/>
                <w:szCs w:val="20"/>
                <w:color w:val="auto"/>
              </w:rPr>
            </w:pPr>
            <w:r>
              <w:rPr>
                <w:rFonts w:ascii="Arial" w:cs="Arial" w:eastAsia="Arial" w:hAnsi="Arial"/>
                <w:sz w:val="13"/>
                <w:szCs w:val="13"/>
                <w:color w:val="auto"/>
              </w:rPr>
              <w:t>Equity-based compensation (1)</w:t>
            </w:r>
          </w:p>
        </w:tc>
        <w:tc>
          <w:tcPr>
            <w:tcW w:w="1300" w:type="dxa"/>
            <w:vAlign w:val="bottom"/>
          </w:tcPr>
          <w:p>
            <w:pPr>
              <w:jc w:val="right"/>
              <w:ind w:right="77"/>
              <w:spacing w:after="0"/>
              <w:rPr>
                <w:sz w:val="20"/>
                <w:szCs w:val="20"/>
                <w:color w:val="auto"/>
              </w:rPr>
            </w:pPr>
            <w:r>
              <w:rPr>
                <w:rFonts w:ascii="Arial" w:cs="Arial" w:eastAsia="Arial" w:hAnsi="Arial"/>
                <w:sz w:val="13"/>
                <w:szCs w:val="13"/>
                <w:color w:val="auto"/>
              </w:rPr>
              <w:t>190,925</w:t>
            </w:r>
          </w:p>
        </w:tc>
        <w:tc>
          <w:tcPr>
            <w:tcW w:w="120" w:type="dxa"/>
            <w:vAlign w:val="bottom"/>
          </w:tcPr>
          <w:p>
            <w:pPr>
              <w:spacing w:after="0"/>
              <w:rPr>
                <w:sz w:val="13"/>
                <w:szCs w:val="13"/>
                <w:color w:val="auto"/>
              </w:rPr>
            </w:pPr>
          </w:p>
        </w:tc>
        <w:tc>
          <w:tcPr>
            <w:tcW w:w="116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right"/>
              <w:ind w:right="57"/>
              <w:spacing w:after="0"/>
              <w:rPr>
                <w:sz w:val="20"/>
                <w:szCs w:val="20"/>
                <w:color w:val="auto"/>
              </w:rPr>
            </w:pPr>
            <w:r>
              <w:rPr>
                <w:rFonts w:ascii="Arial" w:cs="Arial" w:eastAsia="Arial" w:hAnsi="Arial"/>
                <w:sz w:val="13"/>
                <w:szCs w:val="13"/>
                <w:color w:val="auto"/>
              </w:rPr>
              <w:t>7,792</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jc w:val="right"/>
              <w:ind w:right="57"/>
              <w:spacing w:after="0"/>
              <w:rPr>
                <w:sz w:val="20"/>
                <w:szCs w:val="20"/>
                <w:color w:val="auto"/>
              </w:rPr>
            </w:pPr>
            <w:r>
              <w:rPr>
                <w:rFonts w:ascii="Arial" w:cs="Arial" w:eastAsia="Arial" w:hAnsi="Arial"/>
                <w:sz w:val="13"/>
                <w:szCs w:val="13"/>
                <w:color w:val="auto"/>
              </w:rPr>
              <w:t>7,792</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7,792</w:t>
            </w:r>
          </w:p>
        </w:tc>
        <w:tc>
          <w:tcPr>
            <w:tcW w:w="0" w:type="dxa"/>
            <w:vAlign w:val="bottom"/>
          </w:tcPr>
          <w:p>
            <w:pPr>
              <w:spacing w:after="0"/>
              <w:rPr>
                <w:sz w:val="1"/>
                <w:szCs w:val="1"/>
                <w:color w:val="auto"/>
              </w:rPr>
            </w:pPr>
          </w:p>
        </w:tc>
      </w:tr>
      <w:tr>
        <w:trPr>
          <w:trHeight w:val="164"/>
        </w:trPr>
        <w:tc>
          <w:tcPr>
            <w:tcW w:w="2660" w:type="dxa"/>
            <w:vAlign w:val="bottom"/>
            <w:shd w:val="clear" w:color="auto" w:fill="CFF0FC"/>
          </w:tcPr>
          <w:p>
            <w:pPr>
              <w:ind w:left="20"/>
              <w:spacing w:after="0"/>
              <w:rPr>
                <w:sz w:val="20"/>
                <w:szCs w:val="20"/>
                <w:color w:val="auto"/>
              </w:rPr>
            </w:pPr>
            <w:r>
              <w:rPr>
                <w:rFonts w:ascii="Arial" w:cs="Arial" w:eastAsia="Arial" w:hAnsi="Arial"/>
                <w:sz w:val="13"/>
                <w:szCs w:val="13"/>
                <w:color w:val="auto"/>
              </w:rPr>
              <w:t>Issuance of shares, net</w:t>
            </w:r>
          </w:p>
        </w:tc>
        <w:tc>
          <w:tcPr>
            <w:tcW w:w="13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21,792,500</w:t>
            </w:r>
          </w:p>
        </w:tc>
        <w:tc>
          <w:tcPr>
            <w:tcW w:w="120" w:type="dxa"/>
            <w:vAlign w:val="bottom"/>
            <w:shd w:val="clear" w:color="auto" w:fill="CFF0FC"/>
          </w:tcPr>
          <w:p>
            <w:pPr>
              <w:spacing w:after="0"/>
              <w:rPr>
                <w:sz w:val="14"/>
                <w:szCs w:val="14"/>
                <w:color w:val="auto"/>
              </w:rPr>
            </w:pPr>
          </w:p>
        </w:tc>
        <w:tc>
          <w:tcPr>
            <w:tcW w:w="116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133,151</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36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133,151</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133,151</w:t>
            </w:r>
          </w:p>
        </w:tc>
        <w:tc>
          <w:tcPr>
            <w:tcW w:w="0" w:type="dxa"/>
            <w:vAlign w:val="bottom"/>
          </w:tcPr>
          <w:p>
            <w:pPr>
              <w:spacing w:after="0"/>
              <w:rPr>
                <w:sz w:val="1"/>
                <w:szCs w:val="1"/>
                <w:color w:val="auto"/>
              </w:rPr>
            </w:pPr>
          </w:p>
        </w:tc>
      </w:tr>
      <w:tr>
        <w:trPr>
          <w:trHeight w:val="121"/>
        </w:trPr>
        <w:tc>
          <w:tcPr>
            <w:tcW w:w="2660" w:type="dxa"/>
            <w:vAlign w:val="bottom"/>
          </w:tcPr>
          <w:p>
            <w:pPr>
              <w:ind w:left="20"/>
              <w:spacing w:after="0" w:line="121" w:lineRule="exact"/>
              <w:rPr>
                <w:sz w:val="20"/>
                <w:szCs w:val="20"/>
                <w:color w:val="auto"/>
              </w:rPr>
            </w:pPr>
            <w:r>
              <w:rPr>
                <w:rFonts w:ascii="Arial" w:cs="Arial" w:eastAsia="Arial" w:hAnsi="Arial"/>
                <w:sz w:val="13"/>
                <w:szCs w:val="13"/>
                <w:color w:val="auto"/>
              </w:rPr>
              <w:t>Issuance of shares in connection with</w:t>
            </w:r>
          </w:p>
        </w:tc>
        <w:tc>
          <w:tcPr>
            <w:tcW w:w="1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660" w:type="dxa"/>
            <w:vAlign w:val="bottom"/>
          </w:tcPr>
          <w:p>
            <w:pPr>
              <w:ind w:left="20"/>
              <w:spacing w:after="0"/>
              <w:rPr>
                <w:sz w:val="20"/>
                <w:szCs w:val="20"/>
                <w:color w:val="auto"/>
              </w:rPr>
            </w:pPr>
            <w:r>
              <w:rPr>
                <w:rFonts w:ascii="Arial" w:cs="Arial" w:eastAsia="Arial" w:hAnsi="Arial"/>
                <w:sz w:val="13"/>
                <w:szCs w:val="13"/>
                <w:color w:val="auto"/>
              </w:rPr>
              <w:t>acquisitions</w:t>
            </w:r>
          </w:p>
        </w:tc>
        <w:tc>
          <w:tcPr>
            <w:tcW w:w="1300" w:type="dxa"/>
            <w:vAlign w:val="bottom"/>
          </w:tcPr>
          <w:p>
            <w:pPr>
              <w:jc w:val="right"/>
              <w:ind w:right="77"/>
              <w:spacing w:after="0"/>
              <w:rPr>
                <w:sz w:val="20"/>
                <w:szCs w:val="20"/>
                <w:color w:val="auto"/>
              </w:rPr>
            </w:pPr>
            <w:r>
              <w:rPr>
                <w:rFonts w:ascii="Arial" w:cs="Arial" w:eastAsia="Arial" w:hAnsi="Arial"/>
                <w:sz w:val="13"/>
                <w:szCs w:val="13"/>
                <w:color w:val="auto"/>
              </w:rPr>
              <w:t>971,541</w:t>
            </w:r>
          </w:p>
        </w:tc>
        <w:tc>
          <w:tcPr>
            <w:tcW w:w="120" w:type="dxa"/>
            <w:vAlign w:val="bottom"/>
          </w:tcPr>
          <w:p>
            <w:pPr>
              <w:spacing w:after="0"/>
              <w:rPr>
                <w:sz w:val="14"/>
                <w:szCs w:val="14"/>
                <w:color w:val="auto"/>
              </w:rPr>
            </w:pPr>
          </w:p>
        </w:tc>
        <w:tc>
          <w:tcPr>
            <w:tcW w:w="116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ind w:right="57"/>
              <w:spacing w:after="0"/>
              <w:rPr>
                <w:sz w:val="20"/>
                <w:szCs w:val="20"/>
                <w:color w:val="auto"/>
              </w:rPr>
            </w:pPr>
            <w:r>
              <w:rPr>
                <w:rFonts w:ascii="Arial" w:cs="Arial" w:eastAsia="Arial" w:hAnsi="Arial"/>
                <w:sz w:val="13"/>
                <w:szCs w:val="13"/>
                <w:color w:val="auto"/>
              </w:rPr>
              <w:t>4,972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jc w:val="right"/>
              <w:ind w:right="57"/>
              <w:spacing w:after="0"/>
              <w:rPr>
                <w:sz w:val="20"/>
                <w:szCs w:val="20"/>
                <w:color w:val="auto"/>
              </w:rPr>
            </w:pPr>
            <w:r>
              <w:rPr>
                <w:rFonts w:ascii="Arial" w:cs="Arial" w:eastAsia="Arial" w:hAnsi="Arial"/>
                <w:sz w:val="13"/>
                <w:szCs w:val="13"/>
                <w:color w:val="auto"/>
              </w:rPr>
              <w:t>4,972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4,972</w:t>
            </w:r>
          </w:p>
        </w:tc>
        <w:tc>
          <w:tcPr>
            <w:tcW w:w="0" w:type="dxa"/>
            <w:vAlign w:val="bottom"/>
          </w:tcPr>
          <w:p>
            <w:pPr>
              <w:spacing w:after="0"/>
              <w:rPr>
                <w:sz w:val="1"/>
                <w:szCs w:val="1"/>
                <w:color w:val="auto"/>
              </w:rPr>
            </w:pPr>
          </w:p>
        </w:tc>
      </w:tr>
      <w:tr>
        <w:trPr>
          <w:trHeight w:val="171"/>
        </w:trPr>
        <w:tc>
          <w:tcPr>
            <w:tcW w:w="2660" w:type="dxa"/>
            <w:vAlign w:val="bottom"/>
            <w:shd w:val="clear" w:color="auto" w:fill="CFF0FC"/>
          </w:tcPr>
          <w:p>
            <w:pPr>
              <w:ind w:left="20"/>
              <w:spacing w:after="0"/>
              <w:rPr>
                <w:sz w:val="20"/>
                <w:szCs w:val="20"/>
                <w:color w:val="auto"/>
              </w:rPr>
            </w:pPr>
            <w:r>
              <w:rPr>
                <w:rFonts w:ascii="Arial" w:cs="Arial" w:eastAsia="Arial" w:hAnsi="Arial"/>
                <w:sz w:val="13"/>
                <w:szCs w:val="13"/>
                <w:color w:val="auto"/>
              </w:rPr>
              <w:t>Conversion between classes of shares</w:t>
            </w:r>
          </w:p>
        </w:tc>
        <w:tc>
          <w:tcPr>
            <w:tcW w:w="13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9,236,733</w:t>
            </w: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(9,236,733 )</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36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2660" w:type="dxa"/>
            <w:vAlign w:val="bottom"/>
          </w:tcPr>
          <w:p>
            <w:pPr>
              <w:ind w:left="20"/>
              <w:spacing w:after="0"/>
              <w:rPr>
                <w:sz w:val="20"/>
                <w:szCs w:val="20"/>
                <w:color w:val="auto"/>
              </w:rPr>
            </w:pPr>
            <w:r>
              <w:rPr>
                <w:rFonts w:ascii="Arial" w:cs="Arial" w:eastAsia="Arial" w:hAnsi="Arial"/>
                <w:sz w:val="13"/>
                <w:szCs w:val="13"/>
                <w:color w:val="auto"/>
              </w:rPr>
              <w:t>Cancellation of restricted stock awards</w:t>
            </w:r>
          </w:p>
        </w:tc>
        <w:tc>
          <w:tcPr>
            <w:tcW w:w="1300" w:type="dxa"/>
            <w:vAlign w:val="bottom"/>
          </w:tcPr>
          <w:p>
            <w:pPr>
              <w:jc w:val="right"/>
              <w:spacing w:after="0"/>
              <w:rPr>
                <w:sz w:val="20"/>
                <w:szCs w:val="20"/>
                <w:color w:val="auto"/>
              </w:rPr>
            </w:pPr>
            <w:r>
              <w:rPr>
                <w:rFonts w:ascii="Arial" w:cs="Arial" w:eastAsia="Arial" w:hAnsi="Arial"/>
                <w:sz w:val="13"/>
                <w:szCs w:val="13"/>
                <w:color w:val="auto"/>
              </w:rPr>
              <w:t>(13,770 )</w:t>
            </w:r>
          </w:p>
        </w:tc>
        <w:tc>
          <w:tcPr>
            <w:tcW w:w="1280" w:type="dxa"/>
            <w:vAlign w:val="bottom"/>
            <w:gridSpan w:val="2"/>
          </w:tcPr>
          <w:p>
            <w:pPr>
              <w:jc w:val="right"/>
              <w:spacing w:after="0"/>
              <w:rPr>
                <w:sz w:val="20"/>
                <w:szCs w:val="20"/>
                <w:color w:val="auto"/>
              </w:rPr>
            </w:pPr>
            <w:r>
              <w:rPr>
                <w:rFonts w:ascii="Arial" w:cs="Arial" w:eastAsia="Arial" w:hAnsi="Arial"/>
                <w:sz w:val="13"/>
                <w:szCs w:val="13"/>
                <w:color w:val="auto"/>
              </w:rPr>
              <w:t>(8,077 )</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4"/>
        </w:trPr>
        <w:tc>
          <w:tcPr>
            <w:tcW w:w="2660" w:type="dxa"/>
            <w:vAlign w:val="bottom"/>
            <w:shd w:val="clear" w:color="auto" w:fill="CFF0FC"/>
          </w:tcPr>
          <w:p>
            <w:pPr>
              <w:ind w:left="20"/>
              <w:spacing w:after="0"/>
              <w:rPr>
                <w:sz w:val="20"/>
                <w:szCs w:val="20"/>
                <w:color w:val="auto"/>
              </w:rPr>
            </w:pPr>
            <w:r>
              <w:rPr>
                <w:rFonts w:ascii="Arial" w:cs="Arial" w:eastAsia="Arial" w:hAnsi="Arial"/>
                <w:sz w:val="13"/>
                <w:szCs w:val="13"/>
                <w:color w:val="auto"/>
              </w:rPr>
              <w:t>Warrants exercised</w:t>
            </w:r>
          </w:p>
        </w:tc>
        <w:tc>
          <w:tcPr>
            <w:tcW w:w="13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262,200</w:t>
            </w:r>
          </w:p>
        </w:tc>
        <w:tc>
          <w:tcPr>
            <w:tcW w:w="120" w:type="dxa"/>
            <w:vAlign w:val="bottom"/>
            <w:shd w:val="clear" w:color="auto" w:fill="CFF0FC"/>
          </w:tcPr>
          <w:p>
            <w:pPr>
              <w:spacing w:after="0"/>
              <w:rPr>
                <w:sz w:val="14"/>
                <w:szCs w:val="14"/>
                <w:color w:val="auto"/>
              </w:rPr>
            </w:pPr>
          </w:p>
        </w:tc>
        <w:tc>
          <w:tcPr>
            <w:tcW w:w="116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808</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36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808</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808</w:t>
            </w:r>
          </w:p>
        </w:tc>
        <w:tc>
          <w:tcPr>
            <w:tcW w:w="0" w:type="dxa"/>
            <w:vAlign w:val="bottom"/>
          </w:tcPr>
          <w:p>
            <w:pPr>
              <w:spacing w:after="0"/>
              <w:rPr>
                <w:sz w:val="1"/>
                <w:szCs w:val="1"/>
                <w:color w:val="auto"/>
              </w:rPr>
            </w:pPr>
          </w:p>
        </w:tc>
      </w:tr>
      <w:tr>
        <w:trPr>
          <w:trHeight w:val="162"/>
        </w:trPr>
        <w:tc>
          <w:tcPr>
            <w:tcW w:w="2660" w:type="dxa"/>
            <w:vAlign w:val="bottom"/>
          </w:tcPr>
          <w:p>
            <w:pPr>
              <w:ind w:left="20"/>
              <w:spacing w:after="0"/>
              <w:rPr>
                <w:sz w:val="20"/>
                <w:szCs w:val="20"/>
                <w:color w:val="auto"/>
              </w:rPr>
            </w:pPr>
            <w:r>
              <w:rPr>
                <w:rFonts w:ascii="Arial" w:cs="Arial" w:eastAsia="Arial" w:hAnsi="Arial"/>
                <w:sz w:val="13"/>
                <w:szCs w:val="13"/>
                <w:color w:val="auto"/>
              </w:rPr>
              <w:t>Net loss</w:t>
            </w:r>
          </w:p>
        </w:tc>
        <w:tc>
          <w:tcPr>
            <w:tcW w:w="13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w:t>
            </w: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(28,782 )</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(28,782 )</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(381 )</w:t>
            </w: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(29,163 )</w:t>
            </w:r>
          </w:p>
        </w:tc>
        <w:tc>
          <w:tcPr>
            <w:tcW w:w="0" w:type="dxa"/>
            <w:vAlign w:val="bottom"/>
          </w:tcPr>
          <w:p>
            <w:pPr>
              <w:spacing w:after="0"/>
              <w:rPr>
                <w:sz w:val="1"/>
                <w:szCs w:val="1"/>
                <w:color w:val="auto"/>
              </w:rPr>
            </w:pPr>
          </w:p>
        </w:tc>
      </w:tr>
      <w:tr>
        <w:trPr>
          <w:trHeight w:val="155"/>
        </w:trPr>
        <w:tc>
          <w:tcPr>
            <w:tcW w:w="266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Balance, March 31, 2021</w:t>
            </w:r>
          </w:p>
        </w:tc>
        <w:tc>
          <w:tcPr>
            <w:tcW w:w="1300" w:type="dxa"/>
            <w:vAlign w:val="bottom"/>
            <w:shd w:val="clear" w:color="auto" w:fill="CFF0FC"/>
          </w:tcPr>
          <w:p>
            <w:pPr>
              <w:jc w:val="right"/>
              <w:ind w:right="77"/>
              <w:spacing w:after="0"/>
              <w:rPr>
                <w:sz w:val="20"/>
                <w:szCs w:val="20"/>
                <w:color w:val="auto"/>
              </w:rPr>
            </w:pPr>
            <w:r>
              <w:rPr>
                <w:rFonts w:ascii="Arial" w:cs="Arial" w:eastAsia="Arial" w:hAnsi="Arial"/>
                <w:sz w:val="13"/>
                <w:szCs w:val="13"/>
                <w:b w:val="1"/>
                <w:bCs w:val="1"/>
                <w:color w:val="auto"/>
              </w:rPr>
              <w:t>282,444,046</w:t>
            </w:r>
          </w:p>
        </w:tc>
        <w:tc>
          <w:tcPr>
            <w:tcW w:w="1280" w:type="dxa"/>
            <w:vAlign w:val="bottom"/>
            <w:gridSpan w:val="2"/>
            <w:shd w:val="clear" w:color="auto" w:fill="CFF0FC"/>
          </w:tcPr>
          <w:p>
            <w:pPr>
              <w:jc w:val="right"/>
              <w:ind w:right="77"/>
              <w:spacing w:after="0"/>
              <w:rPr>
                <w:sz w:val="20"/>
                <w:szCs w:val="20"/>
                <w:color w:val="auto"/>
              </w:rPr>
            </w:pPr>
            <w:r>
              <w:rPr>
                <w:rFonts w:ascii="Arial" w:cs="Arial" w:eastAsia="Arial" w:hAnsi="Arial"/>
                <w:sz w:val="13"/>
                <w:szCs w:val="13"/>
                <w:b w:val="1"/>
                <w:bCs w:val="1"/>
                <w:color w:val="auto"/>
              </w:rPr>
              <w:t>17,263,104</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40" w:type="dxa"/>
            <w:vAlign w:val="bottom"/>
            <w:shd w:val="clear" w:color="auto" w:fill="CFF0FC"/>
          </w:tcPr>
          <w:p>
            <w:pPr>
              <w:jc w:val="right"/>
              <w:ind w:right="57"/>
              <w:spacing w:after="0"/>
              <w:rPr>
                <w:sz w:val="20"/>
                <w:szCs w:val="20"/>
                <w:color w:val="auto"/>
              </w:rPr>
            </w:pPr>
            <w:r>
              <w:rPr>
                <w:rFonts w:ascii="Arial" w:cs="Arial" w:eastAsia="Arial" w:hAnsi="Arial"/>
                <w:sz w:val="13"/>
                <w:szCs w:val="13"/>
                <w:b w:val="1"/>
                <w:bCs w:val="1"/>
                <w:color w:val="auto"/>
              </w:rPr>
              <w:t>778,785</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(354,020 )</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360" w:type="dxa"/>
            <w:vAlign w:val="bottom"/>
            <w:shd w:val="clear" w:color="auto" w:fill="CFF0FC"/>
          </w:tcPr>
          <w:p>
            <w:pPr>
              <w:jc w:val="right"/>
              <w:ind w:right="57"/>
              <w:spacing w:after="0"/>
              <w:rPr>
                <w:sz w:val="20"/>
                <w:szCs w:val="20"/>
                <w:color w:val="auto"/>
              </w:rPr>
            </w:pPr>
            <w:r>
              <w:rPr>
                <w:rFonts w:ascii="Arial" w:cs="Arial" w:eastAsia="Arial" w:hAnsi="Arial"/>
                <w:sz w:val="13"/>
                <w:szCs w:val="13"/>
                <w:b w:val="1"/>
                <w:bCs w:val="1"/>
                <w:color w:val="auto"/>
              </w:rPr>
              <w:t>424,765</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(20,256 )</w:t>
            </w:r>
          </w:p>
        </w:tc>
        <w:tc>
          <w:tcPr>
            <w:tcW w:w="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57"/>
              <w:spacing w:after="0"/>
              <w:rPr>
                <w:sz w:val="20"/>
                <w:szCs w:val="20"/>
                <w:color w:val="auto"/>
              </w:rPr>
            </w:pPr>
            <w:r>
              <w:rPr>
                <w:rFonts w:ascii="Arial" w:cs="Arial" w:eastAsia="Arial" w:hAnsi="Arial"/>
                <w:sz w:val="13"/>
                <w:szCs w:val="13"/>
                <w:b w:val="1"/>
                <w:bCs w:val="1"/>
                <w:color w:val="auto"/>
              </w:rPr>
              <w:t>404,509</w:t>
            </w:r>
          </w:p>
        </w:tc>
        <w:tc>
          <w:tcPr>
            <w:tcW w:w="0" w:type="dxa"/>
            <w:vAlign w:val="bottom"/>
          </w:tcPr>
          <w:p>
            <w:pPr>
              <w:spacing w:after="0"/>
              <w:rPr>
                <w:sz w:val="1"/>
                <w:szCs w:val="1"/>
                <w:color w:val="auto"/>
              </w:rPr>
            </w:pPr>
          </w:p>
        </w:tc>
      </w:tr>
      <w:tr>
        <w:trPr>
          <w:trHeight w:val="162"/>
        </w:trPr>
        <w:tc>
          <w:tcPr>
            <w:tcW w:w="26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60" w:type="dxa"/>
            <w:vAlign w:val="bottom"/>
            <w:shd w:val="clear" w:color="auto" w:fill="CFF0FC"/>
          </w:tcPr>
          <w:p>
            <w:pPr>
              <w:ind w:left="20"/>
              <w:spacing w:after="0"/>
              <w:rPr>
                <w:sz w:val="20"/>
                <w:szCs w:val="20"/>
                <w:color w:val="auto"/>
              </w:rPr>
            </w:pPr>
            <w:r>
              <w:rPr>
                <w:rFonts w:ascii="Arial" w:cs="Arial" w:eastAsia="Arial" w:hAnsi="Arial"/>
                <w:sz w:val="13"/>
                <w:szCs w:val="13"/>
                <w:color w:val="auto"/>
              </w:rPr>
              <w:t>Equity-based compensation (1)</w:t>
            </w:r>
          </w:p>
        </w:tc>
        <w:tc>
          <w:tcPr>
            <w:tcW w:w="13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4,787,211</w:t>
            </w:r>
          </w:p>
        </w:tc>
        <w:tc>
          <w:tcPr>
            <w:tcW w:w="120" w:type="dxa"/>
            <w:vAlign w:val="bottom"/>
            <w:shd w:val="clear" w:color="auto" w:fill="CFF0FC"/>
          </w:tcPr>
          <w:p>
            <w:pPr>
              <w:spacing w:after="0"/>
              <w:rPr>
                <w:sz w:val="14"/>
                <w:szCs w:val="14"/>
                <w:color w:val="auto"/>
              </w:rPr>
            </w:pPr>
          </w:p>
        </w:tc>
        <w:tc>
          <w:tcPr>
            <w:tcW w:w="116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2,582</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36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2,582</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2,582</w:t>
            </w:r>
          </w:p>
        </w:tc>
        <w:tc>
          <w:tcPr>
            <w:tcW w:w="0" w:type="dxa"/>
            <w:vAlign w:val="bottom"/>
          </w:tcPr>
          <w:p>
            <w:pPr>
              <w:spacing w:after="0"/>
              <w:rPr>
                <w:sz w:val="1"/>
                <w:szCs w:val="1"/>
                <w:color w:val="auto"/>
              </w:rPr>
            </w:pPr>
          </w:p>
        </w:tc>
      </w:tr>
      <w:tr>
        <w:trPr>
          <w:trHeight w:val="121"/>
        </w:trPr>
        <w:tc>
          <w:tcPr>
            <w:tcW w:w="2660" w:type="dxa"/>
            <w:vAlign w:val="bottom"/>
          </w:tcPr>
          <w:p>
            <w:pPr>
              <w:ind w:left="20"/>
              <w:spacing w:after="0" w:line="121" w:lineRule="exact"/>
              <w:rPr>
                <w:sz w:val="20"/>
                <w:szCs w:val="20"/>
                <w:color w:val="auto"/>
              </w:rPr>
            </w:pPr>
            <w:r>
              <w:rPr>
                <w:rFonts w:ascii="Arial" w:cs="Arial" w:eastAsia="Arial" w:hAnsi="Arial"/>
                <w:sz w:val="13"/>
                <w:szCs w:val="13"/>
                <w:color w:val="auto"/>
              </w:rPr>
              <w:t>Issuance of shares in connection with</w:t>
            </w:r>
          </w:p>
        </w:tc>
        <w:tc>
          <w:tcPr>
            <w:tcW w:w="1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660" w:type="dxa"/>
            <w:vAlign w:val="bottom"/>
          </w:tcPr>
          <w:p>
            <w:pPr>
              <w:ind w:left="20"/>
              <w:spacing w:after="0"/>
              <w:rPr>
                <w:sz w:val="20"/>
                <w:szCs w:val="20"/>
                <w:color w:val="auto"/>
              </w:rPr>
            </w:pPr>
            <w:r>
              <w:rPr>
                <w:rFonts w:ascii="Arial" w:cs="Arial" w:eastAsia="Arial" w:hAnsi="Arial"/>
                <w:sz w:val="13"/>
                <w:szCs w:val="13"/>
                <w:color w:val="auto"/>
              </w:rPr>
              <w:t>acquisitions</w:t>
            </w:r>
          </w:p>
        </w:tc>
        <w:tc>
          <w:tcPr>
            <w:tcW w:w="1300" w:type="dxa"/>
            <w:vAlign w:val="bottom"/>
          </w:tcPr>
          <w:p>
            <w:pPr>
              <w:jc w:val="right"/>
              <w:ind w:right="77"/>
              <w:spacing w:after="0"/>
              <w:rPr>
                <w:sz w:val="20"/>
                <w:szCs w:val="20"/>
                <w:color w:val="auto"/>
              </w:rPr>
            </w:pPr>
            <w:r>
              <w:rPr>
                <w:rFonts w:ascii="Arial" w:cs="Arial" w:eastAsia="Arial" w:hAnsi="Arial"/>
                <w:sz w:val="13"/>
                <w:szCs w:val="13"/>
                <w:color w:val="auto"/>
              </w:rPr>
              <w:t>54,238,143</w:t>
            </w:r>
          </w:p>
        </w:tc>
        <w:tc>
          <w:tcPr>
            <w:tcW w:w="120" w:type="dxa"/>
            <w:vAlign w:val="bottom"/>
          </w:tcPr>
          <w:p>
            <w:pPr>
              <w:spacing w:after="0"/>
              <w:rPr>
                <w:sz w:val="14"/>
                <w:szCs w:val="14"/>
                <w:color w:val="auto"/>
              </w:rPr>
            </w:pPr>
          </w:p>
        </w:tc>
        <w:tc>
          <w:tcPr>
            <w:tcW w:w="116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ind w:right="57"/>
              <w:spacing w:after="0"/>
              <w:rPr>
                <w:sz w:val="20"/>
                <w:szCs w:val="20"/>
                <w:color w:val="auto"/>
              </w:rPr>
            </w:pPr>
            <w:r>
              <w:rPr>
                <w:rFonts w:ascii="Arial" w:cs="Arial" w:eastAsia="Arial" w:hAnsi="Arial"/>
                <w:sz w:val="13"/>
                <w:szCs w:val="13"/>
                <w:color w:val="auto"/>
              </w:rPr>
              <w:t>189,015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jc w:val="right"/>
              <w:ind w:right="57"/>
              <w:spacing w:after="0"/>
              <w:rPr>
                <w:sz w:val="20"/>
                <w:szCs w:val="20"/>
                <w:color w:val="auto"/>
              </w:rPr>
            </w:pPr>
            <w:r>
              <w:rPr>
                <w:rFonts w:ascii="Arial" w:cs="Arial" w:eastAsia="Arial" w:hAnsi="Arial"/>
                <w:sz w:val="13"/>
                <w:szCs w:val="13"/>
                <w:color w:val="auto"/>
              </w:rPr>
              <w:t>189,015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189,015</w:t>
            </w:r>
          </w:p>
        </w:tc>
        <w:tc>
          <w:tcPr>
            <w:tcW w:w="0" w:type="dxa"/>
            <w:vAlign w:val="bottom"/>
          </w:tcPr>
          <w:p>
            <w:pPr>
              <w:spacing w:after="0"/>
              <w:rPr>
                <w:sz w:val="1"/>
                <w:szCs w:val="1"/>
                <w:color w:val="auto"/>
              </w:rPr>
            </w:pPr>
          </w:p>
        </w:tc>
      </w:tr>
      <w:tr>
        <w:trPr>
          <w:trHeight w:val="171"/>
        </w:trPr>
        <w:tc>
          <w:tcPr>
            <w:tcW w:w="2660" w:type="dxa"/>
            <w:vAlign w:val="bottom"/>
            <w:shd w:val="clear" w:color="auto" w:fill="CFF0FC"/>
          </w:tcPr>
          <w:p>
            <w:pPr>
              <w:ind w:left="20"/>
              <w:spacing w:after="0"/>
              <w:rPr>
                <w:sz w:val="20"/>
                <w:szCs w:val="20"/>
                <w:color w:val="auto"/>
              </w:rPr>
            </w:pPr>
            <w:r>
              <w:rPr>
                <w:rFonts w:ascii="Arial" w:cs="Arial" w:eastAsia="Arial" w:hAnsi="Arial"/>
                <w:sz w:val="13"/>
                <w:szCs w:val="13"/>
                <w:color w:val="auto"/>
              </w:rPr>
              <w:t>Cancellation of restricted stock awards</w:t>
            </w:r>
          </w:p>
        </w:tc>
        <w:tc>
          <w:tcPr>
            <w:tcW w:w="1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(85,755 )</w:t>
            </w: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(330,646 )</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36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2660" w:type="dxa"/>
            <w:vAlign w:val="bottom"/>
          </w:tcPr>
          <w:p>
            <w:pPr>
              <w:ind w:left="20"/>
              <w:spacing w:after="0"/>
              <w:rPr>
                <w:sz w:val="20"/>
                <w:szCs w:val="20"/>
                <w:color w:val="auto"/>
              </w:rPr>
            </w:pPr>
            <w:r>
              <w:rPr>
                <w:rFonts w:ascii="Arial" w:cs="Arial" w:eastAsia="Arial" w:hAnsi="Arial"/>
                <w:sz w:val="13"/>
                <w:szCs w:val="13"/>
                <w:color w:val="auto"/>
              </w:rPr>
              <w:t>Conversion of convertible notes</w:t>
            </w:r>
          </w:p>
        </w:tc>
        <w:tc>
          <w:tcPr>
            <w:tcW w:w="1300" w:type="dxa"/>
            <w:vAlign w:val="bottom"/>
          </w:tcPr>
          <w:p>
            <w:pPr>
              <w:jc w:val="right"/>
              <w:ind w:right="77"/>
              <w:spacing w:after="0"/>
              <w:rPr>
                <w:sz w:val="20"/>
                <w:szCs w:val="20"/>
                <w:color w:val="auto"/>
              </w:rPr>
            </w:pPr>
            <w:r>
              <w:rPr>
                <w:rFonts w:ascii="Arial" w:cs="Arial" w:eastAsia="Arial" w:hAnsi="Arial"/>
                <w:sz w:val="13"/>
                <w:szCs w:val="13"/>
                <w:color w:val="auto"/>
              </w:rPr>
              <w:t>4,550,139</w:t>
            </w:r>
          </w:p>
        </w:tc>
        <w:tc>
          <w:tcPr>
            <w:tcW w:w="120" w:type="dxa"/>
            <w:vAlign w:val="bottom"/>
          </w:tcPr>
          <w:p>
            <w:pPr>
              <w:spacing w:after="0"/>
              <w:rPr>
                <w:sz w:val="13"/>
                <w:szCs w:val="13"/>
                <w:color w:val="auto"/>
              </w:rPr>
            </w:pPr>
          </w:p>
        </w:tc>
        <w:tc>
          <w:tcPr>
            <w:tcW w:w="116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right"/>
              <w:ind w:right="57"/>
              <w:spacing w:after="0"/>
              <w:rPr>
                <w:sz w:val="20"/>
                <w:szCs w:val="20"/>
                <w:color w:val="auto"/>
              </w:rPr>
            </w:pPr>
            <w:r>
              <w:rPr>
                <w:rFonts w:ascii="Arial" w:cs="Arial" w:eastAsia="Arial" w:hAnsi="Arial"/>
                <w:sz w:val="13"/>
                <w:szCs w:val="13"/>
                <w:color w:val="auto"/>
              </w:rPr>
              <w:t>23,919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jc w:val="right"/>
              <w:ind w:right="57"/>
              <w:spacing w:after="0"/>
              <w:rPr>
                <w:sz w:val="20"/>
                <w:szCs w:val="20"/>
                <w:color w:val="auto"/>
              </w:rPr>
            </w:pPr>
            <w:r>
              <w:rPr>
                <w:rFonts w:ascii="Arial" w:cs="Arial" w:eastAsia="Arial" w:hAnsi="Arial"/>
                <w:sz w:val="13"/>
                <w:szCs w:val="13"/>
                <w:color w:val="auto"/>
              </w:rPr>
              <w:t>23,919</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23,919</w:t>
            </w:r>
          </w:p>
        </w:tc>
        <w:tc>
          <w:tcPr>
            <w:tcW w:w="0" w:type="dxa"/>
            <w:vAlign w:val="bottom"/>
          </w:tcPr>
          <w:p>
            <w:pPr>
              <w:spacing w:after="0"/>
              <w:rPr>
                <w:sz w:val="1"/>
                <w:szCs w:val="1"/>
                <w:color w:val="auto"/>
              </w:rPr>
            </w:pPr>
          </w:p>
        </w:tc>
      </w:tr>
      <w:tr>
        <w:trPr>
          <w:trHeight w:val="164"/>
        </w:trPr>
        <w:tc>
          <w:tcPr>
            <w:tcW w:w="2660" w:type="dxa"/>
            <w:vAlign w:val="bottom"/>
            <w:shd w:val="clear" w:color="auto" w:fill="CFF0FC"/>
          </w:tcPr>
          <w:p>
            <w:pPr>
              <w:ind w:left="20"/>
              <w:spacing w:after="0"/>
              <w:rPr>
                <w:sz w:val="20"/>
                <w:szCs w:val="20"/>
                <w:color w:val="auto"/>
              </w:rPr>
            </w:pPr>
            <w:r>
              <w:rPr>
                <w:rFonts w:ascii="Arial" w:cs="Arial" w:eastAsia="Arial" w:hAnsi="Arial"/>
                <w:sz w:val="13"/>
                <w:szCs w:val="13"/>
                <w:color w:val="auto"/>
              </w:rPr>
              <w:t>Conversion between classes of shares</w:t>
            </w:r>
          </w:p>
        </w:tc>
        <w:tc>
          <w:tcPr>
            <w:tcW w:w="13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1,584,570</w:t>
            </w: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(1,584,570 )</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36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2660" w:type="dxa"/>
            <w:vAlign w:val="bottom"/>
          </w:tcPr>
          <w:p>
            <w:pPr>
              <w:ind w:left="20"/>
              <w:spacing w:after="0"/>
              <w:rPr>
                <w:sz w:val="20"/>
                <w:szCs w:val="20"/>
                <w:color w:val="auto"/>
              </w:rPr>
            </w:pPr>
            <w:r>
              <w:rPr>
                <w:rFonts w:ascii="Arial" w:cs="Arial" w:eastAsia="Arial" w:hAnsi="Arial"/>
                <w:sz w:val="13"/>
                <w:szCs w:val="13"/>
                <w:color w:val="auto"/>
              </w:rPr>
              <w:t>Non-controlling interest buyout</w:t>
            </w:r>
          </w:p>
        </w:tc>
        <w:tc>
          <w:tcPr>
            <w:tcW w:w="13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16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right"/>
              <w:ind w:right="57"/>
              <w:spacing w:after="0"/>
              <w:rPr>
                <w:sz w:val="20"/>
                <w:szCs w:val="20"/>
                <w:color w:val="auto"/>
              </w:rPr>
            </w:pPr>
            <w:r>
              <w:rPr>
                <w:rFonts w:ascii="Arial" w:cs="Arial" w:eastAsia="Arial" w:hAnsi="Arial"/>
                <w:sz w:val="13"/>
                <w:szCs w:val="13"/>
                <w:color w:val="auto"/>
              </w:rPr>
              <w:t>1,960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jc w:val="right"/>
              <w:ind w:right="57"/>
              <w:spacing w:after="0"/>
              <w:rPr>
                <w:sz w:val="20"/>
                <w:szCs w:val="20"/>
                <w:color w:val="auto"/>
              </w:rPr>
            </w:pPr>
            <w:r>
              <w:rPr>
                <w:rFonts w:ascii="Arial" w:cs="Arial" w:eastAsia="Arial" w:hAnsi="Arial"/>
                <w:sz w:val="13"/>
                <w:szCs w:val="13"/>
                <w:color w:val="auto"/>
              </w:rPr>
              <w:t>1,960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(1,960 )</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4"/>
        </w:trPr>
        <w:tc>
          <w:tcPr>
            <w:tcW w:w="2660" w:type="dxa"/>
            <w:vAlign w:val="bottom"/>
            <w:shd w:val="clear" w:color="auto" w:fill="CFF0FC"/>
          </w:tcPr>
          <w:p>
            <w:pPr>
              <w:ind w:left="20"/>
              <w:spacing w:after="0"/>
              <w:rPr>
                <w:sz w:val="20"/>
                <w:szCs w:val="20"/>
                <w:color w:val="auto"/>
              </w:rPr>
            </w:pPr>
            <w:r>
              <w:rPr>
                <w:rFonts w:ascii="Arial" w:cs="Arial" w:eastAsia="Arial" w:hAnsi="Arial"/>
                <w:sz w:val="13"/>
                <w:szCs w:val="13"/>
                <w:color w:val="auto"/>
              </w:rPr>
              <w:t>Warrants exercised</w:t>
            </w:r>
          </w:p>
        </w:tc>
        <w:tc>
          <w:tcPr>
            <w:tcW w:w="13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551,743</w:t>
            </w:r>
          </w:p>
        </w:tc>
        <w:tc>
          <w:tcPr>
            <w:tcW w:w="120" w:type="dxa"/>
            <w:vAlign w:val="bottom"/>
            <w:shd w:val="clear" w:color="auto" w:fill="CFF0FC"/>
          </w:tcPr>
          <w:p>
            <w:pPr>
              <w:spacing w:after="0"/>
              <w:rPr>
                <w:sz w:val="14"/>
                <w:szCs w:val="14"/>
                <w:color w:val="auto"/>
              </w:rPr>
            </w:pPr>
          </w:p>
        </w:tc>
        <w:tc>
          <w:tcPr>
            <w:tcW w:w="116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1,093</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36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1,093</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1,093</w:t>
            </w:r>
          </w:p>
        </w:tc>
        <w:tc>
          <w:tcPr>
            <w:tcW w:w="0" w:type="dxa"/>
            <w:vAlign w:val="bottom"/>
          </w:tcPr>
          <w:p>
            <w:pPr>
              <w:spacing w:after="0"/>
              <w:rPr>
                <w:sz w:val="1"/>
                <w:szCs w:val="1"/>
                <w:color w:val="auto"/>
              </w:rPr>
            </w:pPr>
          </w:p>
        </w:tc>
      </w:tr>
      <w:tr>
        <w:trPr>
          <w:trHeight w:val="158"/>
        </w:trPr>
        <w:tc>
          <w:tcPr>
            <w:tcW w:w="2660" w:type="dxa"/>
            <w:vAlign w:val="bottom"/>
          </w:tcPr>
          <w:p>
            <w:pPr>
              <w:ind w:left="20"/>
              <w:spacing w:after="0"/>
              <w:rPr>
                <w:sz w:val="20"/>
                <w:szCs w:val="20"/>
                <w:color w:val="auto"/>
              </w:rPr>
            </w:pPr>
            <w:r>
              <w:rPr>
                <w:rFonts w:ascii="Arial" w:cs="Arial" w:eastAsia="Arial" w:hAnsi="Arial"/>
                <w:sz w:val="13"/>
                <w:szCs w:val="13"/>
                <w:color w:val="auto"/>
              </w:rPr>
              <w:t>Net loss</w:t>
            </w:r>
          </w:p>
        </w:tc>
        <w:tc>
          <w:tcPr>
            <w:tcW w:w="13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1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(18,144 )</w:t>
            </w: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(18,144 )</w:t>
            </w: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(513 )</w:t>
            </w:r>
          </w:p>
        </w:tc>
        <w:tc>
          <w:tcPr>
            <w:tcW w:w="1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(18,657 )</w:t>
            </w:r>
          </w:p>
        </w:tc>
        <w:tc>
          <w:tcPr>
            <w:tcW w:w="0" w:type="dxa"/>
            <w:vAlign w:val="bottom"/>
          </w:tcPr>
          <w:p>
            <w:pPr>
              <w:spacing w:after="0"/>
              <w:rPr>
                <w:sz w:val="1"/>
                <w:szCs w:val="1"/>
                <w:color w:val="auto"/>
              </w:rPr>
            </w:pPr>
          </w:p>
        </w:tc>
      </w:tr>
      <w:tr>
        <w:trPr>
          <w:trHeight w:val="159"/>
        </w:trPr>
        <w:tc>
          <w:tcPr>
            <w:tcW w:w="266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Balance, June 30, 2021</w:t>
            </w:r>
          </w:p>
        </w:tc>
        <w:tc>
          <w:tcPr>
            <w:tcW w:w="1300" w:type="dxa"/>
            <w:vAlign w:val="bottom"/>
            <w:shd w:val="clear" w:color="auto" w:fill="CFF0FC"/>
          </w:tcPr>
          <w:p>
            <w:pPr>
              <w:jc w:val="right"/>
              <w:ind w:right="77"/>
              <w:spacing w:after="0"/>
              <w:rPr>
                <w:sz w:val="20"/>
                <w:szCs w:val="20"/>
                <w:color w:val="auto"/>
              </w:rPr>
            </w:pPr>
            <w:r>
              <w:rPr>
                <w:rFonts w:ascii="Arial" w:cs="Arial" w:eastAsia="Arial" w:hAnsi="Arial"/>
                <w:sz w:val="13"/>
                <w:szCs w:val="13"/>
                <w:b w:val="1"/>
                <w:bCs w:val="1"/>
                <w:color w:val="auto"/>
              </w:rPr>
              <w:t>348,070,097</w:t>
            </w:r>
          </w:p>
        </w:tc>
        <w:tc>
          <w:tcPr>
            <w:tcW w:w="120" w:type="dxa"/>
            <w:vAlign w:val="bottom"/>
            <w:shd w:val="clear" w:color="auto" w:fill="CFF0FC"/>
          </w:tcPr>
          <w:p>
            <w:pPr>
              <w:spacing w:after="0"/>
              <w:rPr>
                <w:sz w:val="13"/>
                <w:szCs w:val="13"/>
                <w:color w:val="auto"/>
              </w:rPr>
            </w:pPr>
          </w:p>
        </w:tc>
        <w:tc>
          <w:tcPr>
            <w:tcW w:w="1160" w:type="dxa"/>
            <w:vAlign w:val="bottom"/>
            <w:shd w:val="clear" w:color="auto" w:fill="CFF0FC"/>
          </w:tcPr>
          <w:p>
            <w:pPr>
              <w:jc w:val="right"/>
              <w:ind w:right="77"/>
              <w:spacing w:after="0"/>
              <w:rPr>
                <w:sz w:val="20"/>
                <w:szCs w:val="20"/>
                <w:color w:val="auto"/>
              </w:rPr>
            </w:pPr>
            <w:r>
              <w:rPr>
                <w:rFonts w:ascii="Arial" w:cs="Arial" w:eastAsia="Arial" w:hAnsi="Arial"/>
                <w:sz w:val="13"/>
                <w:szCs w:val="13"/>
                <w:b w:val="1"/>
                <w:bCs w:val="1"/>
                <w:color w:val="auto"/>
              </w:rPr>
              <w:t>15,347,888</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w w:val="82"/>
              </w:rPr>
              <w:t>$</w:t>
            </w:r>
          </w:p>
        </w:tc>
        <w:tc>
          <w:tcPr>
            <w:tcW w:w="1040" w:type="dxa"/>
            <w:vAlign w:val="bottom"/>
            <w:shd w:val="clear" w:color="auto" w:fill="CFF0FC"/>
          </w:tcPr>
          <w:p>
            <w:pPr>
              <w:jc w:val="right"/>
              <w:ind w:right="57"/>
              <w:spacing w:after="0"/>
              <w:rPr>
                <w:sz w:val="20"/>
                <w:szCs w:val="20"/>
                <w:color w:val="auto"/>
              </w:rPr>
            </w:pPr>
            <w:r>
              <w:rPr>
                <w:rFonts w:ascii="Arial" w:cs="Arial" w:eastAsia="Arial" w:hAnsi="Arial"/>
                <w:sz w:val="13"/>
                <w:szCs w:val="13"/>
                <w:b w:val="1"/>
                <w:bCs w:val="1"/>
                <w:color w:val="auto"/>
              </w:rPr>
              <w:t>997,354</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3"/>
                <w:szCs w:val="13"/>
                <w:b w:val="1"/>
                <w:bCs w:val="1"/>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(372,164 )</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3"/>
                <w:szCs w:val="13"/>
                <w:b w:val="1"/>
                <w:bCs w:val="1"/>
                <w:color w:val="auto"/>
              </w:rPr>
              <w:t>$</w:t>
            </w:r>
          </w:p>
        </w:tc>
        <w:tc>
          <w:tcPr>
            <w:tcW w:w="1360" w:type="dxa"/>
            <w:vAlign w:val="bottom"/>
            <w:shd w:val="clear" w:color="auto" w:fill="CFF0FC"/>
          </w:tcPr>
          <w:p>
            <w:pPr>
              <w:jc w:val="right"/>
              <w:ind w:right="57"/>
              <w:spacing w:after="0"/>
              <w:rPr>
                <w:sz w:val="20"/>
                <w:szCs w:val="20"/>
                <w:color w:val="auto"/>
              </w:rPr>
            </w:pPr>
            <w:r>
              <w:rPr>
                <w:rFonts w:ascii="Arial" w:cs="Arial" w:eastAsia="Arial" w:hAnsi="Arial"/>
                <w:sz w:val="13"/>
                <w:szCs w:val="13"/>
                <w:b w:val="1"/>
                <w:bCs w:val="1"/>
                <w:color w:val="auto"/>
              </w:rPr>
              <w:t>625,190</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3"/>
                <w:szCs w:val="13"/>
                <w:b w:val="1"/>
                <w:bCs w:val="1"/>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(22,729 )</w:t>
            </w:r>
          </w:p>
        </w:tc>
        <w:tc>
          <w:tcPr>
            <w:tcW w:w="280" w:type="dxa"/>
            <w:vAlign w:val="bottom"/>
            <w:gridSpan w:val="2"/>
            <w:shd w:val="clear" w:color="auto" w:fill="CFF0FC"/>
          </w:tcPr>
          <w:p>
            <w:pPr>
              <w:jc w:val="right"/>
              <w:ind w:right="28"/>
              <w:spacing w:after="0"/>
              <w:rPr>
                <w:sz w:val="20"/>
                <w:szCs w:val="20"/>
                <w:color w:val="auto"/>
              </w:rPr>
            </w:pPr>
            <w:r>
              <w:rPr>
                <w:rFonts w:ascii="Arial" w:cs="Arial" w:eastAsia="Arial" w:hAnsi="Arial"/>
                <w:sz w:val="13"/>
                <w:szCs w:val="13"/>
                <w:b w:val="1"/>
                <w:bCs w:val="1"/>
                <w:color w:val="auto"/>
              </w:rPr>
              <w:t>$</w:t>
            </w:r>
          </w:p>
        </w:tc>
        <w:tc>
          <w:tcPr>
            <w:tcW w:w="740" w:type="dxa"/>
            <w:vAlign w:val="bottom"/>
            <w:shd w:val="clear" w:color="auto" w:fill="CFF0FC"/>
          </w:tcPr>
          <w:p>
            <w:pPr>
              <w:jc w:val="right"/>
              <w:ind w:right="57"/>
              <w:spacing w:after="0"/>
              <w:rPr>
                <w:sz w:val="20"/>
                <w:szCs w:val="20"/>
                <w:color w:val="auto"/>
              </w:rPr>
            </w:pPr>
            <w:r>
              <w:rPr>
                <w:rFonts w:ascii="Arial" w:cs="Arial" w:eastAsia="Arial" w:hAnsi="Arial"/>
                <w:sz w:val="13"/>
                <w:szCs w:val="13"/>
                <w:b w:val="1"/>
                <w:bCs w:val="1"/>
                <w:color w:val="auto"/>
              </w:rPr>
              <w:t>602,461</w:t>
            </w:r>
          </w:p>
        </w:tc>
        <w:tc>
          <w:tcPr>
            <w:tcW w:w="0" w:type="dxa"/>
            <w:vAlign w:val="bottom"/>
          </w:tcPr>
          <w:p>
            <w:pPr>
              <w:spacing w:after="0"/>
              <w:rPr>
                <w:sz w:val="1"/>
                <w:szCs w:val="1"/>
                <w:color w:val="auto"/>
              </w:rPr>
            </w:pPr>
          </w:p>
        </w:tc>
      </w:tr>
      <w:tr>
        <w:trPr>
          <w:trHeight w:val="162"/>
        </w:trPr>
        <w:tc>
          <w:tcPr>
            <w:tcW w:w="26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660" w:type="dxa"/>
            <w:vAlign w:val="bottom"/>
            <w:shd w:val="clear" w:color="auto" w:fill="CFF0FC"/>
          </w:tcPr>
          <w:p>
            <w:pPr>
              <w:ind w:left="20"/>
              <w:spacing w:after="0"/>
              <w:rPr>
                <w:sz w:val="20"/>
                <w:szCs w:val="20"/>
                <w:color w:val="auto"/>
              </w:rPr>
            </w:pPr>
            <w:r>
              <w:rPr>
                <w:rFonts w:ascii="Arial" w:cs="Arial" w:eastAsia="Arial" w:hAnsi="Arial"/>
                <w:sz w:val="13"/>
                <w:szCs w:val="13"/>
                <w:color w:val="auto"/>
              </w:rPr>
              <w:t>Equity-based compensation (1)</w:t>
            </w:r>
          </w:p>
        </w:tc>
        <w:tc>
          <w:tcPr>
            <w:tcW w:w="1300" w:type="dxa"/>
            <w:vAlign w:val="bottom"/>
            <w:vMerge w:val="restart"/>
            <w:shd w:val="clear" w:color="auto" w:fill="CFF0FC"/>
          </w:tcPr>
          <w:p>
            <w:pPr>
              <w:jc w:val="right"/>
              <w:ind w:right="77"/>
              <w:spacing w:after="0"/>
              <w:rPr>
                <w:sz w:val="20"/>
                <w:szCs w:val="20"/>
                <w:color w:val="auto"/>
              </w:rPr>
            </w:pPr>
            <w:r>
              <w:rPr>
                <w:rFonts w:ascii="Arial" w:cs="Arial" w:eastAsia="Arial" w:hAnsi="Arial"/>
                <w:sz w:val="13"/>
                <w:szCs w:val="13"/>
                <w:color w:val="auto"/>
              </w:rPr>
              <w:t>317,191</w:t>
            </w:r>
          </w:p>
        </w:tc>
        <w:tc>
          <w:tcPr>
            <w:tcW w:w="120" w:type="dxa"/>
            <w:vAlign w:val="bottom"/>
            <w:shd w:val="clear" w:color="auto" w:fill="CFF0FC"/>
          </w:tcPr>
          <w:p>
            <w:pPr>
              <w:spacing w:after="0"/>
              <w:rPr>
                <w:sz w:val="13"/>
                <w:szCs w:val="13"/>
                <w:color w:val="auto"/>
              </w:rPr>
            </w:pPr>
          </w:p>
        </w:tc>
        <w:tc>
          <w:tcPr>
            <w:tcW w:w="1160" w:type="dxa"/>
            <w:vAlign w:val="bottom"/>
            <w:vMerge w:val="restart"/>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40" w:type="dxa"/>
            <w:vAlign w:val="bottom"/>
            <w:vMerge w:val="restart"/>
            <w:shd w:val="clear" w:color="auto" w:fill="CFF0FC"/>
          </w:tcPr>
          <w:p>
            <w:pPr>
              <w:jc w:val="right"/>
              <w:ind w:right="57"/>
              <w:spacing w:after="0"/>
              <w:rPr>
                <w:sz w:val="20"/>
                <w:szCs w:val="20"/>
                <w:color w:val="auto"/>
              </w:rPr>
            </w:pPr>
            <w:r>
              <w:rPr>
                <w:rFonts w:ascii="Arial" w:cs="Arial" w:eastAsia="Arial" w:hAnsi="Arial"/>
                <w:sz w:val="13"/>
                <w:szCs w:val="13"/>
                <w:color w:val="auto"/>
              </w:rPr>
              <w:t>2,864</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vMerge w:val="restart"/>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360" w:type="dxa"/>
            <w:vAlign w:val="bottom"/>
            <w:vMerge w:val="restart"/>
            <w:shd w:val="clear" w:color="auto" w:fill="CFF0FC"/>
          </w:tcPr>
          <w:p>
            <w:pPr>
              <w:jc w:val="right"/>
              <w:ind w:right="57"/>
              <w:spacing w:after="0"/>
              <w:rPr>
                <w:sz w:val="20"/>
                <w:szCs w:val="20"/>
                <w:color w:val="auto"/>
              </w:rPr>
            </w:pPr>
            <w:r>
              <w:rPr>
                <w:rFonts w:ascii="Arial" w:cs="Arial" w:eastAsia="Arial" w:hAnsi="Arial"/>
                <w:sz w:val="13"/>
                <w:szCs w:val="13"/>
                <w:color w:val="auto"/>
              </w:rPr>
              <w:t>2,864</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40" w:type="dxa"/>
            <w:vAlign w:val="bottom"/>
            <w:vMerge w:val="restart"/>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vMerge w:val="restart"/>
            <w:shd w:val="clear" w:color="auto" w:fill="CFF0FC"/>
          </w:tcPr>
          <w:p>
            <w:pPr>
              <w:jc w:val="right"/>
              <w:ind w:right="57"/>
              <w:spacing w:after="0"/>
              <w:rPr>
                <w:sz w:val="20"/>
                <w:szCs w:val="20"/>
                <w:color w:val="auto"/>
              </w:rPr>
            </w:pPr>
            <w:r>
              <w:rPr>
                <w:rFonts w:ascii="Arial" w:cs="Arial" w:eastAsia="Arial" w:hAnsi="Arial"/>
                <w:sz w:val="13"/>
                <w:szCs w:val="13"/>
                <w:color w:val="auto"/>
              </w:rPr>
              <w:t>2,864</w:t>
            </w:r>
          </w:p>
        </w:tc>
        <w:tc>
          <w:tcPr>
            <w:tcW w:w="0" w:type="dxa"/>
            <w:vAlign w:val="bottom"/>
          </w:tcPr>
          <w:p>
            <w:pPr>
              <w:spacing w:after="0"/>
              <w:rPr>
                <w:sz w:val="1"/>
                <w:szCs w:val="1"/>
                <w:color w:val="auto"/>
              </w:rPr>
            </w:pPr>
          </w:p>
        </w:tc>
      </w:tr>
      <w:tr>
        <w:trPr>
          <w:trHeight w:val="139"/>
        </w:trPr>
        <w:tc>
          <w:tcPr>
            <w:tcW w:w="2660" w:type="dxa"/>
            <w:vAlign w:val="bottom"/>
            <w:shd w:val="clear" w:color="auto" w:fill="CFF0FC"/>
          </w:tcPr>
          <w:p>
            <w:pPr>
              <w:spacing w:after="0"/>
              <w:rPr>
                <w:sz w:val="12"/>
                <w:szCs w:val="12"/>
                <w:color w:val="auto"/>
              </w:rPr>
            </w:pPr>
          </w:p>
        </w:tc>
        <w:tc>
          <w:tcPr>
            <w:tcW w:w="1300" w:type="dxa"/>
            <w:vAlign w:val="bottom"/>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60" w:type="dxa"/>
            <w:vAlign w:val="bottom"/>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40" w:type="dxa"/>
            <w:vAlign w:val="bottom"/>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360" w:type="dxa"/>
            <w:vAlign w:val="bottom"/>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vMerge w:val="continue"/>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660" w:type="dxa"/>
            <w:vAlign w:val="bottom"/>
          </w:tcPr>
          <w:p>
            <w:pPr>
              <w:ind w:left="20"/>
              <w:spacing w:after="0" w:line="121" w:lineRule="exact"/>
              <w:rPr>
                <w:sz w:val="20"/>
                <w:szCs w:val="20"/>
                <w:color w:val="auto"/>
              </w:rPr>
            </w:pPr>
            <w:r>
              <w:rPr>
                <w:rFonts w:ascii="Arial" w:cs="Arial" w:eastAsia="Arial" w:hAnsi="Arial"/>
                <w:sz w:val="13"/>
                <w:szCs w:val="13"/>
                <w:color w:val="auto"/>
              </w:rPr>
              <w:t>Issuance of shares in connection with</w:t>
            </w:r>
          </w:p>
        </w:tc>
        <w:tc>
          <w:tcPr>
            <w:tcW w:w="1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660" w:type="dxa"/>
            <w:vAlign w:val="bottom"/>
          </w:tcPr>
          <w:p>
            <w:pPr>
              <w:ind w:left="20"/>
              <w:spacing w:after="0"/>
              <w:rPr>
                <w:sz w:val="20"/>
                <w:szCs w:val="20"/>
                <w:color w:val="auto"/>
              </w:rPr>
            </w:pPr>
            <w:r>
              <w:rPr>
                <w:rFonts w:ascii="Arial" w:cs="Arial" w:eastAsia="Arial" w:hAnsi="Arial"/>
                <w:sz w:val="13"/>
                <w:szCs w:val="13"/>
                <w:color w:val="auto"/>
              </w:rPr>
              <w:t>acquisitions</w:t>
            </w:r>
          </w:p>
        </w:tc>
        <w:tc>
          <w:tcPr>
            <w:tcW w:w="1300" w:type="dxa"/>
            <w:vAlign w:val="bottom"/>
          </w:tcPr>
          <w:p>
            <w:pPr>
              <w:jc w:val="right"/>
              <w:ind w:right="77"/>
              <w:spacing w:after="0"/>
              <w:rPr>
                <w:sz w:val="20"/>
                <w:szCs w:val="20"/>
                <w:color w:val="auto"/>
              </w:rPr>
            </w:pPr>
            <w:r>
              <w:rPr>
                <w:rFonts w:ascii="Arial" w:cs="Arial" w:eastAsia="Arial" w:hAnsi="Arial"/>
                <w:sz w:val="13"/>
                <w:szCs w:val="13"/>
                <w:color w:val="auto"/>
              </w:rPr>
              <w:t>1,701,633</w:t>
            </w:r>
          </w:p>
        </w:tc>
        <w:tc>
          <w:tcPr>
            <w:tcW w:w="120" w:type="dxa"/>
            <w:vAlign w:val="bottom"/>
          </w:tcPr>
          <w:p>
            <w:pPr>
              <w:spacing w:after="0"/>
              <w:rPr>
                <w:sz w:val="14"/>
                <w:szCs w:val="14"/>
                <w:color w:val="auto"/>
              </w:rPr>
            </w:pPr>
          </w:p>
        </w:tc>
        <w:tc>
          <w:tcPr>
            <w:tcW w:w="116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ind w:right="57"/>
              <w:spacing w:after="0"/>
              <w:rPr>
                <w:sz w:val="20"/>
                <w:szCs w:val="20"/>
                <w:color w:val="auto"/>
              </w:rPr>
            </w:pPr>
            <w:r>
              <w:rPr>
                <w:rFonts w:ascii="Arial" w:cs="Arial" w:eastAsia="Arial" w:hAnsi="Arial"/>
                <w:sz w:val="13"/>
                <w:szCs w:val="13"/>
                <w:color w:val="auto"/>
              </w:rPr>
              <w:t>690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jc w:val="right"/>
              <w:ind w:right="57"/>
              <w:spacing w:after="0"/>
              <w:rPr>
                <w:sz w:val="20"/>
                <w:szCs w:val="20"/>
                <w:color w:val="auto"/>
              </w:rPr>
            </w:pPr>
            <w:r>
              <w:rPr>
                <w:rFonts w:ascii="Arial" w:cs="Arial" w:eastAsia="Arial" w:hAnsi="Arial"/>
                <w:sz w:val="13"/>
                <w:szCs w:val="13"/>
                <w:color w:val="auto"/>
              </w:rPr>
              <w:t>690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690</w:t>
            </w:r>
          </w:p>
        </w:tc>
        <w:tc>
          <w:tcPr>
            <w:tcW w:w="0" w:type="dxa"/>
            <w:vAlign w:val="bottom"/>
          </w:tcPr>
          <w:p>
            <w:pPr>
              <w:spacing w:after="0"/>
              <w:rPr>
                <w:sz w:val="1"/>
                <w:szCs w:val="1"/>
                <w:color w:val="auto"/>
              </w:rPr>
            </w:pPr>
          </w:p>
        </w:tc>
      </w:tr>
      <w:tr>
        <w:trPr>
          <w:trHeight w:val="171"/>
        </w:trPr>
        <w:tc>
          <w:tcPr>
            <w:tcW w:w="2660" w:type="dxa"/>
            <w:vAlign w:val="bottom"/>
            <w:shd w:val="clear" w:color="auto" w:fill="CFF0FC"/>
          </w:tcPr>
          <w:p>
            <w:pPr>
              <w:ind w:left="20"/>
              <w:spacing w:after="0"/>
              <w:rPr>
                <w:sz w:val="20"/>
                <w:szCs w:val="20"/>
                <w:color w:val="auto"/>
              </w:rPr>
            </w:pPr>
            <w:r>
              <w:rPr>
                <w:rFonts w:ascii="Arial" w:cs="Arial" w:eastAsia="Arial" w:hAnsi="Arial"/>
                <w:sz w:val="13"/>
                <w:szCs w:val="13"/>
                <w:color w:val="auto"/>
              </w:rPr>
              <w:t>Conversion between classes of shares</w:t>
            </w:r>
          </w:p>
        </w:tc>
        <w:tc>
          <w:tcPr>
            <w:tcW w:w="13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558,266</w:t>
            </w: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(558,266 )</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36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2660" w:type="dxa"/>
            <w:vAlign w:val="bottom"/>
          </w:tcPr>
          <w:p>
            <w:pPr>
              <w:ind w:left="20"/>
              <w:spacing w:after="0"/>
              <w:rPr>
                <w:sz w:val="20"/>
                <w:szCs w:val="20"/>
                <w:color w:val="auto"/>
              </w:rPr>
            </w:pPr>
            <w:r>
              <w:rPr>
                <w:rFonts w:ascii="Arial" w:cs="Arial" w:eastAsia="Arial" w:hAnsi="Arial"/>
                <w:sz w:val="13"/>
                <w:szCs w:val="13"/>
                <w:color w:val="auto"/>
              </w:rPr>
              <w:t>Cancellation of restricted stock awards</w:t>
            </w:r>
          </w:p>
        </w:tc>
        <w:tc>
          <w:tcPr>
            <w:tcW w:w="1300" w:type="dxa"/>
            <w:vAlign w:val="bottom"/>
          </w:tcPr>
          <w:p>
            <w:pPr>
              <w:jc w:val="right"/>
              <w:spacing w:after="0"/>
              <w:rPr>
                <w:sz w:val="20"/>
                <w:szCs w:val="20"/>
                <w:color w:val="auto"/>
              </w:rPr>
            </w:pPr>
            <w:r>
              <w:rPr>
                <w:rFonts w:ascii="Arial" w:cs="Arial" w:eastAsia="Arial" w:hAnsi="Arial"/>
                <w:sz w:val="13"/>
                <w:szCs w:val="13"/>
                <w:color w:val="auto"/>
              </w:rPr>
              <w:t>(12,449 )</w:t>
            </w:r>
          </w:p>
        </w:tc>
        <w:tc>
          <w:tcPr>
            <w:tcW w:w="1280" w:type="dxa"/>
            <w:vAlign w:val="bottom"/>
            <w:gridSpan w:val="2"/>
          </w:tcPr>
          <w:p>
            <w:pPr>
              <w:jc w:val="right"/>
              <w:spacing w:after="0"/>
              <w:rPr>
                <w:sz w:val="20"/>
                <w:szCs w:val="20"/>
                <w:color w:val="auto"/>
              </w:rPr>
            </w:pPr>
            <w:r>
              <w:rPr>
                <w:rFonts w:ascii="Arial" w:cs="Arial" w:eastAsia="Arial" w:hAnsi="Arial"/>
                <w:sz w:val="13"/>
                <w:szCs w:val="13"/>
                <w:color w:val="auto"/>
              </w:rPr>
              <w:t>(3,435 )</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2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Net loss</w:t>
            </w:r>
          </w:p>
        </w:tc>
        <w:tc>
          <w:tcPr>
            <w:tcW w:w="1300" w:type="dxa"/>
            <w:vAlign w:val="bottom"/>
            <w:tcBorders>
              <w:bottom w:val="single" w:sz="8" w:color="auto"/>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160" w:type="dxa"/>
            <w:vAlign w:val="bottom"/>
            <w:tcBorders>
              <w:bottom w:val="single" w:sz="8" w:color="auto"/>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(42,896 )</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(42,896 )</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(1,474 )</w:t>
            </w:r>
          </w:p>
        </w:tc>
        <w:tc>
          <w:tcPr>
            <w:tcW w:w="14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(44,370 )</w:t>
            </w:r>
          </w:p>
        </w:tc>
        <w:tc>
          <w:tcPr>
            <w:tcW w:w="0" w:type="dxa"/>
            <w:vAlign w:val="bottom"/>
          </w:tcPr>
          <w:p>
            <w:pPr>
              <w:spacing w:after="0"/>
              <w:rPr>
                <w:sz w:val="1"/>
                <w:szCs w:val="1"/>
                <w:color w:val="auto"/>
              </w:rPr>
            </w:pPr>
          </w:p>
        </w:tc>
      </w:tr>
      <w:tr>
        <w:trPr>
          <w:trHeight w:val="157"/>
        </w:trPr>
        <w:tc>
          <w:tcPr>
            <w:tcW w:w="2660" w:type="dxa"/>
            <w:vAlign w:val="bottom"/>
          </w:tcPr>
          <w:p>
            <w:pPr>
              <w:ind w:left="20"/>
              <w:spacing w:after="0"/>
              <w:rPr>
                <w:sz w:val="20"/>
                <w:szCs w:val="20"/>
                <w:color w:val="auto"/>
              </w:rPr>
            </w:pPr>
            <w:r>
              <w:rPr>
                <w:rFonts w:ascii="Arial" w:cs="Arial" w:eastAsia="Arial" w:hAnsi="Arial"/>
                <w:sz w:val="13"/>
                <w:szCs w:val="13"/>
                <w:b w:val="1"/>
                <w:bCs w:val="1"/>
                <w:color w:val="auto"/>
              </w:rPr>
              <w:t>Balance, September 30, 2021</w:t>
            </w:r>
          </w:p>
        </w:tc>
        <w:tc>
          <w:tcPr>
            <w:tcW w:w="1300" w:type="dxa"/>
            <w:vAlign w:val="bottom"/>
          </w:tcPr>
          <w:p>
            <w:pPr>
              <w:jc w:val="right"/>
              <w:ind w:right="77"/>
              <w:spacing w:after="0"/>
              <w:rPr>
                <w:sz w:val="20"/>
                <w:szCs w:val="20"/>
                <w:color w:val="auto"/>
              </w:rPr>
            </w:pPr>
            <w:r>
              <w:rPr>
                <w:rFonts w:ascii="Arial" w:cs="Arial" w:eastAsia="Arial" w:hAnsi="Arial"/>
                <w:sz w:val="13"/>
                <w:szCs w:val="13"/>
                <w:b w:val="1"/>
                <w:bCs w:val="1"/>
                <w:color w:val="auto"/>
              </w:rPr>
              <w:t>350,634,738</w:t>
            </w:r>
          </w:p>
        </w:tc>
        <w:tc>
          <w:tcPr>
            <w:tcW w:w="1280" w:type="dxa"/>
            <w:vAlign w:val="bottom"/>
            <w:gridSpan w:val="2"/>
          </w:tcPr>
          <w:p>
            <w:pPr>
              <w:jc w:val="right"/>
              <w:ind w:right="77"/>
              <w:spacing w:after="0"/>
              <w:rPr>
                <w:sz w:val="20"/>
                <w:szCs w:val="20"/>
                <w:color w:val="auto"/>
              </w:rPr>
            </w:pPr>
            <w:r>
              <w:rPr>
                <w:rFonts w:ascii="Arial" w:cs="Arial" w:eastAsia="Arial" w:hAnsi="Arial"/>
                <w:sz w:val="13"/>
                <w:szCs w:val="13"/>
                <w:b w:val="1"/>
                <w:bCs w:val="1"/>
                <w:color w:val="auto"/>
              </w:rPr>
              <w:t>14,786,187</w:t>
            </w:r>
          </w:p>
        </w:tc>
        <w:tc>
          <w:tcPr>
            <w:tcW w:w="200" w:type="dxa"/>
            <w:vAlign w:val="bottom"/>
            <w:gridSpan w:val="2"/>
          </w:tcPr>
          <w:p>
            <w:pPr>
              <w:jc w:val="right"/>
              <w:spacing w:after="0"/>
              <w:rPr>
                <w:sz w:val="20"/>
                <w:szCs w:val="20"/>
                <w:color w:val="auto"/>
              </w:rPr>
            </w:pPr>
            <w:r>
              <w:rPr>
                <w:rFonts w:ascii="Arial" w:cs="Arial" w:eastAsia="Arial" w:hAnsi="Arial"/>
                <w:sz w:val="13"/>
                <w:szCs w:val="13"/>
                <w:b w:val="1"/>
                <w:bCs w:val="1"/>
                <w:color w:val="auto"/>
              </w:rPr>
              <w:t>$</w:t>
            </w:r>
          </w:p>
        </w:tc>
        <w:tc>
          <w:tcPr>
            <w:tcW w:w="1040" w:type="dxa"/>
            <w:vAlign w:val="bottom"/>
          </w:tcPr>
          <w:p>
            <w:pPr>
              <w:jc w:val="right"/>
              <w:ind w:right="57"/>
              <w:spacing w:after="0"/>
              <w:rPr>
                <w:sz w:val="20"/>
                <w:szCs w:val="20"/>
                <w:color w:val="auto"/>
              </w:rPr>
            </w:pPr>
            <w:r>
              <w:rPr>
                <w:rFonts w:ascii="Arial" w:cs="Arial" w:eastAsia="Arial" w:hAnsi="Arial"/>
                <w:sz w:val="13"/>
                <w:szCs w:val="13"/>
                <w:b w:val="1"/>
                <w:bCs w:val="1"/>
                <w:color w:val="auto"/>
              </w:rPr>
              <w:t>1,000,908</w:t>
            </w:r>
          </w:p>
        </w:tc>
        <w:tc>
          <w:tcPr>
            <w:tcW w:w="220" w:type="dxa"/>
            <w:vAlign w:val="bottom"/>
            <w:gridSpan w:val="2"/>
          </w:tcPr>
          <w:p>
            <w:pPr>
              <w:jc w:val="right"/>
              <w:spacing w:after="0"/>
              <w:rPr>
                <w:sz w:val="20"/>
                <w:szCs w:val="20"/>
                <w:color w:val="auto"/>
              </w:rPr>
            </w:pPr>
            <w:r>
              <w:rPr>
                <w:rFonts w:ascii="Arial" w:cs="Arial" w:eastAsia="Arial" w:hAnsi="Arial"/>
                <w:sz w:val="13"/>
                <w:szCs w:val="13"/>
                <w:b w:val="1"/>
                <w:bCs w:val="1"/>
                <w:color w:val="auto"/>
              </w:rPr>
              <w:t>$</w:t>
            </w: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(415,060 )</w:t>
            </w:r>
          </w:p>
        </w:tc>
        <w:tc>
          <w:tcPr>
            <w:tcW w:w="200" w:type="dxa"/>
            <w:vAlign w:val="bottom"/>
            <w:gridSpan w:val="2"/>
          </w:tcPr>
          <w:p>
            <w:pPr>
              <w:jc w:val="right"/>
              <w:spacing w:after="0"/>
              <w:rPr>
                <w:sz w:val="20"/>
                <w:szCs w:val="20"/>
                <w:color w:val="auto"/>
              </w:rPr>
            </w:pPr>
            <w:r>
              <w:rPr>
                <w:rFonts w:ascii="Arial" w:cs="Arial" w:eastAsia="Arial" w:hAnsi="Arial"/>
                <w:sz w:val="13"/>
                <w:szCs w:val="13"/>
                <w:b w:val="1"/>
                <w:bCs w:val="1"/>
                <w:color w:val="auto"/>
              </w:rPr>
              <w:t>$</w:t>
            </w:r>
          </w:p>
        </w:tc>
        <w:tc>
          <w:tcPr>
            <w:tcW w:w="1360" w:type="dxa"/>
            <w:vAlign w:val="bottom"/>
          </w:tcPr>
          <w:p>
            <w:pPr>
              <w:jc w:val="right"/>
              <w:ind w:right="57"/>
              <w:spacing w:after="0"/>
              <w:rPr>
                <w:sz w:val="20"/>
                <w:szCs w:val="20"/>
                <w:color w:val="auto"/>
              </w:rPr>
            </w:pPr>
            <w:r>
              <w:rPr>
                <w:rFonts w:ascii="Arial" w:cs="Arial" w:eastAsia="Arial" w:hAnsi="Arial"/>
                <w:sz w:val="13"/>
                <w:szCs w:val="13"/>
                <w:b w:val="1"/>
                <w:bCs w:val="1"/>
                <w:color w:val="auto"/>
              </w:rPr>
              <w:t>585,848</w:t>
            </w:r>
          </w:p>
        </w:tc>
        <w:tc>
          <w:tcPr>
            <w:tcW w:w="200" w:type="dxa"/>
            <w:vAlign w:val="bottom"/>
            <w:gridSpan w:val="2"/>
          </w:tcPr>
          <w:p>
            <w:pPr>
              <w:jc w:val="right"/>
              <w:spacing w:after="0"/>
              <w:rPr>
                <w:sz w:val="20"/>
                <w:szCs w:val="20"/>
                <w:color w:val="auto"/>
              </w:rPr>
            </w:pPr>
            <w:r>
              <w:rPr>
                <w:rFonts w:ascii="Arial" w:cs="Arial" w:eastAsia="Arial" w:hAnsi="Arial"/>
                <w:sz w:val="13"/>
                <w:szCs w:val="13"/>
                <w:b w:val="1"/>
                <w:bCs w:val="1"/>
                <w:color w:val="auto"/>
              </w:rPr>
              <w:t>$</w:t>
            </w: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(24,203 )</w:t>
            </w:r>
          </w:p>
        </w:tc>
        <w:tc>
          <w:tcPr>
            <w:tcW w:w="280" w:type="dxa"/>
            <w:vAlign w:val="bottom"/>
            <w:gridSpan w:val="2"/>
          </w:tcPr>
          <w:p>
            <w:pPr>
              <w:jc w:val="right"/>
              <w:ind w:right="28"/>
              <w:spacing w:after="0"/>
              <w:rPr>
                <w:sz w:val="20"/>
                <w:szCs w:val="20"/>
                <w:color w:val="auto"/>
              </w:rPr>
            </w:pPr>
            <w:r>
              <w:rPr>
                <w:rFonts w:ascii="Arial" w:cs="Arial" w:eastAsia="Arial" w:hAnsi="Arial"/>
                <w:sz w:val="13"/>
                <w:szCs w:val="13"/>
                <w:b w:val="1"/>
                <w:bCs w:val="1"/>
                <w:color w:val="auto"/>
              </w:rPr>
              <w:t>$</w:t>
            </w:r>
          </w:p>
        </w:tc>
        <w:tc>
          <w:tcPr>
            <w:tcW w:w="740" w:type="dxa"/>
            <w:vAlign w:val="bottom"/>
          </w:tcPr>
          <w:p>
            <w:pPr>
              <w:jc w:val="right"/>
              <w:ind w:right="57"/>
              <w:spacing w:after="0"/>
              <w:rPr>
                <w:sz w:val="20"/>
                <w:szCs w:val="20"/>
                <w:color w:val="auto"/>
              </w:rPr>
            </w:pPr>
            <w:r>
              <w:rPr>
                <w:rFonts w:ascii="Arial" w:cs="Arial" w:eastAsia="Arial" w:hAnsi="Arial"/>
                <w:sz w:val="13"/>
                <w:szCs w:val="13"/>
                <w:b w:val="1"/>
                <w:bCs w:val="1"/>
                <w:color w:val="auto"/>
              </w:rPr>
              <w:t>561,645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1683385</wp:posOffset>
            </wp:positionH>
            <wp:positionV relativeFrom="paragraph">
              <wp:posOffset>-111125</wp:posOffset>
            </wp:positionV>
            <wp:extent cx="5454015"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454015" cy="137160"/>
                    </a:xfrm>
                    <a:prstGeom prst="rect">
                      <a:avLst/>
                    </a:prstGeom>
                    <a:noFill/>
                  </pic:spPr>
                </pic:pic>
              </a:graphicData>
            </a:graphic>
          </wp:anchor>
        </w:drawing>
      </w:r>
    </w:p>
    <w:p>
      <w:pPr>
        <w:spacing w:after="0" w:line="6" w:lineRule="exact"/>
        <w:rPr>
          <w:sz w:val="20"/>
          <w:szCs w:val="20"/>
          <w:color w:val="auto"/>
        </w:rPr>
      </w:pPr>
    </w:p>
    <w:p>
      <w:pPr>
        <w:ind w:left="380" w:hanging="372"/>
        <w:spacing w:after="0"/>
        <w:tabs>
          <w:tab w:leader="none" w:pos="380" w:val="left"/>
        </w:tabs>
        <w:numPr>
          <w:ilvl w:val="0"/>
          <w:numId w:val="5"/>
        </w:numPr>
        <w:rPr>
          <w:rFonts w:ascii="Arial" w:cs="Arial" w:eastAsia="Arial" w:hAnsi="Arial"/>
          <w:sz w:val="13"/>
          <w:szCs w:val="13"/>
          <w:color w:val="auto"/>
        </w:rPr>
      </w:pPr>
      <w:r>
        <w:rPr>
          <w:rFonts w:ascii="Arial" w:cs="Arial" w:eastAsia="Arial" w:hAnsi="Arial"/>
          <w:sz w:val="13"/>
          <w:szCs w:val="13"/>
          <w:color w:val="auto"/>
        </w:rPr>
        <w:t>The amounts shown are net of any shares withheld by the Company to satisfy certain tax withholdings in connection with vesting of equity-based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1683385</wp:posOffset>
            </wp:positionH>
            <wp:positionV relativeFrom="paragraph">
              <wp:posOffset>-93980</wp:posOffset>
            </wp:positionV>
            <wp:extent cx="54540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454015" cy="8255"/>
                    </a:xfrm>
                    <a:prstGeom prst="rect">
                      <a:avLst/>
                    </a:prstGeom>
                    <a:noFill/>
                  </pic:spPr>
                </pic:pic>
              </a:graphicData>
            </a:graphic>
          </wp:anchor>
        </w:drawing>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Interim Statements of Changes in Equity.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ind w:left="4640"/>
        <w:spacing w:after="0"/>
        <w:rPr>
          <w:sz w:val="20"/>
          <w:szCs w:val="20"/>
          <w:color w:val="auto"/>
        </w:rPr>
      </w:pPr>
      <w:r>
        <w:rPr>
          <w:rFonts w:ascii="Arial" w:cs="Arial" w:eastAsia="Arial" w:hAnsi="Arial"/>
          <w:sz w:val="18"/>
          <w:szCs w:val="18"/>
          <w:b w:val="1"/>
          <w:bCs w:val="1"/>
          <w:color w:val="auto"/>
        </w:rPr>
        <w:t>COLUMBIA CARE INC.</w:t>
      </w:r>
    </w:p>
    <w:p>
      <w:pPr>
        <w:spacing w:after="0" w:line="24"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CONDENSED INTERIM CONSOLIDATED STATEMENTS OF CASH FLOWS</w:t>
      </w:r>
    </w:p>
    <w:p>
      <w:pPr>
        <w:jc w:val="center"/>
        <w:spacing w:after="0" w:line="234" w:lineRule="auto"/>
        <w:rPr>
          <w:sz w:val="20"/>
          <w:szCs w:val="20"/>
          <w:color w:val="auto"/>
        </w:rPr>
      </w:pPr>
      <w:r>
        <w:rPr>
          <w:rFonts w:ascii="Arial" w:cs="Arial" w:eastAsia="Arial" w:hAnsi="Arial"/>
          <w:sz w:val="18"/>
          <w:szCs w:val="18"/>
          <w:color w:val="auto"/>
        </w:rPr>
        <w:t>(Unaudited)</w:t>
      </w: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800" w:type="dxa"/>
            <w:vAlign w:val="bottom"/>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w w:val="92"/>
              </w:rPr>
              <w:t>Nine Months Ended September 30,</w:t>
            </w:r>
          </w:p>
        </w:tc>
        <w:tc>
          <w:tcPr>
            <w:tcW w:w="1340" w:type="dxa"/>
            <w:vAlign w:val="bottom"/>
            <w:tcBorders>
              <w:bottom w:val="single" w:sz="8" w:color="auto"/>
            </w:tcBorders>
          </w:tcPr>
          <w:p>
            <w:pPr>
              <w:spacing w:after="0"/>
              <w:rPr>
                <w:sz w:val="13"/>
                <w:szCs w:val="13"/>
                <w:color w:val="auto"/>
              </w:rPr>
            </w:pPr>
          </w:p>
        </w:tc>
      </w:tr>
      <w:tr>
        <w:trPr>
          <w:trHeight w:val="145"/>
        </w:trPr>
        <w:tc>
          <w:tcPr>
            <w:tcW w:w="6800" w:type="dxa"/>
            <w:vAlign w:val="bottom"/>
          </w:tcPr>
          <w:p>
            <w:pPr>
              <w:spacing w:after="0"/>
              <w:rPr>
                <w:sz w:val="12"/>
                <w:szCs w:val="12"/>
                <w:color w:val="auto"/>
              </w:rPr>
            </w:pPr>
          </w:p>
        </w:tc>
        <w:tc>
          <w:tcPr>
            <w:tcW w:w="1200" w:type="dxa"/>
            <w:vAlign w:val="bottom"/>
            <w:tcBorders>
              <w:bottom w:val="single" w:sz="8" w:color="auto"/>
            </w:tcBorders>
          </w:tcPr>
          <w:p>
            <w:pPr>
              <w:jc w:val="right"/>
              <w:ind w:right="26"/>
              <w:spacing w:after="0"/>
              <w:rPr>
                <w:sz w:val="20"/>
                <w:szCs w:val="20"/>
                <w:color w:val="auto"/>
              </w:rPr>
            </w:pPr>
            <w:r>
              <w:rPr>
                <w:rFonts w:ascii="Arial" w:cs="Arial" w:eastAsia="Arial" w:hAnsi="Arial"/>
                <w:sz w:val="12"/>
                <w:szCs w:val="12"/>
                <w:b w:val="1"/>
                <w:bCs w:val="1"/>
                <w:color w:val="auto"/>
              </w:rPr>
              <w:t>2022</w:t>
            </w:r>
          </w:p>
        </w:tc>
        <w:tc>
          <w:tcPr>
            <w:tcW w:w="9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957"/>
              <w:spacing w:after="0"/>
              <w:rPr>
                <w:sz w:val="20"/>
                <w:szCs w:val="20"/>
                <w:color w:val="auto"/>
              </w:rPr>
            </w:pPr>
            <w:r>
              <w:rPr>
                <w:rFonts w:ascii="Arial" w:cs="Arial" w:eastAsia="Arial" w:hAnsi="Arial"/>
                <w:sz w:val="12"/>
                <w:szCs w:val="12"/>
                <w:b w:val="1"/>
                <w:bCs w:val="1"/>
                <w:color w:val="auto"/>
              </w:rPr>
              <w:t>2021</w:t>
            </w:r>
          </w:p>
        </w:tc>
      </w:tr>
      <w:tr>
        <w:trPr>
          <w:trHeight w:val="155"/>
        </w:trPr>
        <w:tc>
          <w:tcPr>
            <w:tcW w:w="680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Cash flows from operating activities:</w:t>
            </w:r>
          </w:p>
        </w:tc>
        <w:tc>
          <w:tcPr>
            <w:tcW w:w="12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r>
      <w:tr>
        <w:trPr>
          <w:trHeight w:val="160"/>
        </w:trPr>
        <w:tc>
          <w:tcPr>
            <w:tcW w:w="6800" w:type="dxa"/>
            <w:vAlign w:val="bottom"/>
          </w:tcPr>
          <w:p>
            <w:pPr>
              <w:ind w:left="20"/>
              <w:spacing w:after="0"/>
              <w:rPr>
                <w:sz w:val="20"/>
                <w:szCs w:val="20"/>
                <w:color w:val="auto"/>
              </w:rPr>
            </w:pPr>
            <w:r>
              <w:rPr>
                <w:rFonts w:ascii="Arial" w:cs="Arial" w:eastAsia="Arial" w:hAnsi="Arial"/>
                <w:sz w:val="13"/>
                <w:szCs w:val="13"/>
                <w:color w:val="auto"/>
              </w:rPr>
              <w:t>Net loss</w:t>
            </w:r>
          </w:p>
        </w:tc>
        <w:tc>
          <w:tcPr>
            <w:tcW w:w="1200" w:type="dxa"/>
            <w:vAlign w:val="bottom"/>
          </w:tcPr>
          <w:p>
            <w:pPr>
              <w:jc w:val="right"/>
              <w:ind w:right="1086"/>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(120,464 )</w:t>
            </w:r>
          </w:p>
        </w:tc>
        <w:tc>
          <w:tcPr>
            <w:tcW w:w="980" w:type="dxa"/>
            <w:vAlign w:val="bottom"/>
            <w:gridSpan w:val="2"/>
          </w:tcPr>
          <w:p>
            <w:pPr>
              <w:jc w:val="right"/>
              <w:ind w:right="697"/>
              <w:spacing w:after="0"/>
              <w:rPr>
                <w:sz w:val="20"/>
                <w:szCs w:val="20"/>
                <w:color w:val="auto"/>
              </w:rPr>
            </w:pPr>
            <w:r>
              <w:rPr>
                <w:rFonts w:ascii="Arial" w:cs="Arial" w:eastAsia="Arial" w:hAnsi="Arial"/>
                <w:sz w:val="13"/>
                <w:szCs w:val="13"/>
                <w:color w:val="auto"/>
              </w:rPr>
              <w:t>$</w:t>
            </w:r>
          </w:p>
        </w:tc>
        <w:tc>
          <w:tcPr>
            <w:tcW w:w="1340" w:type="dxa"/>
            <w:vAlign w:val="bottom"/>
          </w:tcPr>
          <w:p>
            <w:pPr>
              <w:jc w:val="right"/>
              <w:spacing w:after="0"/>
              <w:rPr>
                <w:sz w:val="20"/>
                <w:szCs w:val="20"/>
                <w:color w:val="auto"/>
              </w:rPr>
            </w:pPr>
            <w:r>
              <w:rPr>
                <w:rFonts w:ascii="Arial" w:cs="Arial" w:eastAsia="Arial" w:hAnsi="Arial"/>
                <w:sz w:val="13"/>
                <w:szCs w:val="13"/>
                <w:color w:val="auto"/>
              </w:rPr>
              <w:t>(92,190 )</w:t>
            </w:r>
          </w:p>
        </w:tc>
      </w:tr>
      <w:tr>
        <w:trPr>
          <w:trHeight w:val="164"/>
        </w:trPr>
        <w:tc>
          <w:tcPr>
            <w:tcW w:w="6800" w:type="dxa"/>
            <w:vAlign w:val="bottom"/>
            <w:shd w:val="clear" w:color="auto" w:fill="CFF0FC"/>
          </w:tcPr>
          <w:p>
            <w:pPr>
              <w:ind w:left="20"/>
              <w:spacing w:after="0"/>
              <w:rPr>
                <w:sz w:val="20"/>
                <w:szCs w:val="20"/>
                <w:color w:val="auto"/>
              </w:rPr>
            </w:pPr>
            <w:r>
              <w:rPr>
                <w:rFonts w:ascii="Arial" w:cs="Arial" w:eastAsia="Arial" w:hAnsi="Arial"/>
                <w:sz w:val="13"/>
                <w:szCs w:val="13"/>
                <w:color w:val="auto"/>
              </w:rPr>
              <w:t>Adjustments to reconcile net loss to net cash provided by (used in) operating activities:</w:t>
            </w:r>
          </w:p>
        </w:tc>
        <w:tc>
          <w:tcPr>
            <w:tcW w:w="12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r>
      <w:tr>
        <w:trPr>
          <w:trHeight w:val="160"/>
        </w:trPr>
        <w:tc>
          <w:tcPr>
            <w:tcW w:w="6800" w:type="dxa"/>
            <w:vAlign w:val="bottom"/>
          </w:tcPr>
          <w:p>
            <w:pPr>
              <w:ind w:left="160"/>
              <w:spacing w:after="0"/>
              <w:rPr>
                <w:sz w:val="20"/>
                <w:szCs w:val="20"/>
                <w:color w:val="auto"/>
              </w:rPr>
            </w:pPr>
            <w:r>
              <w:rPr>
                <w:rFonts w:ascii="Arial" w:cs="Arial" w:eastAsia="Arial" w:hAnsi="Arial"/>
                <w:sz w:val="13"/>
                <w:szCs w:val="13"/>
                <w:color w:val="auto"/>
              </w:rPr>
              <w:t>Depreciation and amortization</w:t>
            </w:r>
          </w:p>
        </w:tc>
        <w:tc>
          <w:tcPr>
            <w:tcW w:w="1200" w:type="dxa"/>
            <w:vAlign w:val="bottom"/>
          </w:tcPr>
          <w:p>
            <w:pPr>
              <w:spacing w:after="0"/>
              <w:rPr>
                <w:sz w:val="13"/>
                <w:szCs w:val="13"/>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63,077</w:t>
            </w: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jc w:val="right"/>
              <w:ind w:right="57"/>
              <w:spacing w:after="0"/>
              <w:rPr>
                <w:sz w:val="20"/>
                <w:szCs w:val="20"/>
                <w:color w:val="auto"/>
              </w:rPr>
            </w:pPr>
            <w:r>
              <w:rPr>
                <w:rFonts w:ascii="Arial" w:cs="Arial" w:eastAsia="Arial" w:hAnsi="Arial"/>
                <w:sz w:val="13"/>
                <w:szCs w:val="13"/>
                <w:color w:val="auto"/>
              </w:rPr>
              <w:t>33,801</w:t>
            </w:r>
          </w:p>
        </w:tc>
      </w:tr>
      <w:tr>
        <w:trPr>
          <w:trHeight w:val="164"/>
        </w:trPr>
        <w:tc>
          <w:tcPr>
            <w:tcW w:w="6800" w:type="dxa"/>
            <w:vAlign w:val="bottom"/>
            <w:shd w:val="clear" w:color="auto" w:fill="CFF0FC"/>
          </w:tcPr>
          <w:p>
            <w:pPr>
              <w:ind w:left="160"/>
              <w:spacing w:after="0"/>
              <w:rPr>
                <w:sz w:val="20"/>
                <w:szCs w:val="20"/>
                <w:color w:val="auto"/>
              </w:rPr>
            </w:pPr>
            <w:r>
              <w:rPr>
                <w:rFonts w:ascii="Arial" w:cs="Arial" w:eastAsia="Arial" w:hAnsi="Arial"/>
                <w:sz w:val="13"/>
                <w:szCs w:val="13"/>
                <w:color w:val="auto"/>
              </w:rPr>
              <w:t>Equity-based compensation</w:t>
            </w:r>
          </w:p>
        </w:tc>
        <w:tc>
          <w:tcPr>
            <w:tcW w:w="120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20,649</w:t>
            </w:r>
          </w:p>
        </w:tc>
        <w:tc>
          <w:tcPr>
            <w:tcW w:w="1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3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18,029</w:t>
            </w:r>
          </w:p>
        </w:tc>
      </w:tr>
      <w:tr>
        <w:trPr>
          <w:trHeight w:val="160"/>
        </w:trPr>
        <w:tc>
          <w:tcPr>
            <w:tcW w:w="6800" w:type="dxa"/>
            <w:vAlign w:val="bottom"/>
          </w:tcPr>
          <w:p>
            <w:pPr>
              <w:ind w:left="160"/>
              <w:spacing w:after="0"/>
              <w:rPr>
                <w:sz w:val="20"/>
                <w:szCs w:val="20"/>
                <w:color w:val="auto"/>
              </w:rPr>
            </w:pPr>
            <w:r>
              <w:rPr>
                <w:rFonts w:ascii="Arial" w:cs="Arial" w:eastAsia="Arial" w:hAnsi="Arial"/>
                <w:sz w:val="13"/>
                <w:szCs w:val="13"/>
                <w:color w:val="auto"/>
              </w:rPr>
              <w:t>Impairment of disposal group</w:t>
            </w:r>
          </w:p>
        </w:tc>
        <w:tc>
          <w:tcPr>
            <w:tcW w:w="1200" w:type="dxa"/>
            <w:vAlign w:val="bottom"/>
          </w:tcPr>
          <w:p>
            <w:pPr>
              <w:spacing w:after="0"/>
              <w:rPr>
                <w:sz w:val="13"/>
                <w:szCs w:val="13"/>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jc w:val="right"/>
              <w:ind w:right="57"/>
              <w:spacing w:after="0"/>
              <w:rPr>
                <w:sz w:val="20"/>
                <w:szCs w:val="20"/>
                <w:color w:val="auto"/>
              </w:rPr>
            </w:pPr>
            <w:r>
              <w:rPr>
                <w:rFonts w:ascii="Arial" w:cs="Arial" w:eastAsia="Arial" w:hAnsi="Arial"/>
                <w:sz w:val="13"/>
                <w:szCs w:val="13"/>
                <w:color w:val="auto"/>
              </w:rPr>
              <w:t>2,000</w:t>
            </w:r>
          </w:p>
        </w:tc>
      </w:tr>
      <w:tr>
        <w:trPr>
          <w:trHeight w:val="164"/>
        </w:trPr>
        <w:tc>
          <w:tcPr>
            <w:tcW w:w="6800" w:type="dxa"/>
            <w:vAlign w:val="bottom"/>
            <w:shd w:val="clear" w:color="auto" w:fill="CFF0FC"/>
          </w:tcPr>
          <w:p>
            <w:pPr>
              <w:ind w:left="160"/>
              <w:spacing w:after="0"/>
              <w:rPr>
                <w:sz w:val="20"/>
                <w:szCs w:val="20"/>
                <w:color w:val="auto"/>
              </w:rPr>
            </w:pPr>
            <w:r>
              <w:rPr>
                <w:rFonts w:ascii="Arial" w:cs="Arial" w:eastAsia="Arial" w:hAnsi="Arial"/>
                <w:sz w:val="13"/>
                <w:szCs w:val="13"/>
                <w:color w:val="auto"/>
              </w:rPr>
              <w:t>Debt amortization expense</w:t>
            </w:r>
          </w:p>
        </w:tc>
        <w:tc>
          <w:tcPr>
            <w:tcW w:w="120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6,278</w:t>
            </w:r>
          </w:p>
        </w:tc>
        <w:tc>
          <w:tcPr>
            <w:tcW w:w="1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3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4,129</w:t>
            </w:r>
          </w:p>
        </w:tc>
      </w:tr>
      <w:tr>
        <w:trPr>
          <w:trHeight w:val="160"/>
        </w:trPr>
        <w:tc>
          <w:tcPr>
            <w:tcW w:w="6800" w:type="dxa"/>
            <w:vAlign w:val="bottom"/>
          </w:tcPr>
          <w:p>
            <w:pPr>
              <w:ind w:left="160"/>
              <w:spacing w:after="0"/>
              <w:rPr>
                <w:sz w:val="20"/>
                <w:szCs w:val="20"/>
                <w:color w:val="auto"/>
              </w:rPr>
            </w:pPr>
            <w:r>
              <w:rPr>
                <w:rFonts w:ascii="Arial" w:cs="Arial" w:eastAsia="Arial" w:hAnsi="Arial"/>
                <w:sz w:val="13"/>
                <w:szCs w:val="13"/>
                <w:color w:val="auto"/>
              </w:rPr>
              <w:t>Loss on conversion of Convertible Notes</w:t>
            </w:r>
          </w:p>
        </w:tc>
        <w:tc>
          <w:tcPr>
            <w:tcW w:w="1200" w:type="dxa"/>
            <w:vAlign w:val="bottom"/>
          </w:tcPr>
          <w:p>
            <w:pPr>
              <w:spacing w:after="0"/>
              <w:rPr>
                <w:sz w:val="13"/>
                <w:szCs w:val="13"/>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jc w:val="right"/>
              <w:ind w:right="57"/>
              <w:spacing w:after="0"/>
              <w:rPr>
                <w:sz w:val="20"/>
                <w:szCs w:val="20"/>
                <w:color w:val="auto"/>
              </w:rPr>
            </w:pPr>
            <w:r>
              <w:rPr>
                <w:rFonts w:ascii="Arial" w:cs="Arial" w:eastAsia="Arial" w:hAnsi="Arial"/>
                <w:sz w:val="13"/>
                <w:szCs w:val="13"/>
                <w:color w:val="auto"/>
              </w:rPr>
              <w:t>1,580</w:t>
            </w:r>
          </w:p>
        </w:tc>
      </w:tr>
      <w:tr>
        <w:trPr>
          <w:trHeight w:val="164"/>
        </w:trPr>
        <w:tc>
          <w:tcPr>
            <w:tcW w:w="6800" w:type="dxa"/>
            <w:vAlign w:val="bottom"/>
            <w:shd w:val="clear" w:color="auto" w:fill="CFF0FC"/>
          </w:tcPr>
          <w:p>
            <w:pPr>
              <w:ind w:left="160"/>
              <w:spacing w:after="0"/>
              <w:rPr>
                <w:sz w:val="20"/>
                <w:szCs w:val="20"/>
                <w:color w:val="auto"/>
              </w:rPr>
            </w:pPr>
            <w:r>
              <w:rPr>
                <w:rFonts w:ascii="Arial" w:cs="Arial" w:eastAsia="Arial" w:hAnsi="Arial"/>
                <w:sz w:val="13"/>
                <w:szCs w:val="13"/>
                <w:color w:val="auto"/>
              </w:rPr>
              <w:t>Earnout adjustment</w:t>
            </w:r>
          </w:p>
        </w:tc>
        <w:tc>
          <w:tcPr>
            <w:tcW w:w="120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349</w:t>
            </w:r>
          </w:p>
        </w:tc>
        <w:tc>
          <w:tcPr>
            <w:tcW w:w="1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3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r>
      <w:tr>
        <w:trPr>
          <w:trHeight w:val="160"/>
        </w:trPr>
        <w:tc>
          <w:tcPr>
            <w:tcW w:w="6800" w:type="dxa"/>
            <w:vAlign w:val="bottom"/>
          </w:tcPr>
          <w:p>
            <w:pPr>
              <w:ind w:left="160"/>
              <w:spacing w:after="0"/>
              <w:rPr>
                <w:sz w:val="20"/>
                <w:szCs w:val="20"/>
                <w:color w:val="auto"/>
              </w:rPr>
            </w:pPr>
            <w:r>
              <w:rPr>
                <w:rFonts w:ascii="Arial" w:cs="Arial" w:eastAsia="Arial" w:hAnsi="Arial"/>
                <w:sz w:val="13"/>
                <w:szCs w:val="13"/>
                <w:color w:val="auto"/>
              </w:rPr>
              <w:t>Provision for obsolete inventory and other assets</w:t>
            </w:r>
          </w:p>
        </w:tc>
        <w:tc>
          <w:tcPr>
            <w:tcW w:w="1200" w:type="dxa"/>
            <w:vAlign w:val="bottom"/>
          </w:tcPr>
          <w:p>
            <w:pPr>
              <w:spacing w:after="0"/>
              <w:rPr>
                <w:sz w:val="13"/>
                <w:szCs w:val="13"/>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5,040</w:t>
            </w: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jc w:val="right"/>
              <w:ind w:right="57"/>
              <w:spacing w:after="0"/>
              <w:rPr>
                <w:sz w:val="20"/>
                <w:szCs w:val="20"/>
                <w:color w:val="auto"/>
              </w:rPr>
            </w:pPr>
            <w:r>
              <w:rPr>
                <w:rFonts w:ascii="Arial" w:cs="Arial" w:eastAsia="Arial" w:hAnsi="Arial"/>
                <w:sz w:val="13"/>
                <w:szCs w:val="13"/>
                <w:color w:val="auto"/>
              </w:rPr>
              <w:t>2,284</w:t>
            </w:r>
          </w:p>
        </w:tc>
      </w:tr>
      <w:tr>
        <w:trPr>
          <w:trHeight w:val="164"/>
        </w:trPr>
        <w:tc>
          <w:tcPr>
            <w:tcW w:w="6800" w:type="dxa"/>
            <w:vAlign w:val="bottom"/>
            <w:shd w:val="clear" w:color="auto" w:fill="CFF0FC"/>
          </w:tcPr>
          <w:p>
            <w:pPr>
              <w:ind w:left="160"/>
              <w:spacing w:after="0"/>
              <w:rPr>
                <w:sz w:val="20"/>
                <w:szCs w:val="20"/>
                <w:color w:val="auto"/>
              </w:rPr>
            </w:pPr>
            <w:r>
              <w:rPr>
                <w:rFonts w:ascii="Arial" w:cs="Arial" w:eastAsia="Arial" w:hAnsi="Arial"/>
                <w:sz w:val="13"/>
                <w:szCs w:val="13"/>
                <w:color w:val="auto"/>
              </w:rPr>
              <w:t>Gain on remeasurement of contingent consideration</w:t>
            </w:r>
          </w:p>
        </w:tc>
        <w:tc>
          <w:tcPr>
            <w:tcW w:w="120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(37,362 )</w:t>
            </w:r>
          </w:p>
        </w:tc>
        <w:tc>
          <w:tcPr>
            <w:tcW w:w="1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(23,582 )</w:t>
            </w:r>
          </w:p>
        </w:tc>
      </w:tr>
      <w:tr>
        <w:trPr>
          <w:trHeight w:val="160"/>
        </w:trPr>
        <w:tc>
          <w:tcPr>
            <w:tcW w:w="6800" w:type="dxa"/>
            <w:vAlign w:val="bottom"/>
          </w:tcPr>
          <w:p>
            <w:pPr>
              <w:ind w:left="160"/>
              <w:spacing w:after="0"/>
              <w:rPr>
                <w:sz w:val="20"/>
                <w:szCs w:val="20"/>
                <w:color w:val="auto"/>
              </w:rPr>
            </w:pPr>
            <w:r>
              <w:rPr>
                <w:rFonts w:ascii="Arial" w:cs="Arial" w:eastAsia="Arial" w:hAnsi="Arial"/>
                <w:sz w:val="13"/>
                <w:szCs w:val="13"/>
                <w:color w:val="auto"/>
              </w:rPr>
              <w:t>Change in fair value of derivative liability</w:t>
            </w:r>
          </w:p>
        </w:tc>
        <w:tc>
          <w:tcPr>
            <w:tcW w:w="12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(5,940 )</w:t>
            </w: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(6,760 )</w:t>
            </w:r>
          </w:p>
        </w:tc>
      </w:tr>
      <w:tr>
        <w:trPr>
          <w:trHeight w:val="164"/>
        </w:trPr>
        <w:tc>
          <w:tcPr>
            <w:tcW w:w="6800" w:type="dxa"/>
            <w:vAlign w:val="bottom"/>
            <w:shd w:val="clear" w:color="auto" w:fill="CFF0FC"/>
          </w:tcPr>
          <w:p>
            <w:pPr>
              <w:ind w:left="160"/>
              <w:spacing w:after="0"/>
              <w:rPr>
                <w:sz w:val="20"/>
                <w:szCs w:val="20"/>
                <w:color w:val="auto"/>
              </w:rPr>
            </w:pPr>
            <w:r>
              <w:rPr>
                <w:rFonts w:ascii="Arial" w:cs="Arial" w:eastAsia="Arial" w:hAnsi="Arial"/>
                <w:sz w:val="13"/>
                <w:szCs w:val="13"/>
                <w:color w:val="auto"/>
              </w:rPr>
              <w:t>Deferred taxes</w:t>
            </w:r>
          </w:p>
        </w:tc>
        <w:tc>
          <w:tcPr>
            <w:tcW w:w="120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(4,749 )</w:t>
            </w:r>
          </w:p>
        </w:tc>
        <w:tc>
          <w:tcPr>
            <w:tcW w:w="1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(16,739 )</w:t>
            </w:r>
          </w:p>
        </w:tc>
      </w:tr>
      <w:tr>
        <w:trPr>
          <w:trHeight w:val="160"/>
        </w:trPr>
        <w:tc>
          <w:tcPr>
            <w:tcW w:w="6800" w:type="dxa"/>
            <w:vAlign w:val="bottom"/>
          </w:tcPr>
          <w:p>
            <w:pPr>
              <w:ind w:left="160"/>
              <w:spacing w:after="0"/>
              <w:rPr>
                <w:sz w:val="20"/>
                <w:szCs w:val="20"/>
                <w:color w:val="auto"/>
              </w:rPr>
            </w:pPr>
            <w:r>
              <w:rPr>
                <w:rFonts w:ascii="Arial" w:cs="Arial" w:eastAsia="Arial" w:hAnsi="Arial"/>
                <w:sz w:val="13"/>
                <w:szCs w:val="13"/>
                <w:color w:val="auto"/>
              </w:rPr>
              <w:t>Other</w:t>
            </w:r>
          </w:p>
        </w:tc>
        <w:tc>
          <w:tcPr>
            <w:tcW w:w="1200" w:type="dxa"/>
            <w:vAlign w:val="bottom"/>
          </w:tcPr>
          <w:p>
            <w:pPr>
              <w:spacing w:after="0"/>
              <w:rPr>
                <w:sz w:val="13"/>
                <w:szCs w:val="13"/>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682</w:t>
            </w: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jc w:val="right"/>
              <w:ind w:right="57"/>
              <w:spacing w:after="0"/>
              <w:rPr>
                <w:sz w:val="20"/>
                <w:szCs w:val="20"/>
                <w:color w:val="auto"/>
              </w:rPr>
            </w:pPr>
            <w:r>
              <w:rPr>
                <w:rFonts w:ascii="Arial" w:cs="Arial" w:eastAsia="Arial" w:hAnsi="Arial"/>
                <w:sz w:val="13"/>
                <w:szCs w:val="13"/>
                <w:color w:val="auto"/>
              </w:rPr>
              <w:t>244</w:t>
            </w:r>
          </w:p>
        </w:tc>
      </w:tr>
      <w:tr>
        <w:trPr>
          <w:trHeight w:val="164"/>
        </w:trPr>
        <w:tc>
          <w:tcPr>
            <w:tcW w:w="6800" w:type="dxa"/>
            <w:vAlign w:val="bottom"/>
            <w:shd w:val="clear" w:color="auto" w:fill="CFF0FC"/>
          </w:tcPr>
          <w:p>
            <w:pPr>
              <w:ind w:left="160"/>
              <w:spacing w:after="0"/>
              <w:rPr>
                <w:sz w:val="20"/>
                <w:szCs w:val="20"/>
                <w:color w:val="auto"/>
              </w:rPr>
            </w:pPr>
            <w:r>
              <w:rPr>
                <w:rFonts w:ascii="Arial" w:cs="Arial" w:eastAsia="Arial" w:hAnsi="Arial"/>
                <w:sz w:val="13"/>
                <w:szCs w:val="13"/>
                <w:color w:val="auto"/>
              </w:rPr>
              <w:t>Changes in operating assets and liabilities, net of acquisitions</w:t>
            </w:r>
          </w:p>
        </w:tc>
        <w:tc>
          <w:tcPr>
            <w:tcW w:w="12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r>
      <w:tr>
        <w:trPr>
          <w:trHeight w:val="160"/>
        </w:trPr>
        <w:tc>
          <w:tcPr>
            <w:tcW w:w="6800" w:type="dxa"/>
            <w:vAlign w:val="bottom"/>
          </w:tcPr>
          <w:p>
            <w:pPr>
              <w:ind w:left="300"/>
              <w:spacing w:after="0"/>
              <w:rPr>
                <w:sz w:val="20"/>
                <w:szCs w:val="20"/>
                <w:color w:val="auto"/>
              </w:rPr>
            </w:pPr>
            <w:r>
              <w:rPr>
                <w:rFonts w:ascii="Arial" w:cs="Arial" w:eastAsia="Arial" w:hAnsi="Arial"/>
                <w:sz w:val="13"/>
                <w:szCs w:val="13"/>
                <w:color w:val="auto"/>
              </w:rPr>
              <w:t>Accounts receivable</w:t>
            </w:r>
          </w:p>
        </w:tc>
        <w:tc>
          <w:tcPr>
            <w:tcW w:w="1200" w:type="dxa"/>
            <w:vAlign w:val="bottom"/>
          </w:tcPr>
          <w:p>
            <w:pPr>
              <w:spacing w:after="0"/>
              <w:rPr>
                <w:sz w:val="13"/>
                <w:szCs w:val="13"/>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5,526</w:t>
            </w: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(645 )</w:t>
            </w:r>
          </w:p>
        </w:tc>
      </w:tr>
      <w:tr>
        <w:trPr>
          <w:trHeight w:val="164"/>
        </w:trPr>
        <w:tc>
          <w:tcPr>
            <w:tcW w:w="6800" w:type="dxa"/>
            <w:vAlign w:val="bottom"/>
            <w:shd w:val="clear" w:color="auto" w:fill="CFF0FC"/>
          </w:tcPr>
          <w:p>
            <w:pPr>
              <w:ind w:left="300"/>
              <w:spacing w:after="0"/>
              <w:rPr>
                <w:sz w:val="20"/>
                <w:szCs w:val="20"/>
                <w:color w:val="auto"/>
              </w:rPr>
            </w:pPr>
            <w:r>
              <w:rPr>
                <w:rFonts w:ascii="Arial" w:cs="Arial" w:eastAsia="Arial" w:hAnsi="Arial"/>
                <w:sz w:val="13"/>
                <w:szCs w:val="13"/>
                <w:color w:val="auto"/>
              </w:rPr>
              <w:t>Inventory</w:t>
            </w:r>
          </w:p>
        </w:tc>
        <w:tc>
          <w:tcPr>
            <w:tcW w:w="120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(40,346 )</w:t>
            </w:r>
          </w:p>
        </w:tc>
        <w:tc>
          <w:tcPr>
            <w:tcW w:w="1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(14,763 )</w:t>
            </w:r>
          </w:p>
        </w:tc>
      </w:tr>
      <w:tr>
        <w:trPr>
          <w:trHeight w:val="160"/>
        </w:trPr>
        <w:tc>
          <w:tcPr>
            <w:tcW w:w="6800" w:type="dxa"/>
            <w:vAlign w:val="bottom"/>
          </w:tcPr>
          <w:p>
            <w:pPr>
              <w:ind w:left="300"/>
              <w:spacing w:after="0"/>
              <w:rPr>
                <w:sz w:val="20"/>
                <w:szCs w:val="20"/>
                <w:color w:val="auto"/>
              </w:rPr>
            </w:pPr>
            <w:r>
              <w:rPr>
                <w:rFonts w:ascii="Arial" w:cs="Arial" w:eastAsia="Arial" w:hAnsi="Arial"/>
                <w:sz w:val="13"/>
                <w:szCs w:val="13"/>
                <w:color w:val="auto"/>
              </w:rPr>
              <w:t>Prepaid expenses and other current assets</w:t>
            </w:r>
          </w:p>
        </w:tc>
        <w:tc>
          <w:tcPr>
            <w:tcW w:w="1200" w:type="dxa"/>
            <w:vAlign w:val="bottom"/>
          </w:tcPr>
          <w:p>
            <w:pPr>
              <w:spacing w:after="0"/>
              <w:rPr>
                <w:sz w:val="13"/>
                <w:szCs w:val="13"/>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7,623</w:t>
            </w: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jc w:val="right"/>
              <w:ind w:right="57"/>
              <w:spacing w:after="0"/>
              <w:rPr>
                <w:sz w:val="20"/>
                <w:szCs w:val="20"/>
                <w:color w:val="auto"/>
              </w:rPr>
            </w:pPr>
            <w:r>
              <w:rPr>
                <w:rFonts w:ascii="Arial" w:cs="Arial" w:eastAsia="Arial" w:hAnsi="Arial"/>
                <w:sz w:val="13"/>
                <w:szCs w:val="13"/>
                <w:color w:val="auto"/>
              </w:rPr>
              <w:t>5,316</w:t>
            </w:r>
          </w:p>
        </w:tc>
      </w:tr>
      <w:tr>
        <w:trPr>
          <w:trHeight w:val="164"/>
        </w:trPr>
        <w:tc>
          <w:tcPr>
            <w:tcW w:w="6800" w:type="dxa"/>
            <w:vAlign w:val="bottom"/>
            <w:shd w:val="clear" w:color="auto" w:fill="CFF0FC"/>
          </w:tcPr>
          <w:p>
            <w:pPr>
              <w:ind w:left="300"/>
              <w:spacing w:after="0"/>
              <w:rPr>
                <w:sz w:val="20"/>
                <w:szCs w:val="20"/>
                <w:color w:val="auto"/>
              </w:rPr>
            </w:pPr>
            <w:r>
              <w:rPr>
                <w:rFonts w:ascii="Arial" w:cs="Arial" w:eastAsia="Arial" w:hAnsi="Arial"/>
                <w:sz w:val="13"/>
                <w:szCs w:val="13"/>
                <w:color w:val="auto"/>
              </w:rPr>
              <w:t>Other assets</w:t>
            </w:r>
          </w:p>
        </w:tc>
        <w:tc>
          <w:tcPr>
            <w:tcW w:w="120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977</w:t>
            </w:r>
          </w:p>
        </w:tc>
        <w:tc>
          <w:tcPr>
            <w:tcW w:w="1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3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11,649</w:t>
            </w:r>
          </w:p>
        </w:tc>
      </w:tr>
      <w:tr>
        <w:trPr>
          <w:trHeight w:val="160"/>
        </w:trPr>
        <w:tc>
          <w:tcPr>
            <w:tcW w:w="6800" w:type="dxa"/>
            <w:vAlign w:val="bottom"/>
          </w:tcPr>
          <w:p>
            <w:pPr>
              <w:ind w:left="300"/>
              <w:spacing w:after="0"/>
              <w:rPr>
                <w:sz w:val="20"/>
                <w:szCs w:val="20"/>
                <w:color w:val="auto"/>
              </w:rPr>
            </w:pPr>
            <w:r>
              <w:rPr>
                <w:rFonts w:ascii="Arial" w:cs="Arial" w:eastAsia="Arial" w:hAnsi="Arial"/>
                <w:sz w:val="13"/>
                <w:szCs w:val="13"/>
                <w:color w:val="auto"/>
              </w:rPr>
              <w:t>Accounts payable</w:t>
            </w:r>
          </w:p>
        </w:tc>
        <w:tc>
          <w:tcPr>
            <w:tcW w:w="12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(8,821 )</w:t>
            </w: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jc w:val="right"/>
              <w:ind w:right="57"/>
              <w:spacing w:after="0"/>
              <w:rPr>
                <w:sz w:val="20"/>
                <w:szCs w:val="20"/>
                <w:color w:val="auto"/>
              </w:rPr>
            </w:pPr>
            <w:r>
              <w:rPr>
                <w:rFonts w:ascii="Arial" w:cs="Arial" w:eastAsia="Arial" w:hAnsi="Arial"/>
                <w:sz w:val="13"/>
                <w:szCs w:val="13"/>
                <w:color w:val="auto"/>
              </w:rPr>
              <w:t>4,183</w:t>
            </w:r>
          </w:p>
        </w:tc>
      </w:tr>
      <w:tr>
        <w:trPr>
          <w:trHeight w:val="164"/>
        </w:trPr>
        <w:tc>
          <w:tcPr>
            <w:tcW w:w="6800" w:type="dxa"/>
            <w:vAlign w:val="bottom"/>
            <w:shd w:val="clear" w:color="auto" w:fill="CFF0FC"/>
          </w:tcPr>
          <w:p>
            <w:pPr>
              <w:ind w:left="300"/>
              <w:spacing w:after="0"/>
              <w:rPr>
                <w:sz w:val="20"/>
                <w:szCs w:val="20"/>
                <w:color w:val="auto"/>
              </w:rPr>
            </w:pPr>
            <w:r>
              <w:rPr>
                <w:rFonts w:ascii="Arial" w:cs="Arial" w:eastAsia="Arial" w:hAnsi="Arial"/>
                <w:sz w:val="13"/>
                <w:szCs w:val="13"/>
                <w:color w:val="auto"/>
              </w:rPr>
              <w:t>Accrued expenses and other current liabilities</w:t>
            </w:r>
          </w:p>
        </w:tc>
        <w:tc>
          <w:tcPr>
            <w:tcW w:w="120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12,899</w:t>
            </w:r>
          </w:p>
        </w:tc>
        <w:tc>
          <w:tcPr>
            <w:tcW w:w="1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3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74,092</w:t>
            </w:r>
          </w:p>
        </w:tc>
      </w:tr>
      <w:tr>
        <w:trPr>
          <w:trHeight w:val="160"/>
        </w:trPr>
        <w:tc>
          <w:tcPr>
            <w:tcW w:w="6800" w:type="dxa"/>
            <w:vAlign w:val="bottom"/>
          </w:tcPr>
          <w:p>
            <w:pPr>
              <w:ind w:left="300"/>
              <w:spacing w:after="0"/>
              <w:rPr>
                <w:sz w:val="20"/>
                <w:szCs w:val="20"/>
                <w:color w:val="auto"/>
              </w:rPr>
            </w:pPr>
            <w:r>
              <w:rPr>
                <w:rFonts w:ascii="Arial" w:cs="Arial" w:eastAsia="Arial" w:hAnsi="Arial"/>
                <w:sz w:val="13"/>
                <w:szCs w:val="13"/>
                <w:color w:val="auto"/>
              </w:rPr>
              <w:t>Income taxes payable</w:t>
            </w:r>
          </w:p>
        </w:tc>
        <w:tc>
          <w:tcPr>
            <w:tcW w:w="12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(20,636 )</w:t>
            </w: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jc w:val="right"/>
              <w:ind w:right="57"/>
              <w:spacing w:after="0"/>
              <w:rPr>
                <w:sz w:val="20"/>
                <w:szCs w:val="20"/>
                <w:color w:val="auto"/>
              </w:rPr>
            </w:pPr>
            <w:r>
              <w:rPr>
                <w:rFonts w:ascii="Arial" w:cs="Arial" w:eastAsia="Arial" w:hAnsi="Arial"/>
                <w:sz w:val="13"/>
                <w:szCs w:val="13"/>
                <w:color w:val="auto"/>
              </w:rPr>
              <w:t>5,927</w:t>
            </w:r>
          </w:p>
        </w:tc>
      </w:tr>
      <w:tr>
        <w:trPr>
          <w:trHeight w:val="162"/>
        </w:trPr>
        <w:tc>
          <w:tcPr>
            <w:tcW w:w="680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3"/>
                <w:szCs w:val="13"/>
                <w:color w:val="auto"/>
              </w:rPr>
              <w:t>Other long-term liabilities</w:t>
            </w:r>
          </w:p>
        </w:tc>
        <w:tc>
          <w:tcPr>
            <w:tcW w:w="120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(1,335 )</w:t>
            </w:r>
          </w:p>
        </w:tc>
        <w:tc>
          <w:tcPr>
            <w:tcW w:w="140" w:type="dxa"/>
            <w:vAlign w:val="bottom"/>
            <w:tcBorders>
              <w:bottom w:val="single" w:sz="8" w:color="CFF0FC"/>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spacing w:after="0"/>
              <w:rPr>
                <w:sz w:val="14"/>
                <w:szCs w:val="14"/>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(11,522 )</w:t>
            </w:r>
          </w:p>
        </w:tc>
      </w:tr>
      <w:tr>
        <w:trPr>
          <w:trHeight w:val="153"/>
        </w:trPr>
        <w:tc>
          <w:tcPr>
            <w:tcW w:w="6800" w:type="dxa"/>
            <w:vAlign w:val="bottom"/>
          </w:tcPr>
          <w:p>
            <w:pPr>
              <w:ind w:left="160"/>
              <w:spacing w:after="0"/>
              <w:rPr>
                <w:sz w:val="20"/>
                <w:szCs w:val="20"/>
                <w:color w:val="auto"/>
              </w:rPr>
            </w:pPr>
            <w:r>
              <w:rPr>
                <w:rFonts w:ascii="Arial" w:cs="Arial" w:eastAsia="Arial" w:hAnsi="Arial"/>
                <w:sz w:val="13"/>
                <w:szCs w:val="13"/>
                <w:color w:val="auto"/>
              </w:rPr>
              <w:t>Net cash used in operating activities</w:t>
            </w:r>
          </w:p>
        </w:tc>
        <w:tc>
          <w:tcPr>
            <w:tcW w:w="1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(116,553 )</w:t>
            </w:r>
          </w:p>
        </w:tc>
        <w:tc>
          <w:tcPr>
            <w:tcW w:w="14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(2,967 )</w:t>
            </w:r>
          </w:p>
        </w:tc>
      </w:tr>
      <w:tr>
        <w:trPr>
          <w:trHeight w:val="159"/>
        </w:trPr>
        <w:tc>
          <w:tcPr>
            <w:tcW w:w="680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Cash flows from investing activities:</w:t>
            </w:r>
          </w:p>
        </w:tc>
        <w:tc>
          <w:tcPr>
            <w:tcW w:w="12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r>
      <w:tr>
        <w:trPr>
          <w:trHeight w:val="160"/>
        </w:trPr>
        <w:tc>
          <w:tcPr>
            <w:tcW w:w="6800" w:type="dxa"/>
            <w:vAlign w:val="bottom"/>
          </w:tcPr>
          <w:p>
            <w:pPr>
              <w:ind w:left="160"/>
              <w:spacing w:after="0"/>
              <w:rPr>
                <w:sz w:val="20"/>
                <w:szCs w:val="20"/>
                <w:color w:val="auto"/>
              </w:rPr>
            </w:pPr>
            <w:r>
              <w:rPr>
                <w:rFonts w:ascii="Arial" w:cs="Arial" w:eastAsia="Arial" w:hAnsi="Arial"/>
                <w:sz w:val="13"/>
                <w:szCs w:val="13"/>
                <w:color w:val="auto"/>
              </w:rPr>
              <w:t>Cash paid for acquisitions, net of cash acquired</w:t>
            </w:r>
          </w:p>
        </w:tc>
        <w:tc>
          <w:tcPr>
            <w:tcW w:w="1200" w:type="dxa"/>
            <w:vAlign w:val="bottom"/>
          </w:tcPr>
          <w:p>
            <w:pPr>
              <w:spacing w:after="0"/>
              <w:rPr>
                <w:sz w:val="13"/>
                <w:szCs w:val="13"/>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19</w:t>
            </w: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(44,268 )</w:t>
            </w:r>
          </w:p>
        </w:tc>
      </w:tr>
      <w:tr>
        <w:trPr>
          <w:trHeight w:val="164"/>
        </w:trPr>
        <w:tc>
          <w:tcPr>
            <w:tcW w:w="6800" w:type="dxa"/>
            <w:vAlign w:val="bottom"/>
            <w:shd w:val="clear" w:color="auto" w:fill="CFF0FC"/>
          </w:tcPr>
          <w:p>
            <w:pPr>
              <w:ind w:left="160"/>
              <w:spacing w:after="0"/>
              <w:rPr>
                <w:sz w:val="20"/>
                <w:szCs w:val="20"/>
                <w:color w:val="auto"/>
              </w:rPr>
            </w:pPr>
            <w:r>
              <w:rPr>
                <w:rFonts w:ascii="Arial" w:cs="Arial" w:eastAsia="Arial" w:hAnsi="Arial"/>
                <w:sz w:val="13"/>
                <w:szCs w:val="13"/>
                <w:color w:val="auto"/>
              </w:rPr>
              <w:t>Purchases of property and equipment</w:t>
            </w:r>
          </w:p>
        </w:tc>
        <w:tc>
          <w:tcPr>
            <w:tcW w:w="120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(69,362 )</w:t>
            </w:r>
          </w:p>
        </w:tc>
        <w:tc>
          <w:tcPr>
            <w:tcW w:w="1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(72,323 )</w:t>
            </w:r>
          </w:p>
        </w:tc>
      </w:tr>
      <w:tr>
        <w:trPr>
          <w:trHeight w:val="160"/>
        </w:trPr>
        <w:tc>
          <w:tcPr>
            <w:tcW w:w="6800" w:type="dxa"/>
            <w:vAlign w:val="bottom"/>
          </w:tcPr>
          <w:p>
            <w:pPr>
              <w:ind w:left="160"/>
              <w:spacing w:after="0"/>
              <w:rPr>
                <w:sz w:val="20"/>
                <w:szCs w:val="20"/>
                <w:color w:val="auto"/>
              </w:rPr>
            </w:pPr>
            <w:r>
              <w:rPr>
                <w:rFonts w:ascii="Arial" w:cs="Arial" w:eastAsia="Arial" w:hAnsi="Arial"/>
                <w:sz w:val="13"/>
                <w:szCs w:val="13"/>
                <w:color w:val="auto"/>
              </w:rPr>
              <w:t>Cash paid for other assets</w:t>
            </w:r>
          </w:p>
        </w:tc>
        <w:tc>
          <w:tcPr>
            <w:tcW w:w="1200" w:type="dxa"/>
            <w:vAlign w:val="bottom"/>
          </w:tcPr>
          <w:p>
            <w:pPr>
              <w:spacing w:after="0"/>
              <w:rPr>
                <w:sz w:val="13"/>
                <w:szCs w:val="13"/>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(15,770 )</w:t>
            </w:r>
          </w:p>
        </w:tc>
      </w:tr>
      <w:tr>
        <w:trPr>
          <w:trHeight w:val="164"/>
        </w:trPr>
        <w:tc>
          <w:tcPr>
            <w:tcW w:w="6800" w:type="dxa"/>
            <w:vAlign w:val="bottom"/>
            <w:shd w:val="clear" w:color="auto" w:fill="CFF0FC"/>
          </w:tcPr>
          <w:p>
            <w:pPr>
              <w:ind w:left="160"/>
              <w:spacing w:after="0"/>
              <w:rPr>
                <w:sz w:val="20"/>
                <w:szCs w:val="20"/>
                <w:color w:val="auto"/>
              </w:rPr>
            </w:pPr>
            <w:r>
              <w:rPr>
                <w:rFonts w:ascii="Arial" w:cs="Arial" w:eastAsia="Arial" w:hAnsi="Arial"/>
                <w:sz w:val="13"/>
                <w:szCs w:val="13"/>
                <w:color w:val="auto"/>
              </w:rPr>
              <w:t>Proceeds from sale of property and equipment</w:t>
            </w:r>
          </w:p>
        </w:tc>
        <w:tc>
          <w:tcPr>
            <w:tcW w:w="120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358</w:t>
            </w:r>
          </w:p>
        </w:tc>
        <w:tc>
          <w:tcPr>
            <w:tcW w:w="1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3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r>
      <w:tr>
        <w:trPr>
          <w:trHeight w:val="160"/>
        </w:trPr>
        <w:tc>
          <w:tcPr>
            <w:tcW w:w="6800" w:type="dxa"/>
            <w:vAlign w:val="bottom"/>
          </w:tcPr>
          <w:p>
            <w:pPr>
              <w:ind w:left="160"/>
              <w:spacing w:after="0"/>
              <w:rPr>
                <w:sz w:val="20"/>
                <w:szCs w:val="20"/>
                <w:color w:val="auto"/>
              </w:rPr>
            </w:pPr>
            <w:r>
              <w:rPr>
                <w:rFonts w:ascii="Arial" w:cs="Arial" w:eastAsia="Arial" w:hAnsi="Arial"/>
                <w:sz w:val="13"/>
                <w:szCs w:val="13"/>
                <w:color w:val="auto"/>
              </w:rPr>
              <w:t>Cash (paid) received on deposits, net</w:t>
            </w:r>
          </w:p>
        </w:tc>
        <w:tc>
          <w:tcPr>
            <w:tcW w:w="12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(2,973 )</w:t>
            </w: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(2,880 )</w:t>
            </w:r>
          </w:p>
        </w:tc>
      </w:tr>
      <w:tr>
        <w:trPr>
          <w:trHeight w:val="162"/>
        </w:trPr>
        <w:tc>
          <w:tcPr>
            <w:tcW w:w="680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3"/>
                <w:szCs w:val="13"/>
                <w:color w:val="auto"/>
              </w:rPr>
              <w:t>Cash for loan under CannAscend and Corsa Verde agreements</w:t>
            </w:r>
          </w:p>
        </w:tc>
        <w:tc>
          <w:tcPr>
            <w:tcW w:w="120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FF0FC"/>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spacing w:after="0"/>
              <w:rPr>
                <w:sz w:val="14"/>
                <w:szCs w:val="14"/>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(672 )</w:t>
            </w:r>
          </w:p>
        </w:tc>
      </w:tr>
      <w:tr>
        <w:trPr>
          <w:trHeight w:val="153"/>
        </w:trPr>
        <w:tc>
          <w:tcPr>
            <w:tcW w:w="6800" w:type="dxa"/>
            <w:vAlign w:val="bottom"/>
          </w:tcPr>
          <w:p>
            <w:pPr>
              <w:ind w:left="160"/>
              <w:spacing w:after="0"/>
              <w:rPr>
                <w:sz w:val="20"/>
                <w:szCs w:val="20"/>
                <w:color w:val="auto"/>
              </w:rPr>
            </w:pPr>
            <w:r>
              <w:rPr>
                <w:rFonts w:ascii="Arial" w:cs="Arial" w:eastAsia="Arial" w:hAnsi="Arial"/>
                <w:sz w:val="13"/>
                <w:szCs w:val="13"/>
                <w:color w:val="auto"/>
              </w:rPr>
              <w:t>Net cash used in investing activities</w:t>
            </w:r>
          </w:p>
        </w:tc>
        <w:tc>
          <w:tcPr>
            <w:tcW w:w="1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(71,958 )</w:t>
            </w:r>
          </w:p>
        </w:tc>
        <w:tc>
          <w:tcPr>
            <w:tcW w:w="14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(135,913 )</w:t>
            </w:r>
          </w:p>
        </w:tc>
      </w:tr>
      <w:tr>
        <w:trPr>
          <w:trHeight w:val="159"/>
        </w:trPr>
        <w:tc>
          <w:tcPr>
            <w:tcW w:w="680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Cash flows from financing activities:</w:t>
            </w:r>
          </w:p>
        </w:tc>
        <w:tc>
          <w:tcPr>
            <w:tcW w:w="12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r>
      <w:tr>
        <w:trPr>
          <w:trHeight w:val="160"/>
        </w:trPr>
        <w:tc>
          <w:tcPr>
            <w:tcW w:w="6800" w:type="dxa"/>
            <w:vAlign w:val="bottom"/>
          </w:tcPr>
          <w:p>
            <w:pPr>
              <w:ind w:left="160"/>
              <w:spacing w:after="0"/>
              <w:rPr>
                <w:sz w:val="20"/>
                <w:szCs w:val="20"/>
                <w:color w:val="auto"/>
              </w:rPr>
            </w:pPr>
            <w:r>
              <w:rPr>
                <w:rFonts w:ascii="Arial" w:cs="Arial" w:eastAsia="Arial" w:hAnsi="Arial"/>
                <w:sz w:val="13"/>
                <w:szCs w:val="13"/>
                <w:color w:val="auto"/>
              </w:rPr>
              <w:t>Proceeds from issuance of common shares</w:t>
            </w:r>
          </w:p>
        </w:tc>
        <w:tc>
          <w:tcPr>
            <w:tcW w:w="1200" w:type="dxa"/>
            <w:vAlign w:val="bottom"/>
          </w:tcPr>
          <w:p>
            <w:pPr>
              <w:spacing w:after="0"/>
              <w:rPr>
                <w:sz w:val="13"/>
                <w:szCs w:val="13"/>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jc w:val="right"/>
              <w:ind w:right="57"/>
              <w:spacing w:after="0"/>
              <w:rPr>
                <w:sz w:val="20"/>
                <w:szCs w:val="20"/>
                <w:color w:val="auto"/>
              </w:rPr>
            </w:pPr>
            <w:r>
              <w:rPr>
                <w:rFonts w:ascii="Arial" w:cs="Arial" w:eastAsia="Arial" w:hAnsi="Arial"/>
                <w:sz w:val="13"/>
                <w:szCs w:val="13"/>
                <w:color w:val="auto"/>
              </w:rPr>
              <w:t>133,559</w:t>
            </w:r>
          </w:p>
        </w:tc>
      </w:tr>
      <w:tr>
        <w:trPr>
          <w:trHeight w:val="164"/>
        </w:trPr>
        <w:tc>
          <w:tcPr>
            <w:tcW w:w="6800" w:type="dxa"/>
            <w:vAlign w:val="bottom"/>
            <w:shd w:val="clear" w:color="auto" w:fill="CFF0FC"/>
          </w:tcPr>
          <w:p>
            <w:pPr>
              <w:ind w:left="160"/>
              <w:spacing w:after="0"/>
              <w:rPr>
                <w:sz w:val="20"/>
                <w:szCs w:val="20"/>
                <w:color w:val="auto"/>
              </w:rPr>
            </w:pPr>
            <w:r>
              <w:rPr>
                <w:rFonts w:ascii="Arial" w:cs="Arial" w:eastAsia="Arial" w:hAnsi="Arial"/>
                <w:sz w:val="13"/>
                <w:szCs w:val="13"/>
                <w:color w:val="auto"/>
              </w:rPr>
              <w:t>Issuance of common shares and warrants costs</w:t>
            </w:r>
          </w:p>
        </w:tc>
        <w:tc>
          <w:tcPr>
            <w:tcW w:w="120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(408 )</w:t>
            </w:r>
          </w:p>
        </w:tc>
      </w:tr>
      <w:tr>
        <w:trPr>
          <w:trHeight w:val="160"/>
        </w:trPr>
        <w:tc>
          <w:tcPr>
            <w:tcW w:w="6800" w:type="dxa"/>
            <w:vAlign w:val="bottom"/>
          </w:tcPr>
          <w:p>
            <w:pPr>
              <w:ind w:left="160"/>
              <w:spacing w:after="0"/>
              <w:rPr>
                <w:sz w:val="20"/>
                <w:szCs w:val="20"/>
                <w:color w:val="auto"/>
              </w:rPr>
            </w:pPr>
            <w:r>
              <w:rPr>
                <w:rFonts w:ascii="Arial" w:cs="Arial" w:eastAsia="Arial" w:hAnsi="Arial"/>
                <w:sz w:val="13"/>
                <w:szCs w:val="13"/>
                <w:color w:val="auto"/>
              </w:rPr>
              <w:t>Proceeds from issue of debt</w:t>
            </w:r>
          </w:p>
        </w:tc>
        <w:tc>
          <w:tcPr>
            <w:tcW w:w="1200" w:type="dxa"/>
            <w:vAlign w:val="bottom"/>
          </w:tcPr>
          <w:p>
            <w:pPr>
              <w:spacing w:after="0"/>
              <w:rPr>
                <w:sz w:val="13"/>
                <w:szCs w:val="13"/>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153,250</w:t>
            </w: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jc w:val="right"/>
              <w:ind w:right="57"/>
              <w:spacing w:after="0"/>
              <w:rPr>
                <w:sz w:val="20"/>
                <w:szCs w:val="20"/>
                <w:color w:val="auto"/>
              </w:rPr>
            </w:pPr>
            <w:r>
              <w:rPr>
                <w:rFonts w:ascii="Arial" w:cs="Arial" w:eastAsia="Arial" w:hAnsi="Arial"/>
                <w:sz w:val="13"/>
                <w:szCs w:val="13"/>
                <w:color w:val="auto"/>
              </w:rPr>
              <w:t>71,520</w:t>
            </w:r>
          </w:p>
        </w:tc>
      </w:tr>
      <w:tr>
        <w:trPr>
          <w:trHeight w:val="164"/>
        </w:trPr>
        <w:tc>
          <w:tcPr>
            <w:tcW w:w="6800" w:type="dxa"/>
            <w:vAlign w:val="bottom"/>
            <w:shd w:val="clear" w:color="auto" w:fill="CFF0FC"/>
          </w:tcPr>
          <w:p>
            <w:pPr>
              <w:ind w:left="160"/>
              <w:spacing w:after="0"/>
              <w:rPr>
                <w:sz w:val="20"/>
                <w:szCs w:val="20"/>
                <w:color w:val="auto"/>
              </w:rPr>
            </w:pPr>
            <w:r>
              <w:rPr>
                <w:rFonts w:ascii="Arial" w:cs="Arial" w:eastAsia="Arial" w:hAnsi="Arial"/>
                <w:sz w:val="13"/>
                <w:szCs w:val="13"/>
                <w:color w:val="auto"/>
              </w:rPr>
              <w:t>Issuance of Mortgage</w:t>
            </w:r>
          </w:p>
        </w:tc>
        <w:tc>
          <w:tcPr>
            <w:tcW w:w="120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16,500</w:t>
            </w:r>
          </w:p>
        </w:tc>
        <w:tc>
          <w:tcPr>
            <w:tcW w:w="1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3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r>
      <w:tr>
        <w:trPr>
          <w:trHeight w:val="160"/>
        </w:trPr>
        <w:tc>
          <w:tcPr>
            <w:tcW w:w="6800" w:type="dxa"/>
            <w:vAlign w:val="bottom"/>
          </w:tcPr>
          <w:p>
            <w:pPr>
              <w:ind w:left="160"/>
              <w:spacing w:after="0"/>
              <w:rPr>
                <w:sz w:val="20"/>
                <w:szCs w:val="20"/>
                <w:color w:val="auto"/>
              </w:rPr>
            </w:pPr>
            <w:r>
              <w:rPr>
                <w:rFonts w:ascii="Arial" w:cs="Arial" w:eastAsia="Arial" w:hAnsi="Arial"/>
                <w:sz w:val="13"/>
                <w:szCs w:val="13"/>
                <w:color w:val="auto"/>
              </w:rPr>
              <w:t>Debt issuance costs</w:t>
            </w:r>
          </w:p>
        </w:tc>
        <w:tc>
          <w:tcPr>
            <w:tcW w:w="12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(7,699 )</w:t>
            </w: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(210 )</w:t>
            </w:r>
          </w:p>
        </w:tc>
      </w:tr>
      <w:tr>
        <w:trPr>
          <w:trHeight w:val="164"/>
        </w:trPr>
        <w:tc>
          <w:tcPr>
            <w:tcW w:w="6800" w:type="dxa"/>
            <w:vAlign w:val="bottom"/>
            <w:shd w:val="clear" w:color="auto" w:fill="CFF0FC"/>
          </w:tcPr>
          <w:p>
            <w:pPr>
              <w:ind w:left="160"/>
              <w:spacing w:after="0"/>
              <w:rPr>
                <w:sz w:val="20"/>
                <w:szCs w:val="20"/>
                <w:color w:val="auto"/>
              </w:rPr>
            </w:pPr>
            <w:r>
              <w:rPr>
                <w:rFonts w:ascii="Arial" w:cs="Arial" w:eastAsia="Arial" w:hAnsi="Arial"/>
                <w:sz w:val="13"/>
                <w:szCs w:val="13"/>
                <w:color w:val="auto"/>
              </w:rPr>
              <w:t>Repayment of debt</w:t>
            </w:r>
          </w:p>
        </w:tc>
        <w:tc>
          <w:tcPr>
            <w:tcW w:w="120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(457 )</w:t>
            </w:r>
          </w:p>
        </w:tc>
        <w:tc>
          <w:tcPr>
            <w:tcW w:w="1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(9,550 )</w:t>
            </w:r>
          </w:p>
        </w:tc>
      </w:tr>
      <w:tr>
        <w:trPr>
          <w:trHeight w:val="160"/>
        </w:trPr>
        <w:tc>
          <w:tcPr>
            <w:tcW w:w="6800" w:type="dxa"/>
            <w:vAlign w:val="bottom"/>
          </w:tcPr>
          <w:p>
            <w:pPr>
              <w:ind w:left="160"/>
              <w:spacing w:after="0"/>
              <w:rPr>
                <w:sz w:val="20"/>
                <w:szCs w:val="20"/>
                <w:color w:val="auto"/>
              </w:rPr>
            </w:pPr>
            <w:r>
              <w:rPr>
                <w:rFonts w:ascii="Arial" w:cs="Arial" w:eastAsia="Arial" w:hAnsi="Arial"/>
                <w:sz w:val="13"/>
                <w:szCs w:val="13"/>
                <w:color w:val="auto"/>
              </w:rPr>
              <w:t>Repayment of sellers note</w:t>
            </w:r>
          </w:p>
        </w:tc>
        <w:tc>
          <w:tcPr>
            <w:tcW w:w="12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(1,500 )</w:t>
            </w: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64"/>
        </w:trPr>
        <w:tc>
          <w:tcPr>
            <w:tcW w:w="6800" w:type="dxa"/>
            <w:vAlign w:val="bottom"/>
            <w:shd w:val="clear" w:color="auto" w:fill="CFF0FC"/>
          </w:tcPr>
          <w:p>
            <w:pPr>
              <w:ind w:left="160"/>
              <w:spacing w:after="0"/>
              <w:rPr>
                <w:sz w:val="20"/>
                <w:szCs w:val="20"/>
                <w:color w:val="auto"/>
              </w:rPr>
            </w:pPr>
            <w:r>
              <w:rPr>
                <w:rFonts w:ascii="Arial" w:cs="Arial" w:eastAsia="Arial" w:hAnsi="Arial"/>
                <w:sz w:val="13"/>
                <w:szCs w:val="13"/>
                <w:color w:val="auto"/>
              </w:rPr>
              <w:t>Payment of lease liabilities</w:t>
            </w:r>
          </w:p>
        </w:tc>
        <w:tc>
          <w:tcPr>
            <w:tcW w:w="120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(2,965 )</w:t>
            </w:r>
          </w:p>
        </w:tc>
        <w:tc>
          <w:tcPr>
            <w:tcW w:w="1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(7,844 )</w:t>
            </w:r>
          </w:p>
        </w:tc>
      </w:tr>
      <w:tr>
        <w:trPr>
          <w:trHeight w:val="160"/>
        </w:trPr>
        <w:tc>
          <w:tcPr>
            <w:tcW w:w="6800" w:type="dxa"/>
            <w:vAlign w:val="bottom"/>
          </w:tcPr>
          <w:p>
            <w:pPr>
              <w:ind w:left="160"/>
              <w:spacing w:after="0"/>
              <w:rPr>
                <w:sz w:val="20"/>
                <w:szCs w:val="20"/>
                <w:color w:val="auto"/>
              </w:rPr>
            </w:pPr>
            <w:r>
              <w:rPr>
                <w:rFonts w:ascii="Arial" w:cs="Arial" w:eastAsia="Arial" w:hAnsi="Arial"/>
                <w:sz w:val="13"/>
                <w:szCs w:val="13"/>
                <w:color w:val="auto"/>
              </w:rPr>
              <w:t>Exercise of warrants</w:t>
            </w:r>
          </w:p>
        </w:tc>
        <w:tc>
          <w:tcPr>
            <w:tcW w:w="1200" w:type="dxa"/>
            <w:vAlign w:val="bottom"/>
          </w:tcPr>
          <w:p>
            <w:pPr>
              <w:spacing w:after="0"/>
              <w:rPr>
                <w:sz w:val="13"/>
                <w:szCs w:val="13"/>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425</w:t>
            </w: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jc w:val="right"/>
              <w:ind w:right="57"/>
              <w:spacing w:after="0"/>
              <w:rPr>
                <w:sz w:val="20"/>
                <w:szCs w:val="20"/>
                <w:color w:val="auto"/>
              </w:rPr>
            </w:pPr>
            <w:r>
              <w:rPr>
                <w:rFonts w:ascii="Arial" w:cs="Arial" w:eastAsia="Arial" w:hAnsi="Arial"/>
                <w:sz w:val="13"/>
                <w:szCs w:val="13"/>
                <w:color w:val="auto"/>
              </w:rPr>
              <w:t>1,901</w:t>
            </w:r>
          </w:p>
        </w:tc>
      </w:tr>
      <w:tr>
        <w:trPr>
          <w:trHeight w:val="162"/>
        </w:trPr>
        <w:tc>
          <w:tcPr>
            <w:tcW w:w="680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3"/>
                <w:szCs w:val="13"/>
                <w:color w:val="auto"/>
              </w:rPr>
              <w:t>Taxes paid on equity based compensation</w:t>
            </w:r>
          </w:p>
        </w:tc>
        <w:tc>
          <w:tcPr>
            <w:tcW w:w="120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(218 )</w:t>
            </w:r>
          </w:p>
        </w:tc>
        <w:tc>
          <w:tcPr>
            <w:tcW w:w="140" w:type="dxa"/>
            <w:vAlign w:val="bottom"/>
            <w:tcBorders>
              <w:bottom w:val="single" w:sz="8" w:color="CFF0FC"/>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spacing w:after="0"/>
              <w:rPr>
                <w:sz w:val="14"/>
                <w:szCs w:val="14"/>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(4,791 )</w:t>
            </w:r>
          </w:p>
        </w:tc>
      </w:tr>
      <w:tr>
        <w:trPr>
          <w:trHeight w:val="153"/>
        </w:trPr>
        <w:tc>
          <w:tcPr>
            <w:tcW w:w="6800" w:type="dxa"/>
            <w:vAlign w:val="bottom"/>
          </w:tcPr>
          <w:p>
            <w:pPr>
              <w:ind w:left="160"/>
              <w:spacing w:after="0"/>
              <w:rPr>
                <w:sz w:val="20"/>
                <w:szCs w:val="20"/>
                <w:color w:val="auto"/>
              </w:rPr>
            </w:pPr>
            <w:r>
              <w:rPr>
                <w:rFonts w:ascii="Arial" w:cs="Arial" w:eastAsia="Arial" w:hAnsi="Arial"/>
                <w:sz w:val="13"/>
                <w:szCs w:val="13"/>
                <w:color w:val="auto"/>
              </w:rPr>
              <w:t>Net cash provided by financing activities</w:t>
            </w:r>
          </w:p>
        </w:tc>
        <w:tc>
          <w:tcPr>
            <w:tcW w:w="1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157,336</w:t>
            </w:r>
          </w:p>
        </w:tc>
        <w:tc>
          <w:tcPr>
            <w:tcW w:w="14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184,177</w:t>
            </w:r>
          </w:p>
        </w:tc>
      </w:tr>
      <w:tr>
        <w:trPr>
          <w:trHeight w:val="159"/>
        </w:trPr>
        <w:tc>
          <w:tcPr>
            <w:tcW w:w="680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Net increase (decrease) in cash</w:t>
            </w:r>
          </w:p>
        </w:tc>
        <w:tc>
          <w:tcPr>
            <w:tcW w:w="120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(31,175 )</w:t>
            </w:r>
          </w:p>
        </w:tc>
        <w:tc>
          <w:tcPr>
            <w:tcW w:w="14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3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45,297</w:t>
            </w:r>
          </w:p>
        </w:tc>
      </w:tr>
      <w:tr>
        <w:trPr>
          <w:trHeight w:val="160"/>
        </w:trPr>
        <w:tc>
          <w:tcPr>
            <w:tcW w:w="6800" w:type="dxa"/>
            <w:vAlign w:val="bottom"/>
          </w:tcPr>
          <w:p>
            <w:pPr>
              <w:ind w:left="20"/>
              <w:spacing w:after="0"/>
              <w:rPr>
                <w:sz w:val="20"/>
                <w:szCs w:val="20"/>
                <w:color w:val="auto"/>
              </w:rPr>
            </w:pPr>
            <w:r>
              <w:rPr>
                <w:rFonts w:ascii="Arial" w:cs="Arial" w:eastAsia="Arial" w:hAnsi="Arial"/>
                <w:sz w:val="13"/>
                <w:szCs w:val="13"/>
                <w:color w:val="auto"/>
              </w:rPr>
              <w:t>Cash and restricted cash at beginning of the period</w:t>
            </w:r>
          </w:p>
        </w:tc>
        <w:tc>
          <w:tcPr>
            <w:tcW w:w="1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82,533</w:t>
            </w:r>
          </w:p>
        </w:tc>
        <w:tc>
          <w:tcPr>
            <w:tcW w:w="14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71,969</w:t>
            </w:r>
          </w:p>
        </w:tc>
      </w:tr>
      <w:tr>
        <w:trPr>
          <w:trHeight w:val="197"/>
        </w:trPr>
        <w:tc>
          <w:tcPr>
            <w:tcW w:w="6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Cash and restricted cash at end of the period</w:t>
            </w:r>
          </w:p>
        </w:tc>
        <w:tc>
          <w:tcPr>
            <w:tcW w:w="120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ind w:right="57"/>
              <w:spacing w:after="0" w:line="149" w:lineRule="exact"/>
              <w:rPr>
                <w:sz w:val="20"/>
                <w:szCs w:val="20"/>
                <w:color w:val="auto"/>
              </w:rPr>
            </w:pPr>
            <w:r>
              <w:rPr>
                <w:rFonts w:ascii="Arial" w:cs="Arial" w:eastAsia="Arial" w:hAnsi="Arial"/>
                <w:sz w:val="13"/>
                <w:szCs w:val="13"/>
                <w:color w:val="auto"/>
              </w:rPr>
              <w:t>51,358</w:t>
            </w:r>
          </w:p>
        </w:tc>
        <w:tc>
          <w:tcPr>
            <w:tcW w:w="14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ind w:right="57"/>
              <w:spacing w:after="0" w:line="149" w:lineRule="exact"/>
              <w:rPr>
                <w:sz w:val="20"/>
                <w:szCs w:val="20"/>
                <w:color w:val="auto"/>
              </w:rPr>
            </w:pPr>
            <w:r>
              <w:rPr>
                <w:rFonts w:ascii="Arial" w:cs="Arial" w:eastAsia="Arial" w:hAnsi="Arial"/>
                <w:sz w:val="13"/>
                <w:szCs w:val="13"/>
                <w:color w:val="auto"/>
              </w:rPr>
              <w:t>117,266</w:t>
            </w:r>
          </w:p>
        </w:tc>
      </w:tr>
      <w:tr>
        <w:trPr>
          <w:trHeight w:val="142"/>
        </w:trPr>
        <w:tc>
          <w:tcPr>
            <w:tcW w:w="6800" w:type="dxa"/>
            <w:vAlign w:val="bottom"/>
          </w:tcPr>
          <w:p>
            <w:pPr>
              <w:ind w:left="20"/>
              <w:spacing w:after="0" w:line="143" w:lineRule="exact"/>
              <w:rPr>
                <w:sz w:val="20"/>
                <w:szCs w:val="20"/>
                <w:color w:val="auto"/>
              </w:rPr>
            </w:pPr>
            <w:r>
              <w:rPr>
                <w:rFonts w:ascii="Arial" w:cs="Arial" w:eastAsia="Arial" w:hAnsi="Arial"/>
                <w:sz w:val="13"/>
                <w:szCs w:val="13"/>
                <w:b w:val="1"/>
                <w:bCs w:val="1"/>
                <w:color w:val="auto"/>
              </w:rPr>
              <w:t>Reconciliation of cash and cash equivalents and restricted cash:</w:t>
            </w:r>
          </w:p>
        </w:tc>
        <w:tc>
          <w:tcPr>
            <w:tcW w:w="1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40" w:type="dxa"/>
            <w:vAlign w:val="bottom"/>
          </w:tcPr>
          <w:p>
            <w:pPr>
              <w:spacing w:after="0"/>
              <w:rPr>
                <w:sz w:val="12"/>
                <w:szCs w:val="12"/>
                <w:color w:val="auto"/>
              </w:rPr>
            </w:pPr>
          </w:p>
        </w:tc>
      </w:tr>
      <w:tr>
        <w:trPr>
          <w:trHeight w:val="162"/>
        </w:trPr>
        <w:tc>
          <w:tcPr>
            <w:tcW w:w="6800" w:type="dxa"/>
            <w:vAlign w:val="bottom"/>
            <w:shd w:val="clear" w:color="auto" w:fill="CFF0FC"/>
          </w:tcPr>
          <w:p>
            <w:pPr>
              <w:ind w:left="20"/>
              <w:spacing w:after="0"/>
              <w:rPr>
                <w:sz w:val="20"/>
                <w:szCs w:val="20"/>
                <w:color w:val="auto"/>
              </w:rPr>
            </w:pPr>
            <w:r>
              <w:rPr>
                <w:rFonts w:ascii="Arial" w:cs="Arial" w:eastAsia="Arial" w:hAnsi="Arial"/>
                <w:sz w:val="13"/>
                <w:szCs w:val="13"/>
                <w:color w:val="auto"/>
              </w:rPr>
              <w:t>Cash and cash equivalents</w:t>
            </w:r>
          </w:p>
        </w:tc>
        <w:tc>
          <w:tcPr>
            <w:tcW w:w="120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50,023</w:t>
            </w:r>
          </w:p>
        </w:tc>
        <w:tc>
          <w:tcPr>
            <w:tcW w:w="1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3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116,931</w:t>
            </w:r>
          </w:p>
        </w:tc>
      </w:tr>
      <w:tr>
        <w:trPr>
          <w:trHeight w:val="158"/>
        </w:trPr>
        <w:tc>
          <w:tcPr>
            <w:tcW w:w="6800" w:type="dxa"/>
            <w:vAlign w:val="bottom"/>
          </w:tcPr>
          <w:p>
            <w:pPr>
              <w:ind w:left="20"/>
              <w:spacing w:after="0"/>
              <w:rPr>
                <w:sz w:val="20"/>
                <w:szCs w:val="20"/>
                <w:color w:val="auto"/>
              </w:rPr>
            </w:pPr>
            <w:r>
              <w:rPr>
                <w:rFonts w:ascii="Arial" w:cs="Arial" w:eastAsia="Arial" w:hAnsi="Arial"/>
                <w:sz w:val="13"/>
                <w:szCs w:val="13"/>
                <w:color w:val="auto"/>
              </w:rPr>
              <w:t>Restricted cash</w:t>
            </w:r>
          </w:p>
        </w:tc>
        <w:tc>
          <w:tcPr>
            <w:tcW w:w="1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1,335</w:t>
            </w:r>
          </w:p>
        </w:tc>
        <w:tc>
          <w:tcPr>
            <w:tcW w:w="14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335</w:t>
            </w:r>
          </w:p>
        </w:tc>
      </w:tr>
      <w:tr>
        <w:trPr>
          <w:trHeight w:val="199"/>
        </w:trPr>
        <w:tc>
          <w:tcPr>
            <w:tcW w:w="6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Cash and cash equivalents and restricted cash, end of period</w:t>
            </w:r>
          </w:p>
        </w:tc>
        <w:tc>
          <w:tcPr>
            <w:tcW w:w="1200" w:type="dxa"/>
            <w:vAlign w:val="bottom"/>
            <w:tcBorders>
              <w:bottom w:val="single" w:sz="8" w:color="auto"/>
            </w:tcBorders>
            <w:shd w:val="clear" w:color="auto" w:fill="CFF0FC"/>
          </w:tcPr>
          <w:p>
            <w:pPr>
              <w:jc w:val="right"/>
              <w:ind w:right="1086"/>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FF0FC"/>
          </w:tcPr>
          <w:p>
            <w:pPr>
              <w:jc w:val="right"/>
              <w:ind w:right="57"/>
              <w:spacing w:after="0" w:line="149" w:lineRule="exact"/>
              <w:rPr>
                <w:sz w:val="20"/>
                <w:szCs w:val="20"/>
                <w:color w:val="auto"/>
              </w:rPr>
            </w:pPr>
            <w:r>
              <w:rPr>
                <w:rFonts w:ascii="Arial" w:cs="Arial" w:eastAsia="Arial" w:hAnsi="Arial"/>
                <w:sz w:val="13"/>
                <w:szCs w:val="13"/>
                <w:color w:val="auto"/>
              </w:rPr>
              <w:t>51,358</w:t>
            </w:r>
          </w:p>
        </w:tc>
        <w:tc>
          <w:tcPr>
            <w:tcW w:w="14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ind w:right="697"/>
              <w:spacing w:after="0" w:line="149" w:lineRule="exact"/>
              <w:rPr>
                <w:sz w:val="20"/>
                <w:szCs w:val="20"/>
                <w:color w:val="auto"/>
              </w:rPr>
            </w:pPr>
            <w:r>
              <w:rPr>
                <w:rFonts w:ascii="Arial" w:cs="Arial" w:eastAsia="Arial" w:hAnsi="Arial"/>
                <w:sz w:val="13"/>
                <w:szCs w:val="13"/>
                <w:color w:val="auto"/>
                <w:w w:val="82"/>
              </w:rPr>
              <w:t>$</w:t>
            </w:r>
          </w:p>
        </w:tc>
        <w:tc>
          <w:tcPr>
            <w:tcW w:w="1340" w:type="dxa"/>
            <w:vAlign w:val="bottom"/>
            <w:tcBorders>
              <w:bottom w:val="single" w:sz="8" w:color="auto"/>
            </w:tcBorders>
            <w:shd w:val="clear" w:color="auto" w:fill="CFF0FC"/>
          </w:tcPr>
          <w:p>
            <w:pPr>
              <w:jc w:val="right"/>
              <w:ind w:right="57"/>
              <w:spacing w:after="0" w:line="149" w:lineRule="exact"/>
              <w:rPr>
                <w:sz w:val="20"/>
                <w:szCs w:val="20"/>
                <w:color w:val="auto"/>
              </w:rPr>
            </w:pPr>
            <w:r>
              <w:rPr>
                <w:rFonts w:ascii="Arial" w:cs="Arial" w:eastAsia="Arial" w:hAnsi="Arial"/>
                <w:sz w:val="13"/>
                <w:szCs w:val="13"/>
                <w:color w:val="auto"/>
              </w:rPr>
              <w:t>117,266</w:t>
            </w:r>
          </w:p>
        </w:tc>
      </w:tr>
      <w:tr>
        <w:trPr>
          <w:trHeight w:val="295"/>
        </w:trPr>
        <w:tc>
          <w:tcPr>
            <w:tcW w:w="6800" w:type="dxa"/>
            <w:vAlign w:val="bottom"/>
          </w:tcPr>
          <w:p>
            <w:pPr>
              <w:ind w:left="20"/>
              <w:spacing w:after="0"/>
              <w:rPr>
                <w:sz w:val="20"/>
                <w:szCs w:val="20"/>
                <w:color w:val="auto"/>
              </w:rPr>
            </w:pPr>
            <w:r>
              <w:rPr>
                <w:rFonts w:ascii="Arial" w:cs="Arial" w:eastAsia="Arial" w:hAnsi="Arial"/>
                <w:sz w:val="13"/>
                <w:szCs w:val="13"/>
                <w:color w:val="auto"/>
              </w:rPr>
              <w:t>Supplemental disclosure of cash flow information:</w:t>
            </w:r>
          </w:p>
        </w:tc>
        <w:tc>
          <w:tcPr>
            <w:tcW w:w="1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71"/>
        </w:trPr>
        <w:tc>
          <w:tcPr>
            <w:tcW w:w="6800" w:type="dxa"/>
            <w:vAlign w:val="bottom"/>
            <w:shd w:val="clear" w:color="auto" w:fill="CFF0FC"/>
          </w:tcPr>
          <w:p>
            <w:pPr>
              <w:ind w:left="20"/>
              <w:spacing w:after="0"/>
              <w:rPr>
                <w:sz w:val="20"/>
                <w:szCs w:val="20"/>
                <w:color w:val="auto"/>
              </w:rPr>
            </w:pPr>
            <w:r>
              <w:rPr>
                <w:rFonts w:ascii="Arial" w:cs="Arial" w:eastAsia="Arial" w:hAnsi="Arial"/>
                <w:sz w:val="13"/>
                <w:szCs w:val="13"/>
                <w:color w:val="auto"/>
              </w:rPr>
              <w:t>Cash paid for amounts included in the measurement of lease liabilities:</w:t>
            </w:r>
          </w:p>
        </w:tc>
        <w:tc>
          <w:tcPr>
            <w:tcW w:w="12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r>
      <w:tr>
        <w:trPr>
          <w:trHeight w:val="160"/>
        </w:trPr>
        <w:tc>
          <w:tcPr>
            <w:tcW w:w="6800" w:type="dxa"/>
            <w:vAlign w:val="bottom"/>
          </w:tcPr>
          <w:p>
            <w:pPr>
              <w:ind w:left="160"/>
              <w:spacing w:after="0"/>
              <w:rPr>
                <w:sz w:val="20"/>
                <w:szCs w:val="20"/>
                <w:color w:val="auto"/>
              </w:rPr>
            </w:pPr>
            <w:r>
              <w:rPr>
                <w:rFonts w:ascii="Arial" w:cs="Arial" w:eastAsia="Arial" w:hAnsi="Arial"/>
                <w:sz w:val="13"/>
                <w:szCs w:val="13"/>
                <w:color w:val="auto"/>
              </w:rPr>
              <w:t>Operating cash flows from operating leases</w:t>
            </w:r>
          </w:p>
        </w:tc>
        <w:tc>
          <w:tcPr>
            <w:tcW w:w="1200" w:type="dxa"/>
            <w:vAlign w:val="bottom"/>
          </w:tcPr>
          <w:p>
            <w:pPr>
              <w:jc w:val="right"/>
              <w:ind w:right="1086"/>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18,862</w:t>
            </w:r>
          </w:p>
        </w:tc>
        <w:tc>
          <w:tcPr>
            <w:tcW w:w="980" w:type="dxa"/>
            <w:vAlign w:val="bottom"/>
            <w:gridSpan w:val="2"/>
          </w:tcPr>
          <w:p>
            <w:pPr>
              <w:jc w:val="right"/>
              <w:ind w:right="697"/>
              <w:spacing w:after="0"/>
              <w:rPr>
                <w:sz w:val="20"/>
                <w:szCs w:val="20"/>
                <w:color w:val="auto"/>
              </w:rPr>
            </w:pPr>
            <w:r>
              <w:rPr>
                <w:rFonts w:ascii="Arial" w:cs="Arial" w:eastAsia="Arial" w:hAnsi="Arial"/>
                <w:sz w:val="13"/>
                <w:szCs w:val="13"/>
                <w:color w:val="auto"/>
              </w:rPr>
              <w:t>$</w:t>
            </w:r>
          </w:p>
        </w:tc>
        <w:tc>
          <w:tcPr>
            <w:tcW w:w="1340" w:type="dxa"/>
            <w:vAlign w:val="bottom"/>
          </w:tcPr>
          <w:p>
            <w:pPr>
              <w:jc w:val="right"/>
              <w:ind w:right="57"/>
              <w:spacing w:after="0"/>
              <w:rPr>
                <w:sz w:val="20"/>
                <w:szCs w:val="20"/>
                <w:color w:val="auto"/>
              </w:rPr>
            </w:pPr>
            <w:r>
              <w:rPr>
                <w:rFonts w:ascii="Arial" w:cs="Arial" w:eastAsia="Arial" w:hAnsi="Arial"/>
                <w:sz w:val="13"/>
                <w:szCs w:val="13"/>
                <w:color w:val="auto"/>
              </w:rPr>
              <w:t>15,547</w:t>
            </w:r>
          </w:p>
        </w:tc>
      </w:tr>
      <w:tr>
        <w:trPr>
          <w:trHeight w:val="164"/>
        </w:trPr>
        <w:tc>
          <w:tcPr>
            <w:tcW w:w="6800" w:type="dxa"/>
            <w:vAlign w:val="bottom"/>
            <w:shd w:val="clear" w:color="auto" w:fill="CFF0FC"/>
          </w:tcPr>
          <w:p>
            <w:pPr>
              <w:ind w:left="160"/>
              <w:spacing w:after="0"/>
              <w:rPr>
                <w:sz w:val="20"/>
                <w:szCs w:val="20"/>
                <w:color w:val="auto"/>
              </w:rPr>
            </w:pPr>
            <w:r>
              <w:rPr>
                <w:rFonts w:ascii="Arial" w:cs="Arial" w:eastAsia="Arial" w:hAnsi="Arial"/>
                <w:sz w:val="13"/>
                <w:szCs w:val="13"/>
                <w:color w:val="auto"/>
              </w:rPr>
              <w:t>Operating cash flows from finance leases</w:t>
            </w:r>
          </w:p>
        </w:tc>
        <w:tc>
          <w:tcPr>
            <w:tcW w:w="120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4,355</w:t>
            </w:r>
          </w:p>
        </w:tc>
        <w:tc>
          <w:tcPr>
            <w:tcW w:w="1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3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3,814</w:t>
            </w:r>
          </w:p>
        </w:tc>
      </w:tr>
      <w:tr>
        <w:trPr>
          <w:trHeight w:val="160"/>
        </w:trPr>
        <w:tc>
          <w:tcPr>
            <w:tcW w:w="6800" w:type="dxa"/>
            <w:vAlign w:val="bottom"/>
          </w:tcPr>
          <w:p>
            <w:pPr>
              <w:ind w:left="160"/>
              <w:spacing w:after="0"/>
              <w:rPr>
                <w:sz w:val="20"/>
                <w:szCs w:val="20"/>
                <w:color w:val="auto"/>
              </w:rPr>
            </w:pPr>
            <w:r>
              <w:rPr>
                <w:rFonts w:ascii="Arial" w:cs="Arial" w:eastAsia="Arial" w:hAnsi="Arial"/>
                <w:sz w:val="13"/>
                <w:szCs w:val="13"/>
                <w:color w:val="auto"/>
              </w:rPr>
              <w:t>Financing cash flows from finance leases</w:t>
            </w:r>
          </w:p>
        </w:tc>
        <w:tc>
          <w:tcPr>
            <w:tcW w:w="1200" w:type="dxa"/>
            <w:vAlign w:val="bottom"/>
          </w:tcPr>
          <w:p>
            <w:pPr>
              <w:spacing w:after="0"/>
              <w:rPr>
                <w:sz w:val="13"/>
                <w:szCs w:val="13"/>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4,305</w:t>
            </w: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jc w:val="right"/>
              <w:ind w:right="57"/>
              <w:spacing w:after="0"/>
              <w:rPr>
                <w:sz w:val="20"/>
                <w:szCs w:val="20"/>
                <w:color w:val="auto"/>
              </w:rPr>
            </w:pPr>
            <w:r>
              <w:rPr>
                <w:rFonts w:ascii="Arial" w:cs="Arial" w:eastAsia="Arial" w:hAnsi="Arial"/>
                <w:sz w:val="13"/>
                <w:szCs w:val="13"/>
                <w:color w:val="auto"/>
              </w:rPr>
              <w:t>7,844</w:t>
            </w:r>
          </w:p>
        </w:tc>
      </w:tr>
      <w:tr>
        <w:trPr>
          <w:trHeight w:val="164"/>
        </w:trPr>
        <w:tc>
          <w:tcPr>
            <w:tcW w:w="6800" w:type="dxa"/>
            <w:vAlign w:val="bottom"/>
            <w:shd w:val="clear" w:color="auto" w:fill="CFF0FC"/>
          </w:tcPr>
          <w:p>
            <w:pPr>
              <w:ind w:left="20"/>
              <w:spacing w:after="0"/>
              <w:rPr>
                <w:sz w:val="20"/>
                <w:szCs w:val="20"/>
                <w:color w:val="auto"/>
              </w:rPr>
            </w:pPr>
            <w:r>
              <w:rPr>
                <w:rFonts w:ascii="Arial" w:cs="Arial" w:eastAsia="Arial" w:hAnsi="Arial"/>
                <w:sz w:val="13"/>
                <w:szCs w:val="13"/>
                <w:color w:val="auto"/>
              </w:rPr>
              <w:t>Cash paid for interest on other obligations</w:t>
            </w:r>
          </w:p>
        </w:tc>
        <w:tc>
          <w:tcPr>
            <w:tcW w:w="120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24,545</w:t>
            </w:r>
          </w:p>
        </w:tc>
        <w:tc>
          <w:tcPr>
            <w:tcW w:w="1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3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7,667</w:t>
            </w:r>
          </w:p>
        </w:tc>
      </w:tr>
      <w:tr>
        <w:trPr>
          <w:trHeight w:val="160"/>
        </w:trPr>
        <w:tc>
          <w:tcPr>
            <w:tcW w:w="6800" w:type="dxa"/>
            <w:vAlign w:val="bottom"/>
          </w:tcPr>
          <w:p>
            <w:pPr>
              <w:ind w:left="20"/>
              <w:spacing w:after="0"/>
              <w:rPr>
                <w:sz w:val="20"/>
                <w:szCs w:val="20"/>
                <w:color w:val="auto"/>
              </w:rPr>
            </w:pPr>
            <w:r>
              <w:rPr>
                <w:rFonts w:ascii="Arial" w:cs="Arial" w:eastAsia="Arial" w:hAnsi="Arial"/>
                <w:sz w:val="13"/>
                <w:szCs w:val="13"/>
                <w:color w:val="auto"/>
              </w:rPr>
              <w:t>Cash paid for income taxes</w:t>
            </w:r>
          </w:p>
        </w:tc>
        <w:tc>
          <w:tcPr>
            <w:tcW w:w="1200" w:type="dxa"/>
            <w:vAlign w:val="bottom"/>
          </w:tcPr>
          <w:p>
            <w:pPr>
              <w:spacing w:after="0"/>
              <w:rPr>
                <w:sz w:val="13"/>
                <w:szCs w:val="13"/>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51,435</w:t>
            </w: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jc w:val="right"/>
              <w:ind w:right="57"/>
              <w:spacing w:after="0"/>
              <w:rPr>
                <w:sz w:val="20"/>
                <w:szCs w:val="20"/>
                <w:color w:val="auto"/>
              </w:rPr>
            </w:pPr>
            <w:r>
              <w:rPr>
                <w:rFonts w:ascii="Arial" w:cs="Arial" w:eastAsia="Arial" w:hAnsi="Arial"/>
                <w:sz w:val="13"/>
                <w:szCs w:val="13"/>
                <w:color w:val="auto"/>
              </w:rPr>
              <w:t>10,379</w:t>
            </w:r>
          </w:p>
        </w:tc>
      </w:tr>
      <w:tr>
        <w:trPr>
          <w:trHeight w:val="164"/>
        </w:trPr>
        <w:tc>
          <w:tcPr>
            <w:tcW w:w="6800" w:type="dxa"/>
            <w:vAlign w:val="bottom"/>
            <w:shd w:val="clear" w:color="auto" w:fill="CFF0FC"/>
          </w:tcPr>
          <w:p>
            <w:pPr>
              <w:ind w:left="20"/>
              <w:spacing w:after="0"/>
              <w:rPr>
                <w:sz w:val="20"/>
                <w:szCs w:val="20"/>
                <w:color w:val="auto"/>
              </w:rPr>
            </w:pPr>
            <w:r>
              <w:rPr>
                <w:rFonts w:ascii="Arial" w:cs="Arial" w:eastAsia="Arial" w:hAnsi="Arial"/>
                <w:sz w:val="13"/>
                <w:szCs w:val="13"/>
                <w:color w:val="auto"/>
              </w:rPr>
              <w:t>Lease liabilities arising from the recognition of operating right-of-use assets</w:t>
            </w:r>
          </w:p>
        </w:tc>
        <w:tc>
          <w:tcPr>
            <w:tcW w:w="120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20,046</w:t>
            </w:r>
          </w:p>
        </w:tc>
        <w:tc>
          <w:tcPr>
            <w:tcW w:w="1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3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38,070</w:t>
            </w:r>
          </w:p>
        </w:tc>
      </w:tr>
      <w:tr>
        <w:trPr>
          <w:trHeight w:val="160"/>
        </w:trPr>
        <w:tc>
          <w:tcPr>
            <w:tcW w:w="6800" w:type="dxa"/>
            <w:vAlign w:val="bottom"/>
          </w:tcPr>
          <w:p>
            <w:pPr>
              <w:ind w:left="20"/>
              <w:spacing w:after="0"/>
              <w:rPr>
                <w:sz w:val="20"/>
                <w:szCs w:val="20"/>
                <w:color w:val="auto"/>
              </w:rPr>
            </w:pPr>
            <w:r>
              <w:rPr>
                <w:rFonts w:ascii="Arial" w:cs="Arial" w:eastAsia="Arial" w:hAnsi="Arial"/>
                <w:sz w:val="13"/>
                <w:szCs w:val="13"/>
                <w:color w:val="auto"/>
              </w:rPr>
              <w:t>Lease liabilities arising from the recognition of finance right-of-use assets</w:t>
            </w:r>
          </w:p>
        </w:tc>
        <w:tc>
          <w:tcPr>
            <w:tcW w:w="1200" w:type="dxa"/>
            <w:vAlign w:val="bottom"/>
          </w:tcPr>
          <w:p>
            <w:pPr>
              <w:spacing w:after="0"/>
              <w:rPr>
                <w:sz w:val="13"/>
                <w:szCs w:val="13"/>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1,891</w:t>
            </w: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jc w:val="right"/>
              <w:ind w:right="57"/>
              <w:spacing w:after="0"/>
              <w:rPr>
                <w:sz w:val="20"/>
                <w:szCs w:val="20"/>
                <w:color w:val="auto"/>
              </w:rPr>
            </w:pPr>
            <w:r>
              <w:rPr>
                <w:rFonts w:ascii="Arial" w:cs="Arial" w:eastAsia="Arial" w:hAnsi="Arial"/>
                <w:sz w:val="13"/>
                <w:szCs w:val="13"/>
                <w:color w:val="auto"/>
              </w:rPr>
              <w:t>18,743</w:t>
            </w:r>
          </w:p>
        </w:tc>
      </w:tr>
      <w:tr>
        <w:trPr>
          <w:trHeight w:val="164"/>
        </w:trPr>
        <w:tc>
          <w:tcPr>
            <w:tcW w:w="680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Supplemental disclosure of non-cash investing and financing activities:</w:t>
            </w:r>
          </w:p>
        </w:tc>
        <w:tc>
          <w:tcPr>
            <w:tcW w:w="12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r>
      <w:tr>
        <w:trPr>
          <w:trHeight w:val="160"/>
        </w:trPr>
        <w:tc>
          <w:tcPr>
            <w:tcW w:w="6800" w:type="dxa"/>
            <w:vAlign w:val="bottom"/>
          </w:tcPr>
          <w:p>
            <w:pPr>
              <w:ind w:left="20"/>
              <w:spacing w:after="0"/>
              <w:rPr>
                <w:sz w:val="20"/>
                <w:szCs w:val="20"/>
                <w:color w:val="auto"/>
              </w:rPr>
            </w:pPr>
            <w:r>
              <w:rPr>
                <w:rFonts w:ascii="Arial" w:cs="Arial" w:eastAsia="Arial" w:hAnsi="Arial"/>
                <w:sz w:val="13"/>
                <w:szCs w:val="13"/>
                <w:color w:val="auto"/>
              </w:rPr>
              <w:t>Non-cash fixed asset additions within accounts payable and accrued expenses</w:t>
            </w:r>
          </w:p>
        </w:tc>
        <w:tc>
          <w:tcPr>
            <w:tcW w:w="1200" w:type="dxa"/>
            <w:vAlign w:val="bottom"/>
          </w:tcPr>
          <w:p>
            <w:pPr>
              <w:spacing w:after="0"/>
              <w:rPr>
                <w:sz w:val="13"/>
                <w:szCs w:val="13"/>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2,513</w:t>
            </w: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jc w:val="right"/>
              <w:ind w:right="57"/>
              <w:spacing w:after="0"/>
              <w:rPr>
                <w:sz w:val="20"/>
                <w:szCs w:val="20"/>
                <w:color w:val="auto"/>
              </w:rPr>
            </w:pPr>
            <w:r>
              <w:rPr>
                <w:rFonts w:ascii="Arial" w:cs="Arial" w:eastAsia="Arial" w:hAnsi="Arial"/>
                <w:sz w:val="13"/>
                <w:szCs w:val="13"/>
                <w:color w:val="auto"/>
              </w:rPr>
              <w:t>18,242</w:t>
            </w:r>
          </w:p>
        </w:tc>
      </w:tr>
      <w:tr>
        <w:trPr>
          <w:trHeight w:val="164"/>
        </w:trPr>
        <w:tc>
          <w:tcPr>
            <w:tcW w:w="6800" w:type="dxa"/>
            <w:vAlign w:val="bottom"/>
            <w:shd w:val="clear" w:color="auto" w:fill="CFF0FC"/>
          </w:tcPr>
          <w:p>
            <w:pPr>
              <w:ind w:left="20"/>
              <w:spacing w:after="0"/>
              <w:rPr>
                <w:sz w:val="20"/>
                <w:szCs w:val="20"/>
                <w:color w:val="auto"/>
              </w:rPr>
            </w:pPr>
            <w:r>
              <w:rPr>
                <w:rFonts w:ascii="Arial" w:cs="Arial" w:eastAsia="Arial" w:hAnsi="Arial"/>
                <w:sz w:val="13"/>
                <w:szCs w:val="13"/>
                <w:color w:val="auto"/>
              </w:rPr>
              <w:t>Shares issued in connection with business acquisitions</w:t>
            </w:r>
          </w:p>
        </w:tc>
        <w:tc>
          <w:tcPr>
            <w:tcW w:w="1200" w:type="dxa"/>
            <w:vAlign w:val="bottom"/>
            <w:shd w:val="clear" w:color="auto" w:fill="CFF0FC"/>
          </w:tcPr>
          <w:p>
            <w:pPr>
              <w:jc w:val="right"/>
              <w:ind w:right="1086"/>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7,609</w:t>
            </w:r>
          </w:p>
        </w:tc>
        <w:tc>
          <w:tcPr>
            <w:tcW w:w="980" w:type="dxa"/>
            <w:vAlign w:val="bottom"/>
            <w:gridSpan w:val="2"/>
            <w:shd w:val="clear" w:color="auto" w:fill="CFF0FC"/>
          </w:tcPr>
          <w:p>
            <w:pPr>
              <w:jc w:val="right"/>
              <w:ind w:right="697"/>
              <w:spacing w:after="0"/>
              <w:rPr>
                <w:sz w:val="20"/>
                <w:szCs w:val="20"/>
                <w:color w:val="auto"/>
              </w:rPr>
            </w:pPr>
            <w:r>
              <w:rPr>
                <w:rFonts w:ascii="Arial" w:cs="Arial" w:eastAsia="Arial" w:hAnsi="Arial"/>
                <w:sz w:val="13"/>
                <w:szCs w:val="13"/>
                <w:color w:val="auto"/>
              </w:rPr>
              <w:t>$</w:t>
            </w:r>
          </w:p>
        </w:tc>
        <w:tc>
          <w:tcPr>
            <w:tcW w:w="13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132,201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5664835</wp:posOffset>
            </wp:positionH>
            <wp:positionV relativeFrom="paragraph">
              <wp:posOffset>-4331970</wp:posOffset>
            </wp:positionV>
            <wp:extent cx="93980" cy="1200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93980" cy="120015"/>
                    </a:xfrm>
                    <a:prstGeom prst="rect">
                      <a:avLst/>
                    </a:prstGeom>
                    <a:noFill/>
                  </pic:spPr>
                </pic:pic>
              </a:graphicData>
            </a:graphic>
          </wp:anchor>
        </w:drawing>
        <w:drawing>
          <wp:anchor simplePos="0" relativeHeight="251657728" behindDoc="1" locked="0" layoutInCell="0" allowOverlap="1">
            <wp:simplePos x="0" y="0"/>
            <wp:positionH relativeFrom="column">
              <wp:posOffset>5664835</wp:posOffset>
            </wp:positionH>
            <wp:positionV relativeFrom="paragraph">
              <wp:posOffset>-3493135</wp:posOffset>
            </wp:positionV>
            <wp:extent cx="93980" cy="1200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93980" cy="120015"/>
                    </a:xfrm>
                    <a:prstGeom prst="rect">
                      <a:avLst/>
                    </a:prstGeom>
                    <a:noFill/>
                  </pic:spPr>
                </pic:pic>
              </a:graphicData>
            </a:graphic>
          </wp:anchor>
        </w:drawing>
        <w:drawing>
          <wp:anchor simplePos="0" relativeHeight="251657728" behindDoc="1" locked="0" layoutInCell="0" allowOverlap="1">
            <wp:simplePos x="0" y="0"/>
            <wp:positionH relativeFrom="column">
              <wp:posOffset>5664835</wp:posOffset>
            </wp:positionH>
            <wp:positionV relativeFrom="paragraph">
              <wp:posOffset>-2242820</wp:posOffset>
            </wp:positionV>
            <wp:extent cx="93980" cy="1200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93980" cy="120015"/>
                    </a:xfrm>
                    <a:prstGeom prst="rect">
                      <a:avLst/>
                    </a:prstGeom>
                    <a:noFill/>
                  </pic:spPr>
                </pic:pic>
              </a:graphicData>
            </a:graphic>
          </wp:anchor>
        </w:drawing>
        <w:drawing>
          <wp:anchor simplePos="0" relativeHeight="251657728" behindDoc="1" locked="0" layoutInCell="0" allowOverlap="1">
            <wp:simplePos x="0" y="0"/>
            <wp:positionH relativeFrom="column">
              <wp:posOffset>5664835</wp:posOffset>
            </wp:positionH>
            <wp:positionV relativeFrom="paragraph">
              <wp:posOffset>-1805940</wp:posOffset>
            </wp:positionV>
            <wp:extent cx="93980" cy="1282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93980" cy="128270"/>
                    </a:xfrm>
                    <a:prstGeom prst="rect">
                      <a:avLst/>
                    </a:prstGeom>
                    <a:noFill/>
                  </pic:spPr>
                </pic:pic>
              </a:graphicData>
            </a:graphic>
          </wp:anchor>
        </w:drawing>
        <w:drawing>
          <wp:anchor simplePos="0" relativeHeight="251657728" behindDoc="1" locked="0" layoutInCell="0" allowOverlap="1">
            <wp:simplePos x="0" y="0"/>
            <wp:positionH relativeFrom="column">
              <wp:posOffset>5664835</wp:posOffset>
            </wp:positionH>
            <wp:positionV relativeFrom="paragraph">
              <wp:posOffset>-1360805</wp:posOffset>
            </wp:positionV>
            <wp:extent cx="93980" cy="2311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93980"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COLUMBIA CARE INC.</w:t>
      </w:r>
    </w:p>
    <w:p>
      <w:pPr>
        <w:spacing w:after="0" w:line="15" w:lineRule="exact"/>
        <w:rPr>
          <w:sz w:val="20"/>
          <w:szCs w:val="20"/>
          <w:color w:val="auto"/>
        </w:rPr>
      </w:pPr>
    </w:p>
    <w:p>
      <w:pPr>
        <w:ind w:right="4440"/>
        <w:spacing w:after="0" w:line="253" w:lineRule="auto"/>
        <w:rPr>
          <w:sz w:val="20"/>
          <w:szCs w:val="20"/>
          <w:color w:val="auto"/>
        </w:rPr>
      </w:pPr>
      <w:r>
        <w:rPr>
          <w:rFonts w:ascii="Arial" w:cs="Arial" w:eastAsia="Arial" w:hAnsi="Arial"/>
          <w:sz w:val="17"/>
          <w:szCs w:val="17"/>
          <w:color w:val="auto"/>
        </w:rPr>
        <w:t>NOTES TO THE CONDENSED INTERIM CONSOLIDATED FINANCIAL STATEMENTS FOR THE THREE AND NINE MONTHS ENDED SEPTEMBER 30, 2022 AND 2021 (Expressed in thousands of U.S. dollars, except for share and per share amounts)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380" w:hanging="372"/>
        <w:spacing w:after="0"/>
        <w:tabs>
          <w:tab w:leader="none" w:pos="3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OPERATIONS OF THE COMPANY</w:t>
      </w:r>
    </w:p>
    <w:p>
      <w:pPr>
        <w:spacing w:after="0" w:line="134" w:lineRule="exact"/>
        <w:rPr>
          <w:rFonts w:ascii="Arial" w:cs="Arial" w:eastAsia="Arial" w:hAnsi="Arial"/>
          <w:sz w:val="18"/>
          <w:szCs w:val="18"/>
          <w:b w:val="1"/>
          <w:bCs w:val="1"/>
          <w:color w:val="auto"/>
        </w:rPr>
      </w:pPr>
    </w:p>
    <w:p>
      <w:pPr>
        <w:jc w:val="both"/>
        <w:ind w:left="380" w:right="20"/>
        <w:spacing w:after="0" w:line="238" w:lineRule="auto"/>
        <w:rPr>
          <w:rFonts w:ascii="Arial" w:cs="Arial" w:eastAsia="Arial" w:hAnsi="Arial"/>
          <w:sz w:val="18"/>
          <w:szCs w:val="18"/>
          <w:b w:val="1"/>
          <w:bCs w:val="1"/>
          <w:color w:val="auto"/>
        </w:rPr>
      </w:pPr>
      <w:r>
        <w:rPr>
          <w:rFonts w:ascii="Arial" w:cs="Arial" w:eastAsia="Arial" w:hAnsi="Arial"/>
          <w:sz w:val="18"/>
          <w:szCs w:val="18"/>
          <w:color w:val="auto"/>
        </w:rPr>
        <w:t>Columbia Care Inc. (“the Company” or “the Parent”), was incorporated under the laws of the Province of Ontario on August 13, 2018. The Company's principal mission is to improve lives by providing cannabis-based health and wellness solutions and derivative products to qualified patients and consumers. The Company’s head office and principal address is 680 Fifth Ave. 24th Floor, New York, New York 10019. The Company’s registered and records office address is 666 Burrard St #1700, Vancouver, British Columbia V6C 2X8.</w:t>
      </w:r>
    </w:p>
    <w:p>
      <w:pPr>
        <w:spacing w:after="0" w:line="109" w:lineRule="exact"/>
        <w:rPr>
          <w:rFonts w:ascii="Arial" w:cs="Arial" w:eastAsia="Arial" w:hAnsi="Arial"/>
          <w:sz w:val="18"/>
          <w:szCs w:val="18"/>
          <w:b w:val="1"/>
          <w:bCs w:val="1"/>
          <w:color w:val="auto"/>
        </w:rPr>
      </w:pPr>
    </w:p>
    <w:p>
      <w:pPr>
        <w:jc w:val="both"/>
        <w:ind w:left="380"/>
        <w:spacing w:after="0" w:line="238" w:lineRule="auto"/>
        <w:rPr>
          <w:rFonts w:ascii="Arial" w:cs="Arial" w:eastAsia="Arial" w:hAnsi="Arial"/>
          <w:sz w:val="18"/>
          <w:szCs w:val="18"/>
          <w:b w:val="1"/>
          <w:bCs w:val="1"/>
          <w:color w:val="auto"/>
        </w:rPr>
      </w:pPr>
      <w:r>
        <w:rPr>
          <w:rFonts w:ascii="Arial" w:cs="Arial" w:eastAsia="Arial" w:hAnsi="Arial"/>
          <w:sz w:val="18"/>
          <w:szCs w:val="18"/>
          <w:color w:val="auto"/>
        </w:rPr>
        <w:t>On April 26, 2019, the Company completed a reverse takeover (“RTO”) transaction and private placement. Following the RTO, the Company’s Common Shares were listed on the Aequitas NEO exchange, trading under the symbol “CCHW”. As of the time of this report, the Company’s Common Shares are also listed on the Canadian Securities Exchange (the “CSE”) under the symbol “CCHW”, the OTCQX Best Market under the symbol “CCHWF” and on the Frankfurt Stock Exchange under the symbol “3LP”.</w:t>
      </w:r>
    </w:p>
    <w:p>
      <w:pPr>
        <w:spacing w:after="0" w:line="109" w:lineRule="exact"/>
        <w:rPr>
          <w:rFonts w:ascii="Arial" w:cs="Arial" w:eastAsia="Arial" w:hAnsi="Arial"/>
          <w:sz w:val="18"/>
          <w:szCs w:val="18"/>
          <w:b w:val="1"/>
          <w:bCs w:val="1"/>
          <w:color w:val="auto"/>
        </w:rPr>
      </w:pPr>
    </w:p>
    <w:p>
      <w:pPr>
        <w:jc w:val="both"/>
        <w:ind w:left="380"/>
        <w:spacing w:after="0" w:line="231" w:lineRule="auto"/>
        <w:rPr>
          <w:rFonts w:ascii="Arial" w:cs="Arial" w:eastAsia="Arial" w:hAnsi="Arial"/>
          <w:sz w:val="18"/>
          <w:szCs w:val="18"/>
          <w:b w:val="1"/>
          <w:bCs w:val="1"/>
          <w:color w:val="auto"/>
        </w:rPr>
      </w:pPr>
      <w:r>
        <w:rPr>
          <w:rFonts w:ascii="Arial" w:cs="Arial" w:eastAsia="Arial" w:hAnsi="Arial"/>
          <w:sz w:val="18"/>
          <w:szCs w:val="18"/>
          <w:color w:val="auto"/>
        </w:rPr>
        <w:t>On March 23, 2022, the Company jointly announced with Cresco Labs LLC (“Cresco Labs”) that the Company and Cresco Labs have entered into a definitive arrangement agreement (the “Arrangement Agreement”) pursuant to which Cresco Labs will acquire all of the issued and outstanding shares (the “Company Shares”) of the Company (the “Cresco Transaction”). Subject to customary closing conditions and necessary regulatory approvals, the Cresco Transaction is expected to close around the end of the first quarter of 2023. Under the terms of the Arrangement Agreement, shareholders of the Company (the “Company Shareholders”) will receive 0.5579 of a subordinate voting share of Cresco Labs (each whole share, a “Cresco Labs Share”) for each Company common share (or equivalent) held, subject to adjustment, representing total consideration enterprise value of approximately US$2.0 billion based on the closing price of Cresco Labs Shares on the CSE as of March 22, 2022. After giving effect to the Cresco Transaction, Company Shareholders will hold approximately 35% of the pro forma Cresco Labs Shares (on a fully diluted in-the-money, treasury method basis).</w:t>
      </w:r>
    </w:p>
    <w:p>
      <w:pPr>
        <w:spacing w:after="0" w:line="117" w:lineRule="exact"/>
        <w:rPr>
          <w:rFonts w:ascii="Arial" w:cs="Arial" w:eastAsia="Arial" w:hAnsi="Arial"/>
          <w:sz w:val="18"/>
          <w:szCs w:val="18"/>
          <w:b w:val="1"/>
          <w:bCs w:val="1"/>
          <w:color w:val="auto"/>
        </w:rPr>
      </w:pPr>
    </w:p>
    <w:p>
      <w:pPr>
        <w:ind w:left="380" w:right="6180" w:hanging="372"/>
        <w:spacing w:after="0" w:line="401" w:lineRule="auto"/>
        <w:tabs>
          <w:tab w:leader="none" w:pos="3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preparation</w:t>
      </w:r>
    </w:p>
    <w:p>
      <w:pPr>
        <w:jc w:val="both"/>
        <w:ind w:left="380"/>
        <w:spacing w:after="0"/>
        <w:rPr>
          <w:rFonts w:ascii="Arial" w:cs="Arial" w:eastAsia="Arial" w:hAnsi="Arial"/>
          <w:sz w:val="18"/>
          <w:szCs w:val="18"/>
          <w:b w:val="1"/>
          <w:bCs w:val="1"/>
          <w:color w:val="auto"/>
        </w:rPr>
      </w:pPr>
      <w:r>
        <w:rPr>
          <w:rFonts w:ascii="Arial" w:cs="Arial" w:eastAsia="Arial" w:hAnsi="Arial"/>
          <w:sz w:val="18"/>
          <w:szCs w:val="18"/>
          <w:color w:val="auto"/>
        </w:rPr>
        <w:t>The accompanying unaudited condensed interim consolidated financial statements of the Company have been prepared in accordance with accounting principles generally accepted in the United States (“U.S. GAAP” or “GAAP”) for interim financial information and the rules and regulations of the Securities and Exchange Commission (the “SEC”).</w:t>
      </w:r>
    </w:p>
    <w:p>
      <w:pPr>
        <w:spacing w:after="0" w:line="107" w:lineRule="exact"/>
        <w:rPr>
          <w:rFonts w:ascii="Arial" w:cs="Arial" w:eastAsia="Arial" w:hAnsi="Arial"/>
          <w:sz w:val="18"/>
          <w:szCs w:val="18"/>
          <w:b w:val="1"/>
          <w:bCs w:val="1"/>
          <w:color w:val="auto"/>
        </w:rPr>
      </w:pPr>
    </w:p>
    <w:p>
      <w:pPr>
        <w:jc w:val="both"/>
        <w:ind w:left="380"/>
        <w:spacing w:after="0" w:line="247" w:lineRule="auto"/>
        <w:rPr>
          <w:rFonts w:ascii="Arial" w:cs="Arial" w:eastAsia="Arial" w:hAnsi="Arial"/>
          <w:sz w:val="18"/>
          <w:szCs w:val="18"/>
          <w:b w:val="1"/>
          <w:bCs w:val="1"/>
          <w:color w:val="auto"/>
        </w:rPr>
      </w:pPr>
      <w:r>
        <w:rPr>
          <w:rFonts w:ascii="Arial" w:cs="Arial" w:eastAsia="Arial" w:hAnsi="Arial"/>
          <w:sz w:val="17"/>
          <w:szCs w:val="17"/>
          <w:color w:val="auto"/>
        </w:rPr>
        <w:t>The accompanying unaudited condensed interim consolidated financial statements contain all normal and recurring adjustments necessary to state fairly the consolidated financial condition, results of operations, comprehensive income, statement of shareholders’ equity, and cash flows of the Company for the interim periods presented. Except as otherwise disclosed, all such adjustments consist only of those of a normal recurring nature. Operating results for the three and nine months ended September 30, 2022, are not necessarily indicative of the results that may be expected for the current year ending December 31, 2022. The financial data presented herein should be read in conjunction with the audited consolidated financial statements and accompanying notes as of and for the years ended December 31, 2021, and 2020 included in the Annual Report on Form 10-K for the year ended December 31, 2021 (the “2021 Form 10-K”).</w:t>
      </w:r>
    </w:p>
    <w:p>
      <w:pPr>
        <w:spacing w:after="0" w:line="101" w:lineRule="exact"/>
        <w:rPr>
          <w:rFonts w:ascii="Arial" w:cs="Arial" w:eastAsia="Arial" w:hAnsi="Arial"/>
          <w:sz w:val="18"/>
          <w:szCs w:val="18"/>
          <w:b w:val="1"/>
          <w:bCs w:val="1"/>
          <w:color w:val="auto"/>
        </w:rPr>
      </w:pPr>
    </w:p>
    <w:p>
      <w:pPr>
        <w:jc w:val="both"/>
        <w:ind w:left="380"/>
        <w:spacing w:after="0" w:line="261" w:lineRule="auto"/>
        <w:rPr>
          <w:rFonts w:ascii="Arial" w:cs="Arial" w:eastAsia="Arial" w:hAnsi="Arial"/>
          <w:sz w:val="18"/>
          <w:szCs w:val="18"/>
          <w:b w:val="1"/>
          <w:bCs w:val="1"/>
          <w:color w:val="auto"/>
        </w:rPr>
      </w:pPr>
      <w:r>
        <w:rPr>
          <w:rFonts w:ascii="Arial" w:cs="Arial" w:eastAsia="Arial" w:hAnsi="Arial"/>
          <w:sz w:val="17"/>
          <w:szCs w:val="17"/>
          <w:color w:val="auto"/>
        </w:rPr>
        <w:t>The preparation of these unaudited condensed interim consolidated financial statements in conformity with U.S. GAAP requires management to make estimates and assumptions that affect the reported amounts of assets and liabilities as of the date of the financial statements, and the reported amounts of revenues and expenses during the reporting periods. Actual results could differ materially from those estimates.</w:t>
      </w:r>
    </w:p>
    <w:p>
      <w:pPr>
        <w:spacing w:after="0" w:line="103" w:lineRule="exact"/>
        <w:rPr>
          <w:rFonts w:ascii="Arial" w:cs="Arial" w:eastAsia="Arial" w:hAnsi="Arial"/>
          <w:sz w:val="18"/>
          <w:szCs w:val="18"/>
          <w:b w:val="1"/>
          <w:bCs w:val="1"/>
          <w:color w:val="auto"/>
        </w:rPr>
      </w:pPr>
    </w:p>
    <w:p>
      <w:pPr>
        <w:ind w:left="380" w:right="20"/>
        <w:spacing w:after="0" w:line="245" w:lineRule="auto"/>
        <w:rPr>
          <w:rFonts w:ascii="Arial" w:cs="Arial" w:eastAsia="Arial" w:hAnsi="Arial"/>
          <w:sz w:val="18"/>
          <w:szCs w:val="18"/>
          <w:b w:val="1"/>
          <w:bCs w:val="1"/>
          <w:color w:val="auto"/>
        </w:rPr>
      </w:pPr>
      <w:r>
        <w:rPr>
          <w:rFonts w:ascii="Arial" w:cs="Arial" w:eastAsia="Arial" w:hAnsi="Arial"/>
          <w:sz w:val="18"/>
          <w:szCs w:val="18"/>
          <w:color w:val="auto"/>
        </w:rPr>
        <w:t>Certain information and footnote disclosures normally included in financial statements prepared in accordance with U.S. GAAP have been condensed or omitted pursuant to the rules and regulations of the SEC and the instructions to Form 10-Q.</w:t>
      </w:r>
    </w:p>
    <w:p>
      <w:pPr>
        <w:spacing w:after="0" w:line="103"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Significant Accounting Judgments, Estimates and Assumptions</w:t>
      </w:r>
    </w:p>
    <w:p>
      <w:pPr>
        <w:spacing w:after="0" w:line="157" w:lineRule="exact"/>
        <w:rPr>
          <w:rFonts w:ascii="Arial" w:cs="Arial" w:eastAsia="Arial" w:hAnsi="Arial"/>
          <w:sz w:val="18"/>
          <w:szCs w:val="18"/>
          <w:b w:val="1"/>
          <w:bCs w:val="1"/>
          <w:color w:val="auto"/>
        </w:rPr>
      </w:pPr>
    </w:p>
    <w:p>
      <w:pPr>
        <w:ind w:left="38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The Company’s significant accounting policies are described in Note 2 to the Company’s 2021 Form 10-K, filed with the SEC, on March 31, 2022. There have been no material changes to the Company’s significant accounting policies.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9" w:name="page10"/>
    <w:bookmarkEnd w:id="9"/>
    <w:tbl>
      <w:tblPr>
        <w:tblLayout w:type="fixed"/>
        <w:tblInd w:w="380" w:type="dxa"/>
        <w:tblCellMar>
          <w:top w:w="0" w:type="dxa"/>
          <w:left w:w="0" w:type="dxa"/>
          <w:bottom w:w="0" w:type="dxa"/>
          <w:right w:w="0" w:type="dxa"/>
        </w:tblCellMar>
      </w:tblPr>
      <w:tr>
        <w:trPr>
          <w:trHeight w:val="230"/>
        </w:trPr>
        <w:tc>
          <w:tcPr>
            <w:tcW w:w="29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Revenue</w:t>
            </w: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351"/>
        </w:trPr>
        <w:tc>
          <w:tcPr>
            <w:tcW w:w="4020" w:type="dxa"/>
            <w:vAlign w:val="bottom"/>
            <w:gridSpan w:val="3"/>
          </w:tcPr>
          <w:p>
            <w:pPr>
              <w:spacing w:after="0"/>
              <w:rPr>
                <w:sz w:val="20"/>
                <w:szCs w:val="20"/>
                <w:color w:val="auto"/>
              </w:rPr>
            </w:pPr>
            <w:r>
              <w:rPr>
                <w:rFonts w:ascii="Arial" w:cs="Arial" w:eastAsia="Arial" w:hAnsi="Arial"/>
                <w:sz w:val="18"/>
                <w:szCs w:val="18"/>
                <w:color w:val="auto"/>
                <w:w w:val="90"/>
              </w:rPr>
              <w:t>The Company’s revenues are disaggregated as follows:</w:t>
            </w: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418"/>
        </w:trPr>
        <w:tc>
          <w:tcPr>
            <w:tcW w:w="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4"/>
          </w:tcPr>
          <w:p>
            <w:pPr>
              <w:jc w:val="right"/>
              <w:ind w:right="1130"/>
              <w:spacing w:after="0"/>
              <w:rPr>
                <w:sz w:val="20"/>
                <w:szCs w:val="20"/>
                <w:color w:val="auto"/>
              </w:rPr>
            </w:pPr>
            <w:r>
              <w:rPr>
                <w:rFonts w:ascii="Arial" w:cs="Arial" w:eastAsia="Arial" w:hAnsi="Arial"/>
                <w:sz w:val="18"/>
                <w:szCs w:val="18"/>
                <w:b w:val="1"/>
                <w:bCs w:val="1"/>
                <w:color w:val="auto"/>
                <w:w w:val="90"/>
              </w:rPr>
              <w:t>Three months ended</w:t>
            </w:r>
          </w:p>
        </w:tc>
        <w:tc>
          <w:tcPr>
            <w:tcW w:w="18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4"/>
          </w:tcPr>
          <w:p>
            <w:pPr>
              <w:jc w:val="right"/>
              <w:ind w:right="1130"/>
              <w:spacing w:after="0"/>
              <w:rPr>
                <w:sz w:val="20"/>
                <w:szCs w:val="20"/>
                <w:color w:val="auto"/>
              </w:rPr>
            </w:pPr>
            <w:r>
              <w:rPr>
                <w:rFonts w:ascii="Arial" w:cs="Arial" w:eastAsia="Arial" w:hAnsi="Arial"/>
                <w:sz w:val="18"/>
                <w:szCs w:val="18"/>
                <w:b w:val="1"/>
                <w:bCs w:val="1"/>
                <w:color w:val="auto"/>
              </w:rPr>
              <w:t>Nine months ended</w:t>
            </w:r>
          </w:p>
        </w:tc>
      </w:tr>
      <w:tr>
        <w:trPr>
          <w:trHeight w:val="209"/>
        </w:trPr>
        <w:tc>
          <w:tcPr>
            <w:tcW w:w="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82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b w:val="1"/>
                <w:bCs w:val="1"/>
                <w:color w:val="auto"/>
                <w:w w:val="93"/>
              </w:rPr>
              <w:t>September 30, 2022</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89"/>
              </w:rPr>
              <w:t>September 30, 2021</w:t>
            </w:r>
          </w:p>
        </w:tc>
        <w:tc>
          <w:tcPr>
            <w:tcW w:w="180" w:type="dxa"/>
            <w:vAlign w:val="bottom"/>
          </w:tcPr>
          <w:p>
            <w:pPr>
              <w:spacing w:after="0"/>
              <w:rPr>
                <w:sz w:val="18"/>
                <w:szCs w:val="18"/>
                <w:color w:val="auto"/>
              </w:rPr>
            </w:pPr>
          </w:p>
        </w:tc>
        <w:tc>
          <w:tcPr>
            <w:tcW w:w="178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b w:val="1"/>
                <w:bCs w:val="1"/>
                <w:color w:val="auto"/>
                <w:w w:val="93"/>
              </w:rPr>
              <w:t>September 30, 2022</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88"/>
              </w:rPr>
              <w:t>September 30, 2021</w:t>
            </w:r>
          </w:p>
        </w:tc>
      </w:tr>
      <w:tr>
        <w:trPr>
          <w:trHeight w:val="209"/>
        </w:trPr>
        <w:tc>
          <w:tcPr>
            <w:tcW w:w="40" w:type="dxa"/>
            <w:vAlign w:val="bottom"/>
          </w:tcPr>
          <w:p>
            <w:pPr>
              <w:spacing w:after="0"/>
              <w:rPr>
                <w:sz w:val="18"/>
                <w:szCs w:val="18"/>
                <w:color w:val="auto"/>
              </w:rPr>
            </w:pPr>
          </w:p>
        </w:tc>
        <w:tc>
          <w:tcPr>
            <w:tcW w:w="2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Dispensary</w:t>
            </w:r>
          </w:p>
        </w:tc>
        <w:tc>
          <w:tcPr>
            <w:tcW w:w="1060" w:type="dxa"/>
            <w:vAlign w:val="bottom"/>
            <w:shd w:val="clear" w:color="auto" w:fill="CFF0FC"/>
          </w:tcPr>
          <w:p>
            <w:pPr>
              <w:jc w:val="right"/>
              <w:ind w:right="87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2"/>
              </w:rPr>
              <w:t>111,960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103,368</w:t>
            </w:r>
          </w:p>
        </w:tc>
        <w:tc>
          <w:tcPr>
            <w:tcW w:w="18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4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328,070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263,267</w:t>
            </w:r>
          </w:p>
        </w:tc>
      </w:tr>
      <w:tr>
        <w:trPr>
          <w:trHeight w:val="216"/>
        </w:trPr>
        <w:tc>
          <w:tcPr>
            <w:tcW w:w="40" w:type="dxa"/>
            <w:vAlign w:val="bottom"/>
          </w:tcPr>
          <w:p>
            <w:pPr>
              <w:spacing w:after="0"/>
              <w:rPr>
                <w:sz w:val="18"/>
                <w:szCs w:val="18"/>
                <w:color w:val="auto"/>
              </w:rPr>
            </w:pPr>
          </w:p>
        </w:tc>
        <w:tc>
          <w:tcPr>
            <w:tcW w:w="2920" w:type="dxa"/>
            <w:vAlign w:val="bottom"/>
          </w:tcPr>
          <w:p>
            <w:pPr>
              <w:ind w:left="20"/>
              <w:spacing w:after="0"/>
              <w:rPr>
                <w:sz w:val="20"/>
                <w:szCs w:val="20"/>
                <w:color w:val="auto"/>
              </w:rPr>
            </w:pPr>
            <w:r>
              <w:rPr>
                <w:rFonts w:ascii="Arial" w:cs="Arial" w:eastAsia="Arial" w:hAnsi="Arial"/>
                <w:sz w:val="18"/>
                <w:szCs w:val="18"/>
                <w:color w:val="auto"/>
              </w:rPr>
              <w:t>Cultivation and wholesale</w:t>
            </w:r>
          </w:p>
        </w:tc>
        <w:tc>
          <w:tcPr>
            <w:tcW w:w="1060" w:type="dxa"/>
            <w:vAlign w:val="bottom"/>
          </w:tcPr>
          <w:p>
            <w:pPr>
              <w:spacing w:after="0"/>
              <w:rPr>
                <w:sz w:val="18"/>
                <w:szCs w:val="18"/>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20,754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28,932</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57,223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57,428</w:t>
            </w:r>
          </w:p>
        </w:tc>
      </w:tr>
      <w:tr>
        <w:trPr>
          <w:trHeight w:val="216"/>
        </w:trPr>
        <w:tc>
          <w:tcPr>
            <w:tcW w:w="40" w:type="dxa"/>
            <w:vAlign w:val="bottom"/>
          </w:tcPr>
          <w:p>
            <w:pPr>
              <w:spacing w:after="0"/>
              <w:rPr>
                <w:sz w:val="18"/>
                <w:szCs w:val="18"/>
                <w:color w:val="auto"/>
              </w:rPr>
            </w:pPr>
          </w:p>
        </w:tc>
        <w:tc>
          <w:tcPr>
            <w:tcW w:w="29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106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19</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7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22</w:t>
            </w:r>
          </w:p>
        </w:tc>
        <w:tc>
          <w:tcPr>
            <w:tcW w:w="18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98</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7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109</w:t>
            </w:r>
          </w:p>
        </w:tc>
      </w:tr>
      <w:tr>
        <w:trPr>
          <w:trHeight w:val="209"/>
        </w:trPr>
        <w:tc>
          <w:tcPr>
            <w:tcW w:w="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60" w:type="dxa"/>
            <w:vAlign w:val="bottom"/>
          </w:tcPr>
          <w:p>
            <w:pPr>
              <w:jc w:val="right"/>
              <w:ind w:right="87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50"/>
              <w:spacing w:after="0"/>
              <w:rPr>
                <w:sz w:val="20"/>
                <w:szCs w:val="20"/>
                <w:color w:val="auto"/>
              </w:rPr>
            </w:pPr>
            <w:r>
              <w:rPr>
                <w:rFonts w:ascii="Arial" w:cs="Arial" w:eastAsia="Arial" w:hAnsi="Arial"/>
                <w:sz w:val="18"/>
                <w:szCs w:val="18"/>
                <w:color w:val="auto"/>
                <w:w w:val="92"/>
              </w:rPr>
              <w:t>132,733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132,322</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385,391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320,804</w:t>
            </w:r>
          </w:p>
        </w:tc>
      </w:tr>
      <w:tr>
        <w:trPr>
          <w:trHeight w:val="20"/>
        </w:trPr>
        <w:tc>
          <w:tcPr>
            <w:tcW w:w="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3275965</wp:posOffset>
            </wp:positionH>
            <wp:positionV relativeFrom="paragraph">
              <wp:posOffset>-170815</wp:posOffset>
            </wp:positionV>
            <wp:extent cx="120015"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0015" cy="171450"/>
                    </a:xfrm>
                    <a:prstGeom prst="rect">
                      <a:avLst/>
                    </a:prstGeom>
                    <a:noFill/>
                  </pic:spPr>
                </pic:pic>
              </a:graphicData>
            </a:graphic>
          </wp:anchor>
        </w:drawing>
        <w:drawing>
          <wp:anchor simplePos="0" relativeHeight="251657728" behindDoc="1" locked="0" layoutInCell="0" allowOverlap="1">
            <wp:simplePos x="0" y="0"/>
            <wp:positionH relativeFrom="column">
              <wp:posOffset>4603115</wp:posOffset>
            </wp:positionH>
            <wp:positionV relativeFrom="paragraph">
              <wp:posOffset>-170815</wp:posOffset>
            </wp:positionV>
            <wp:extent cx="111125"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11125" cy="171450"/>
                    </a:xfrm>
                    <a:prstGeom prst="rect">
                      <a:avLst/>
                    </a:prstGeom>
                    <a:noFill/>
                  </pic:spPr>
                </pic:pic>
              </a:graphicData>
            </a:graphic>
          </wp:anchor>
        </w:drawing>
        <w:drawing>
          <wp:anchor simplePos="0" relativeHeight="251657728" behindDoc="1" locked="0" layoutInCell="0" allowOverlap="1">
            <wp:simplePos x="0" y="0"/>
            <wp:positionH relativeFrom="column">
              <wp:posOffset>5844540</wp:posOffset>
            </wp:positionH>
            <wp:positionV relativeFrom="paragraph">
              <wp:posOffset>-170815</wp:posOffset>
            </wp:positionV>
            <wp:extent cx="111125"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11125" cy="171450"/>
                    </a:xfrm>
                    <a:prstGeom prst="rect">
                      <a:avLst/>
                    </a:prstGeom>
                    <a:noFill/>
                  </pic:spPr>
                </pic:pic>
              </a:graphicData>
            </a:graphic>
          </wp:anchor>
        </w:drawing>
      </w:r>
    </w:p>
    <w:p>
      <w:pPr>
        <w:spacing w:after="0" w:line="87" w:lineRule="exact"/>
        <w:rPr>
          <w:sz w:val="20"/>
          <w:szCs w:val="20"/>
          <w:color w:val="auto"/>
        </w:rPr>
      </w:pPr>
    </w:p>
    <w:p>
      <w:pPr>
        <w:jc w:val="both"/>
        <w:ind w:left="380"/>
        <w:spacing w:after="0" w:line="238" w:lineRule="auto"/>
        <w:rPr>
          <w:sz w:val="20"/>
          <w:szCs w:val="20"/>
          <w:color w:val="auto"/>
        </w:rPr>
      </w:pPr>
      <w:r>
        <w:rPr>
          <w:rFonts w:ascii="Arial" w:cs="Arial" w:eastAsia="Arial" w:hAnsi="Arial"/>
          <w:sz w:val="18"/>
          <w:szCs w:val="18"/>
          <w:color w:val="auto"/>
        </w:rPr>
        <w:t>During the three and nine months ended September 30, 2022, the Company netted discounts of $26,156 and $74,775 against the revenues, respectively. During the three and nine months ended September 30, 2021, the Company netted discounts of $17,209 and $39,921, against the revenues, respectively. Discounts are provided by the Company during promotional days or weekends. Discounts are also provided to employees, seniors and other categories of customers and may include price reductions and coupons.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Income taxes</w:t>
      </w:r>
    </w:p>
    <w:p>
      <w:pPr>
        <w:spacing w:after="0" w:line="144" w:lineRule="exact"/>
        <w:rPr>
          <w:sz w:val="20"/>
          <w:szCs w:val="20"/>
          <w:color w:val="auto"/>
        </w:rPr>
      </w:pPr>
    </w:p>
    <w:p>
      <w:pPr>
        <w:jc w:val="both"/>
        <w:ind w:left="380"/>
        <w:spacing w:after="0" w:line="244" w:lineRule="auto"/>
        <w:rPr>
          <w:sz w:val="20"/>
          <w:szCs w:val="20"/>
          <w:color w:val="auto"/>
        </w:rPr>
      </w:pPr>
      <w:r>
        <w:rPr>
          <w:rFonts w:ascii="Arial" w:cs="Arial" w:eastAsia="Arial" w:hAnsi="Arial"/>
          <w:sz w:val="17"/>
          <w:szCs w:val="17"/>
          <w:color w:val="auto"/>
        </w:rPr>
        <w:t>The Company calculated its actual effective tax rate for the interim period and applied that rate to the interim period results. In accordance with ASC 740-270, at the end of each interim period the Company is required to determine its best estimate of its annual effective tax rate and apply that rate in providing income taxes on an interim period. However, in certain circumstances when the Company concludes it is unable to reliably estimate the annual effective tax rate for the year, the actual effective tax rate for the interim period may be used. The Company believes that, at this time, the use of the actual effective tax rate is more appropriate than the estimated annual effective tax rate method as the estimated annual effective tax rate method is not reliable due the high degree of uncertainty in estimating annual pre-tax income due to the growth stage of the business, the correlation of Selling, General, and Administrative ("SG&amp;A") expenses to revenue that are permanently disallowed via Section 280E of the Internal Revenue Code, and the timing of the completion of the Cresco transaction.</w:t>
      </w:r>
    </w:p>
    <w:p>
      <w:pPr>
        <w:spacing w:after="0" w:line="123"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Modification of debt</w:t>
      </w:r>
    </w:p>
    <w:p>
      <w:pPr>
        <w:spacing w:after="0" w:line="130" w:lineRule="exact"/>
        <w:rPr>
          <w:sz w:val="20"/>
          <w:szCs w:val="20"/>
          <w:color w:val="auto"/>
        </w:rPr>
      </w:pPr>
    </w:p>
    <w:p>
      <w:pPr>
        <w:jc w:val="both"/>
        <w:ind w:left="380"/>
        <w:spacing w:after="0" w:line="234" w:lineRule="auto"/>
        <w:rPr>
          <w:sz w:val="20"/>
          <w:szCs w:val="20"/>
          <w:color w:val="auto"/>
        </w:rPr>
      </w:pPr>
      <w:r>
        <w:rPr>
          <w:rFonts w:ascii="Arial" w:cs="Arial" w:eastAsia="Arial" w:hAnsi="Arial"/>
          <w:sz w:val="18"/>
          <w:szCs w:val="18"/>
          <w:color w:val="auto"/>
        </w:rPr>
        <w:t>The Company accounts for modifications of debt arrangements in accordance with ASC 470-50 Modifications and Extinguishments (“ASC 470-50”). As such, the Company continues to amortize any remaining unamortized debt discount as of debt modification date over the term of the amended debt. The Company expenses any fees paid to third parties and capitalizes creditor fees associated with the modification as a debt discount and amortizes them over the term of the amended debt.</w:t>
      </w:r>
    </w:p>
    <w:p>
      <w:pPr>
        <w:spacing w:after="0" w:line="123"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44" w:lineRule="exact"/>
        <w:rPr>
          <w:sz w:val="20"/>
          <w:szCs w:val="20"/>
          <w:color w:val="auto"/>
        </w:rPr>
      </w:pPr>
    </w:p>
    <w:p>
      <w:pPr>
        <w:jc w:val="both"/>
        <w:ind w:left="380"/>
        <w:spacing w:after="0" w:line="248" w:lineRule="auto"/>
        <w:rPr>
          <w:sz w:val="20"/>
          <w:szCs w:val="20"/>
          <w:color w:val="auto"/>
        </w:rPr>
      </w:pPr>
      <w:r>
        <w:rPr>
          <w:rFonts w:ascii="Arial" w:cs="Arial" w:eastAsia="Arial" w:hAnsi="Arial"/>
          <w:sz w:val="18"/>
          <w:szCs w:val="18"/>
          <w:color w:val="auto"/>
        </w:rPr>
        <w:t>We include the results of operations of the businesses that we acquire as of the acquisition date. We allocate the purchase price of the acquisitions to the assets acquired and liabilities assumed based on their estimated fair values. The excess of the purchase price over the fair values of identifiable assets and liabilities is recorded as goodwill. Acquisition-related expenses are recognized separately from the business combination and are expensed as incurred.</w:t>
      </w:r>
    </w:p>
    <w:p>
      <w:pPr>
        <w:spacing w:after="0" w:line="368" w:lineRule="exact"/>
        <w:rPr>
          <w:sz w:val="20"/>
          <w:szCs w:val="20"/>
          <w:color w:val="auto"/>
        </w:rPr>
      </w:pPr>
    </w:p>
    <w:p>
      <w:pPr>
        <w:ind w:left="380" w:hanging="372"/>
        <w:spacing w:after="0"/>
        <w:tabs>
          <w:tab w:leader="none" w:pos="3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INVENTORY</w:t>
      </w:r>
    </w:p>
    <w:p>
      <w:pPr>
        <w:spacing w:after="0" w:line="147"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color w:val="auto"/>
        </w:rPr>
        <w:t>Details of the Company’s inventory are shown in the table below:</w:t>
      </w:r>
    </w:p>
    <w:p>
      <w:pPr>
        <w:spacing w:after="0" w:line="194" w:lineRule="exact"/>
        <w:rPr>
          <w:sz w:val="20"/>
          <w:szCs w:val="20"/>
          <w:color w:val="auto"/>
        </w:rPr>
      </w:pPr>
    </w:p>
    <w:tbl>
      <w:tblPr>
        <w:tblLayout w:type="fixed"/>
        <w:tblInd w:w="400" w:type="dxa"/>
        <w:tblCellMar>
          <w:top w:w="0" w:type="dxa"/>
          <w:left w:w="0" w:type="dxa"/>
          <w:bottom w:w="0" w:type="dxa"/>
          <w:right w:w="0" w:type="dxa"/>
        </w:tblCellMar>
      </w:tblPr>
      <w:tr>
        <w:trPr>
          <w:trHeight w:val="234"/>
        </w:trPr>
        <w:tc>
          <w:tcPr>
            <w:tcW w:w="64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1"/>
              </w:rPr>
              <w:t>September 30, 2022</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2"/>
              </w:rPr>
              <w:t>December 31, 2021</w:t>
            </w:r>
          </w:p>
        </w:tc>
      </w:tr>
      <w:tr>
        <w:trPr>
          <w:trHeight w:val="209"/>
        </w:trPr>
        <w:tc>
          <w:tcPr>
            <w:tcW w:w="6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Accessories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935</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815</w:t>
            </w:r>
          </w:p>
        </w:tc>
      </w:tr>
      <w:tr>
        <w:trPr>
          <w:trHeight w:val="216"/>
        </w:trPr>
        <w:tc>
          <w:tcPr>
            <w:tcW w:w="6480" w:type="dxa"/>
            <w:vAlign w:val="bottom"/>
          </w:tcPr>
          <w:p>
            <w:pPr>
              <w:ind w:left="20"/>
              <w:spacing w:after="0"/>
              <w:rPr>
                <w:sz w:val="20"/>
                <w:szCs w:val="20"/>
                <w:color w:val="auto"/>
              </w:rPr>
            </w:pPr>
            <w:r>
              <w:rPr>
                <w:rFonts w:ascii="Arial" w:cs="Arial" w:eastAsia="Arial" w:hAnsi="Arial"/>
                <w:sz w:val="18"/>
                <w:szCs w:val="18"/>
                <w:color w:val="auto"/>
              </w:rPr>
              <w:t>Work-in-process - cannabis in cures and final vault</w:t>
            </w:r>
          </w:p>
        </w:tc>
        <w:tc>
          <w:tcPr>
            <w:tcW w:w="180" w:type="dxa"/>
            <w:vAlign w:val="bottom"/>
          </w:tcPr>
          <w:p>
            <w:pPr>
              <w:spacing w:after="0"/>
              <w:rPr>
                <w:sz w:val="18"/>
                <w:szCs w:val="18"/>
                <w:color w:val="auto"/>
              </w:rPr>
            </w:pPr>
          </w:p>
        </w:tc>
        <w:tc>
          <w:tcPr>
            <w:tcW w:w="1920" w:type="dxa"/>
            <w:vAlign w:val="bottom"/>
          </w:tcPr>
          <w:p>
            <w:pPr>
              <w:jc w:val="right"/>
              <w:ind w:right="30"/>
              <w:spacing w:after="0"/>
              <w:rPr>
                <w:sz w:val="20"/>
                <w:szCs w:val="20"/>
                <w:color w:val="auto"/>
              </w:rPr>
            </w:pPr>
            <w:r>
              <w:rPr>
                <w:rFonts w:ascii="Arial" w:cs="Arial" w:eastAsia="Arial" w:hAnsi="Arial"/>
                <w:sz w:val="18"/>
                <w:szCs w:val="18"/>
                <w:color w:val="auto"/>
              </w:rPr>
              <w:t>96,353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tcPr>
          <w:p>
            <w:pPr>
              <w:jc w:val="right"/>
              <w:ind w:right="30"/>
              <w:spacing w:after="0"/>
              <w:rPr>
                <w:sz w:val="20"/>
                <w:szCs w:val="20"/>
                <w:color w:val="auto"/>
              </w:rPr>
            </w:pPr>
            <w:r>
              <w:rPr>
                <w:rFonts w:ascii="Arial" w:cs="Arial" w:eastAsia="Arial" w:hAnsi="Arial"/>
                <w:sz w:val="18"/>
                <w:szCs w:val="18"/>
                <w:color w:val="auto"/>
              </w:rPr>
              <w:t>52,519</w:t>
            </w:r>
          </w:p>
        </w:tc>
      </w:tr>
      <w:tr>
        <w:trPr>
          <w:trHeight w:val="216"/>
        </w:trPr>
        <w:tc>
          <w:tcPr>
            <w:tcW w:w="6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Finished goods - dried cannabis, concentrate and edible products</w:t>
            </w:r>
          </w:p>
        </w:tc>
        <w:tc>
          <w:tcPr>
            <w:tcW w:w="180" w:type="dxa"/>
            <w:vAlign w:val="bottom"/>
            <w:tcBorders>
              <w:bottom w:val="single" w:sz="8" w:color="auto"/>
            </w:tcBorders>
            <w:shd w:val="clear" w:color="auto" w:fill="CFF0FC"/>
          </w:tcPr>
          <w:p>
            <w:pPr>
              <w:spacing w:after="0"/>
              <w:rPr>
                <w:sz w:val="18"/>
                <w:szCs w:val="18"/>
                <w:color w:val="auto"/>
              </w:rPr>
            </w:pPr>
          </w:p>
        </w:tc>
        <w:tc>
          <w:tcPr>
            <w:tcW w:w="1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32,888</w:t>
            </w:r>
          </w:p>
        </w:tc>
        <w:tc>
          <w:tcPr>
            <w:tcW w:w="1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9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41,233</w:t>
            </w:r>
          </w:p>
        </w:tc>
      </w:tr>
      <w:tr>
        <w:trPr>
          <w:trHeight w:val="209"/>
        </w:trPr>
        <w:tc>
          <w:tcPr>
            <w:tcW w:w="6480" w:type="dxa"/>
            <w:vAlign w:val="bottom"/>
          </w:tcPr>
          <w:p>
            <w:pPr>
              <w:ind w:left="20"/>
              <w:spacing w:after="0"/>
              <w:rPr>
                <w:sz w:val="20"/>
                <w:szCs w:val="20"/>
                <w:color w:val="auto"/>
              </w:rPr>
            </w:pPr>
            <w:r>
              <w:rPr>
                <w:rFonts w:ascii="Arial" w:cs="Arial" w:eastAsia="Arial" w:hAnsi="Arial"/>
                <w:sz w:val="18"/>
                <w:szCs w:val="18"/>
                <w:b w:val="1"/>
                <w:bCs w:val="1"/>
                <w:color w:val="auto"/>
              </w:rPr>
              <w:t>Total inventory</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20" w:type="dxa"/>
            <w:vAlign w:val="bottom"/>
          </w:tcPr>
          <w:p>
            <w:pPr>
              <w:jc w:val="right"/>
              <w:ind w:right="30"/>
              <w:spacing w:after="0"/>
              <w:rPr>
                <w:sz w:val="20"/>
                <w:szCs w:val="20"/>
                <w:color w:val="auto"/>
              </w:rPr>
            </w:pPr>
            <w:r>
              <w:rPr>
                <w:rFonts w:ascii="Arial" w:cs="Arial" w:eastAsia="Arial" w:hAnsi="Arial"/>
                <w:sz w:val="18"/>
                <w:szCs w:val="18"/>
                <w:color w:val="auto"/>
              </w:rPr>
              <w:t>130,176</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00" w:type="dxa"/>
            <w:vAlign w:val="bottom"/>
          </w:tcPr>
          <w:p>
            <w:pPr>
              <w:jc w:val="right"/>
              <w:ind w:right="30"/>
              <w:spacing w:after="0"/>
              <w:rPr>
                <w:sz w:val="20"/>
                <w:szCs w:val="20"/>
                <w:color w:val="auto"/>
              </w:rPr>
            </w:pPr>
            <w:r>
              <w:rPr>
                <w:rFonts w:ascii="Arial" w:cs="Arial" w:eastAsia="Arial" w:hAnsi="Arial"/>
                <w:sz w:val="18"/>
                <w:szCs w:val="18"/>
                <w:color w:val="auto"/>
              </w:rPr>
              <w:t>94,567</w:t>
            </w:r>
          </w:p>
        </w:tc>
      </w:tr>
      <w:tr>
        <w:trPr>
          <w:trHeight w:val="20"/>
        </w:trPr>
        <w:tc>
          <w:tcPr>
            <w:tcW w:w="6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5699125</wp:posOffset>
            </wp:positionH>
            <wp:positionV relativeFrom="paragraph">
              <wp:posOffset>-170815</wp:posOffset>
            </wp:positionV>
            <wp:extent cx="111125"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11125" cy="171450"/>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jc w:val="both"/>
        <w:ind w:left="380"/>
        <w:spacing w:after="0" w:line="341" w:lineRule="auto"/>
        <w:rPr>
          <w:sz w:val="20"/>
          <w:szCs w:val="20"/>
          <w:color w:val="auto"/>
        </w:rPr>
      </w:pPr>
      <w:r>
        <w:rPr>
          <w:rFonts w:ascii="Arial" w:cs="Arial" w:eastAsia="Arial" w:hAnsi="Arial"/>
          <w:sz w:val="16"/>
          <w:szCs w:val="16"/>
          <w:color w:val="auto"/>
        </w:rPr>
        <w:t>The inventory values are net of inventory write-downs as a result of obsolescence or unmarketability charged to cost of sales. As a result of local market conditions in Colorado, there was a $4,760 and $7,160 write-down during the three and nine months ended September 30, 2022, respectively.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2" w:right="339" w:bottom="1440" w:gutter="0" w:footer="0" w:header="0"/>
        </w:sectPr>
      </w:pPr>
    </w:p>
    <w:bookmarkStart w:id="10" w:name="page11"/>
    <w:bookmarkEnd w:id="10"/>
    <w:p>
      <w:pPr>
        <w:ind w:left="372" w:hanging="372"/>
        <w:spacing w:after="0"/>
        <w:tabs>
          <w:tab w:leader="none" w:pos="372"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CURRENT AND LONG-TERM DEBT</w:t>
      </w:r>
    </w:p>
    <w:p>
      <w:pPr>
        <w:spacing w:after="0" w:line="147" w:lineRule="exact"/>
        <w:rPr>
          <w:rFonts w:ascii="Arial" w:cs="Arial" w:eastAsia="Arial" w:hAnsi="Arial"/>
          <w:sz w:val="18"/>
          <w:szCs w:val="18"/>
          <w:b w:val="1"/>
          <w:bCs w:val="1"/>
          <w:color w:val="auto"/>
        </w:rPr>
      </w:pPr>
    </w:p>
    <w:p>
      <w:pPr>
        <w:ind w:left="372"/>
        <w:spacing w:after="0"/>
        <w:rPr>
          <w:rFonts w:ascii="Arial" w:cs="Arial" w:eastAsia="Arial" w:hAnsi="Arial"/>
          <w:sz w:val="18"/>
          <w:szCs w:val="18"/>
          <w:b w:val="1"/>
          <w:bCs w:val="1"/>
          <w:color w:val="auto"/>
        </w:rPr>
      </w:pPr>
      <w:r>
        <w:rPr>
          <w:rFonts w:ascii="Arial" w:cs="Arial" w:eastAsia="Arial" w:hAnsi="Arial"/>
          <w:sz w:val="18"/>
          <w:szCs w:val="18"/>
          <w:color w:val="auto"/>
        </w:rPr>
        <w:t>Current and long-term obligations, net, are shown in the table below:</w:t>
      </w:r>
    </w:p>
    <w:p>
      <w:pPr>
        <w:spacing w:after="0" w:line="194" w:lineRule="exact"/>
        <w:rPr>
          <w:sz w:val="20"/>
          <w:szCs w:val="20"/>
          <w:color w:val="auto"/>
        </w:rPr>
      </w:pPr>
    </w:p>
    <w:tbl>
      <w:tblPr>
        <w:tblLayout w:type="fixed"/>
        <w:tblInd w:w="452" w:type="dxa"/>
        <w:tblCellMar>
          <w:top w:w="0" w:type="dxa"/>
          <w:left w:w="0" w:type="dxa"/>
          <w:bottom w:w="0" w:type="dxa"/>
          <w:right w:w="0" w:type="dxa"/>
        </w:tblCellMar>
      </w:tblPr>
      <w:tr>
        <w:trPr>
          <w:trHeight w:val="234"/>
        </w:trPr>
        <w:tc>
          <w:tcPr>
            <w:tcW w:w="6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1"/>
              </w:rPr>
              <w:t>September 30, 2022</w:t>
            </w:r>
          </w:p>
        </w:tc>
        <w:tc>
          <w:tcPr>
            <w:tcW w:w="180" w:type="dxa"/>
            <w:vAlign w:val="bottom"/>
          </w:tcPr>
          <w:p>
            <w:pPr>
              <w:spacing w:after="0"/>
              <w:rPr>
                <w:sz w:val="20"/>
                <w:szCs w:val="20"/>
                <w:color w:val="auto"/>
              </w:rPr>
            </w:pPr>
          </w:p>
        </w:tc>
        <w:tc>
          <w:tcPr>
            <w:tcW w:w="18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2"/>
              </w:rPr>
              <w:t>December 31, 2021</w:t>
            </w:r>
          </w:p>
        </w:tc>
      </w:tr>
      <w:tr>
        <w:trPr>
          <w:trHeight w:val="209"/>
        </w:trPr>
        <w:tc>
          <w:tcPr>
            <w:tcW w:w="6460" w:type="dxa"/>
            <w:vAlign w:val="bottom"/>
            <w:shd w:val="clear" w:color="auto" w:fill="CFF0FC"/>
          </w:tcPr>
          <w:p>
            <w:pPr>
              <w:spacing w:after="0"/>
              <w:rPr>
                <w:sz w:val="20"/>
                <w:szCs w:val="20"/>
                <w:color w:val="auto"/>
              </w:rPr>
            </w:pPr>
            <w:r>
              <w:rPr>
                <w:rFonts w:ascii="Arial" w:cs="Arial" w:eastAsia="Arial" w:hAnsi="Arial"/>
                <w:sz w:val="18"/>
                <w:szCs w:val="18"/>
                <w:color w:val="auto"/>
              </w:rPr>
              <w:t>2026 Notes</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185,000</w:t>
            </w:r>
          </w:p>
        </w:tc>
        <w:tc>
          <w:tcPr>
            <w:tcW w:w="28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Term debt</w:t>
            </w: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38,215</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69,965</w:t>
            </w:r>
          </w:p>
        </w:tc>
        <w:tc>
          <w:tcPr>
            <w:tcW w:w="100" w:type="dxa"/>
            <w:vAlign w:val="bottom"/>
          </w:tcPr>
          <w:p>
            <w:pPr>
              <w:spacing w:after="0"/>
              <w:rPr>
                <w:sz w:val="18"/>
                <w:szCs w:val="18"/>
                <w:color w:val="auto"/>
              </w:rPr>
            </w:pPr>
          </w:p>
        </w:tc>
      </w:tr>
      <w:tr>
        <w:trPr>
          <w:trHeight w:val="216"/>
        </w:trPr>
        <w:tc>
          <w:tcPr>
            <w:tcW w:w="6460" w:type="dxa"/>
            <w:vAlign w:val="bottom"/>
            <w:shd w:val="clear" w:color="auto" w:fill="CFF0FC"/>
          </w:tcPr>
          <w:p>
            <w:pPr>
              <w:spacing w:after="0"/>
              <w:rPr>
                <w:sz w:val="20"/>
                <w:szCs w:val="20"/>
                <w:color w:val="auto"/>
              </w:rPr>
            </w:pPr>
            <w:r>
              <w:rPr>
                <w:rFonts w:ascii="Arial" w:cs="Arial" w:eastAsia="Arial" w:hAnsi="Arial"/>
                <w:sz w:val="18"/>
                <w:szCs w:val="18"/>
                <w:color w:val="auto"/>
              </w:rPr>
              <w:t>2025 Convertible Notes</w:t>
            </w:r>
          </w:p>
        </w:tc>
        <w:tc>
          <w:tcPr>
            <w:tcW w:w="180" w:type="dxa"/>
            <w:vAlign w:val="bottom"/>
            <w:shd w:val="clear" w:color="auto" w:fill="CFF0FC"/>
          </w:tcPr>
          <w:p>
            <w:pPr>
              <w:spacing w:after="0"/>
              <w:rPr>
                <w:sz w:val="18"/>
                <w:szCs w:val="18"/>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74,500</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74,500</w:t>
            </w:r>
          </w:p>
        </w:tc>
        <w:tc>
          <w:tcPr>
            <w:tcW w:w="100" w:type="dxa"/>
            <w:vAlign w:val="bottom"/>
            <w:shd w:val="clear" w:color="auto" w:fill="CFF0FC"/>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Mortgage Note</w:t>
            </w: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36,118</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tcPr>
          <w:p>
            <w:pPr>
              <w:spacing w:after="0"/>
              <w:rPr>
                <w:sz w:val="18"/>
                <w:szCs w:val="18"/>
                <w:color w:val="auto"/>
              </w:rPr>
            </w:pPr>
          </w:p>
        </w:tc>
      </w:tr>
      <w:tr>
        <w:trPr>
          <w:trHeight w:val="216"/>
        </w:trPr>
        <w:tc>
          <w:tcPr>
            <w:tcW w:w="6460" w:type="dxa"/>
            <w:vAlign w:val="bottom"/>
            <w:shd w:val="clear" w:color="auto" w:fill="CFF0FC"/>
          </w:tcPr>
          <w:p>
            <w:pPr>
              <w:spacing w:after="0"/>
              <w:rPr>
                <w:sz w:val="20"/>
                <w:szCs w:val="20"/>
                <w:color w:val="auto"/>
              </w:rPr>
            </w:pPr>
            <w:r>
              <w:rPr>
                <w:rFonts w:ascii="Arial" w:cs="Arial" w:eastAsia="Arial" w:hAnsi="Arial"/>
                <w:sz w:val="18"/>
                <w:szCs w:val="18"/>
                <w:color w:val="auto"/>
              </w:rPr>
              <w:t>2023 Convertible Notes</w:t>
            </w:r>
          </w:p>
        </w:tc>
        <w:tc>
          <w:tcPr>
            <w:tcW w:w="180" w:type="dxa"/>
            <w:vAlign w:val="bottom"/>
            <w:shd w:val="clear" w:color="auto" w:fill="CFF0FC"/>
          </w:tcPr>
          <w:p>
            <w:pPr>
              <w:spacing w:after="0"/>
              <w:rPr>
                <w:sz w:val="18"/>
                <w:szCs w:val="18"/>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5,600</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5,600</w:t>
            </w:r>
          </w:p>
        </w:tc>
        <w:tc>
          <w:tcPr>
            <w:tcW w:w="100" w:type="dxa"/>
            <w:vAlign w:val="bottom"/>
            <w:shd w:val="clear" w:color="auto" w:fill="CFF0FC"/>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Acquisition related real estate notes</w:t>
            </w: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7,000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7,000</w:t>
            </w:r>
          </w:p>
        </w:tc>
        <w:tc>
          <w:tcPr>
            <w:tcW w:w="100" w:type="dxa"/>
            <w:vAlign w:val="bottom"/>
          </w:tcPr>
          <w:p>
            <w:pPr>
              <w:spacing w:after="0"/>
              <w:rPr>
                <w:sz w:val="18"/>
                <w:szCs w:val="18"/>
                <w:color w:val="auto"/>
              </w:rPr>
            </w:pPr>
          </w:p>
        </w:tc>
      </w:tr>
      <w:tr>
        <w:trPr>
          <w:trHeight w:val="216"/>
        </w:trPr>
        <w:tc>
          <w:tcPr>
            <w:tcW w:w="6460" w:type="dxa"/>
            <w:vAlign w:val="bottom"/>
            <w:shd w:val="clear" w:color="auto" w:fill="CFF0FC"/>
          </w:tcPr>
          <w:p>
            <w:pPr>
              <w:spacing w:after="0"/>
              <w:rPr>
                <w:sz w:val="20"/>
                <w:szCs w:val="20"/>
                <w:color w:val="auto"/>
              </w:rPr>
            </w:pPr>
            <w:r>
              <w:rPr>
                <w:rFonts w:ascii="Arial" w:cs="Arial" w:eastAsia="Arial" w:hAnsi="Arial"/>
                <w:sz w:val="18"/>
                <w:szCs w:val="18"/>
                <w:color w:val="auto"/>
              </w:rPr>
              <w:t>Acquisition related promissory notes</w:t>
            </w:r>
          </w:p>
        </w:tc>
        <w:tc>
          <w:tcPr>
            <w:tcW w:w="180" w:type="dxa"/>
            <w:vAlign w:val="bottom"/>
            <w:shd w:val="clear" w:color="auto" w:fill="CFF0FC"/>
          </w:tcPr>
          <w:p>
            <w:pPr>
              <w:spacing w:after="0"/>
              <w:rPr>
                <w:sz w:val="18"/>
                <w:szCs w:val="18"/>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3,375</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4,875</w:t>
            </w:r>
          </w:p>
        </w:tc>
        <w:tc>
          <w:tcPr>
            <w:tcW w:w="100" w:type="dxa"/>
            <w:vAlign w:val="bottom"/>
            <w:shd w:val="clear" w:color="auto" w:fill="CFF0FC"/>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Acquisition related term debt</w:t>
            </w:r>
          </w:p>
        </w:tc>
        <w:tc>
          <w:tcPr>
            <w:tcW w:w="1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3,239</w:t>
            </w: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3,314</w:t>
            </w:r>
          </w:p>
        </w:tc>
        <w:tc>
          <w:tcPr>
            <w:tcW w:w="100" w:type="dxa"/>
            <w:vAlign w:val="bottom"/>
          </w:tcPr>
          <w:p>
            <w:pPr>
              <w:spacing w:after="0"/>
              <w:rPr>
                <w:sz w:val="18"/>
                <w:szCs w:val="18"/>
                <w:color w:val="auto"/>
              </w:rPr>
            </w:pPr>
          </w:p>
        </w:tc>
      </w:tr>
      <w:tr>
        <w:trPr>
          <w:trHeight w:val="209"/>
        </w:trPr>
        <w:tc>
          <w:tcPr>
            <w:tcW w:w="64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353,047</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185,254</w:t>
            </w:r>
          </w:p>
        </w:tc>
        <w:tc>
          <w:tcPr>
            <w:tcW w:w="100" w:type="dxa"/>
            <w:vAlign w:val="bottom"/>
            <w:shd w:val="clear" w:color="auto" w:fill="CFF0FC"/>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Unamortized debt discount</w:t>
            </w:r>
          </w:p>
        </w:tc>
        <w:tc>
          <w:tcPr>
            <w:tcW w:w="180" w:type="dxa"/>
            <w:vAlign w:val="bottom"/>
          </w:tcPr>
          <w:p>
            <w:pPr>
              <w:spacing w:after="0"/>
              <w:rPr>
                <w:sz w:val="18"/>
                <w:szCs w:val="18"/>
                <w:color w:val="auto"/>
              </w:rPr>
            </w:pPr>
          </w:p>
        </w:tc>
        <w:tc>
          <w:tcPr>
            <w:tcW w:w="2080" w:type="dxa"/>
            <w:vAlign w:val="bottom"/>
            <w:gridSpan w:val="2"/>
          </w:tcPr>
          <w:p>
            <w:pPr>
              <w:jc w:val="right"/>
              <w:ind w:right="220"/>
              <w:spacing w:after="0"/>
              <w:rPr>
                <w:sz w:val="20"/>
                <w:szCs w:val="20"/>
                <w:color w:val="auto"/>
              </w:rPr>
            </w:pPr>
            <w:r>
              <w:rPr>
                <w:rFonts w:ascii="Arial" w:cs="Arial" w:eastAsia="Arial" w:hAnsi="Arial"/>
                <w:sz w:val="18"/>
                <w:szCs w:val="18"/>
                <w:color w:val="auto"/>
              </w:rPr>
              <w:t>(13,885 )</w:t>
            </w:r>
          </w:p>
        </w:tc>
        <w:tc>
          <w:tcPr>
            <w:tcW w:w="180" w:type="dxa"/>
            <w:vAlign w:val="bottom"/>
          </w:tcPr>
          <w:p>
            <w:pPr>
              <w:spacing w:after="0"/>
              <w:rPr>
                <w:sz w:val="18"/>
                <w:szCs w:val="18"/>
                <w:color w:val="auto"/>
              </w:rPr>
            </w:pPr>
          </w:p>
        </w:tc>
        <w:tc>
          <w:tcPr>
            <w:tcW w:w="1880" w:type="dxa"/>
            <w:vAlign w:val="bottom"/>
            <w:gridSpan w:val="2"/>
          </w:tcPr>
          <w:p>
            <w:pPr>
              <w:jc w:val="right"/>
              <w:ind w:right="40"/>
              <w:spacing w:after="0"/>
              <w:rPr>
                <w:sz w:val="20"/>
                <w:szCs w:val="20"/>
                <w:color w:val="auto"/>
              </w:rPr>
            </w:pPr>
            <w:r>
              <w:rPr>
                <w:rFonts w:ascii="Arial" w:cs="Arial" w:eastAsia="Arial" w:hAnsi="Arial"/>
                <w:sz w:val="18"/>
                <w:szCs w:val="18"/>
                <w:color w:val="auto"/>
              </w:rPr>
              <w:t>(19,301 )</w:t>
            </w:r>
          </w:p>
        </w:tc>
      </w:tr>
      <w:tr>
        <w:trPr>
          <w:trHeight w:val="216"/>
        </w:trPr>
        <w:tc>
          <w:tcPr>
            <w:tcW w:w="6460" w:type="dxa"/>
            <w:vAlign w:val="bottom"/>
            <w:shd w:val="clear" w:color="auto" w:fill="CFF0FC"/>
          </w:tcPr>
          <w:p>
            <w:pPr>
              <w:spacing w:after="0"/>
              <w:rPr>
                <w:sz w:val="20"/>
                <w:szCs w:val="20"/>
                <w:color w:val="auto"/>
              </w:rPr>
            </w:pPr>
            <w:r>
              <w:rPr>
                <w:rFonts w:ascii="Arial" w:cs="Arial" w:eastAsia="Arial" w:hAnsi="Arial"/>
                <w:sz w:val="18"/>
                <w:szCs w:val="18"/>
                <w:color w:val="auto"/>
              </w:rPr>
              <w:t>Unamortized deferred financing costs</w:t>
            </w:r>
          </w:p>
        </w:tc>
        <w:tc>
          <w:tcPr>
            <w:tcW w:w="180" w:type="dxa"/>
            <w:vAlign w:val="bottom"/>
            <w:shd w:val="clear" w:color="auto" w:fill="CFF0FC"/>
          </w:tcPr>
          <w:p>
            <w:pPr>
              <w:spacing w:after="0"/>
              <w:rPr>
                <w:sz w:val="18"/>
                <w:szCs w:val="18"/>
                <w:color w:val="auto"/>
              </w:rPr>
            </w:pPr>
          </w:p>
        </w:tc>
        <w:tc>
          <w:tcPr>
            <w:tcW w:w="20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(11,958 )</w:t>
            </w:r>
          </w:p>
        </w:tc>
        <w:tc>
          <w:tcPr>
            <w:tcW w:w="18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(5,379 )</w:t>
            </w: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Unamortized debt premium</w:t>
            </w:r>
          </w:p>
        </w:tc>
        <w:tc>
          <w:tcPr>
            <w:tcW w:w="1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18"/>
                <w:szCs w:val="18"/>
                <w:color w:val="auto"/>
              </w:rPr>
            </w:pPr>
          </w:p>
        </w:tc>
      </w:tr>
      <w:tr>
        <w:trPr>
          <w:trHeight w:val="209"/>
        </w:trPr>
        <w:tc>
          <w:tcPr>
            <w:tcW w:w="64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debt, net</w:t>
            </w:r>
          </w:p>
        </w:tc>
        <w:tc>
          <w:tcPr>
            <w:tcW w:w="180" w:type="dxa"/>
            <w:vAlign w:val="bottom"/>
            <w:shd w:val="clear" w:color="auto" w:fill="CFF0FC"/>
          </w:tcPr>
          <w:p>
            <w:pPr>
              <w:spacing w:after="0"/>
              <w:rPr>
                <w:sz w:val="18"/>
                <w:szCs w:val="18"/>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327,268</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160,901</w:t>
            </w:r>
          </w:p>
        </w:tc>
        <w:tc>
          <w:tcPr>
            <w:tcW w:w="100" w:type="dxa"/>
            <w:vAlign w:val="bottom"/>
            <w:shd w:val="clear" w:color="auto" w:fill="CFF0FC"/>
          </w:tcPr>
          <w:p>
            <w:pPr>
              <w:spacing w:after="0"/>
              <w:rPr>
                <w:sz w:val="18"/>
                <w:szCs w:val="18"/>
                <w:color w:val="auto"/>
              </w:rPr>
            </w:pPr>
          </w:p>
        </w:tc>
      </w:tr>
      <w:tr>
        <w:trPr>
          <w:trHeight w:val="216"/>
        </w:trPr>
        <w:tc>
          <w:tcPr>
            <w:tcW w:w="6460" w:type="dxa"/>
            <w:vAlign w:val="bottom"/>
          </w:tcPr>
          <w:p>
            <w:pPr>
              <w:spacing w:after="0" w:line="216" w:lineRule="exact"/>
              <w:rPr>
                <w:sz w:val="20"/>
                <w:szCs w:val="20"/>
                <w:color w:val="auto"/>
              </w:rPr>
            </w:pPr>
            <w:r>
              <w:rPr>
                <w:rFonts w:ascii="Arial" w:cs="Arial" w:eastAsia="Arial" w:hAnsi="Arial"/>
                <w:sz w:val="18"/>
                <w:szCs w:val="18"/>
                <w:color w:val="auto"/>
              </w:rPr>
              <w:t>Less current portion, net</w:t>
            </w:r>
            <w:r>
              <w:rPr>
                <w:rFonts w:ascii="Arial" w:cs="Arial" w:eastAsia="Arial" w:hAnsi="Arial"/>
                <w:sz w:val="24"/>
                <w:szCs w:val="24"/>
                <w:color w:val="auto"/>
                <w:vertAlign w:val="superscript"/>
              </w:rPr>
              <w:t>*</w:t>
            </w:r>
          </w:p>
        </w:tc>
        <w:tc>
          <w:tcPr>
            <w:tcW w:w="180" w:type="dxa"/>
            <w:vAlign w:val="bottom"/>
          </w:tcPr>
          <w:p>
            <w:pPr>
              <w:spacing w:after="0"/>
              <w:rPr>
                <w:sz w:val="18"/>
                <w:szCs w:val="18"/>
                <w:color w:val="auto"/>
              </w:rPr>
            </w:pPr>
          </w:p>
        </w:tc>
        <w:tc>
          <w:tcPr>
            <w:tcW w:w="2080" w:type="dxa"/>
            <w:vAlign w:val="bottom"/>
            <w:gridSpan w:val="2"/>
          </w:tcPr>
          <w:p>
            <w:pPr>
              <w:jc w:val="right"/>
              <w:ind w:right="220"/>
              <w:spacing w:after="0"/>
              <w:rPr>
                <w:sz w:val="20"/>
                <w:szCs w:val="20"/>
                <w:color w:val="auto"/>
              </w:rPr>
            </w:pPr>
            <w:r>
              <w:rPr>
                <w:rFonts w:ascii="Arial" w:cs="Arial" w:eastAsia="Arial" w:hAnsi="Arial"/>
                <w:sz w:val="18"/>
                <w:szCs w:val="18"/>
                <w:color w:val="auto"/>
              </w:rPr>
              <w:t>(42,155 )</w:t>
            </w:r>
          </w:p>
        </w:tc>
        <w:tc>
          <w:tcPr>
            <w:tcW w:w="180" w:type="dxa"/>
            <w:vAlign w:val="bottom"/>
          </w:tcPr>
          <w:p>
            <w:pPr>
              <w:spacing w:after="0"/>
              <w:rPr>
                <w:sz w:val="18"/>
                <w:szCs w:val="18"/>
                <w:color w:val="auto"/>
              </w:rPr>
            </w:pPr>
          </w:p>
        </w:tc>
        <w:tc>
          <w:tcPr>
            <w:tcW w:w="1880" w:type="dxa"/>
            <w:vAlign w:val="bottom"/>
            <w:gridSpan w:val="2"/>
          </w:tcPr>
          <w:p>
            <w:pPr>
              <w:jc w:val="right"/>
              <w:ind w:right="40"/>
              <w:spacing w:after="0"/>
              <w:rPr>
                <w:sz w:val="20"/>
                <w:szCs w:val="20"/>
                <w:color w:val="auto"/>
              </w:rPr>
            </w:pPr>
            <w:r>
              <w:rPr>
                <w:rFonts w:ascii="Arial" w:cs="Arial" w:eastAsia="Arial" w:hAnsi="Arial"/>
                <w:sz w:val="18"/>
                <w:szCs w:val="18"/>
                <w:color w:val="auto"/>
              </w:rPr>
              <w:t>(1,884 )</w:t>
            </w:r>
          </w:p>
        </w:tc>
      </w:tr>
      <w:tr>
        <w:trPr>
          <w:trHeight w:val="249"/>
        </w:trPr>
        <w:tc>
          <w:tcPr>
            <w:tcW w:w="6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Long-term portion</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285,113</w:t>
            </w:r>
          </w:p>
        </w:tc>
        <w:tc>
          <w:tcPr>
            <w:tcW w:w="2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159,017</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5642610</wp:posOffset>
            </wp:positionH>
            <wp:positionV relativeFrom="paragraph">
              <wp:posOffset>-24765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5642610</wp:posOffset>
            </wp:positionH>
            <wp:positionV relativeFrom="paragraph">
              <wp:posOffset>-7620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-24765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-7620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8" w:lineRule="exact"/>
        <w:rPr>
          <w:sz w:val="20"/>
          <w:szCs w:val="20"/>
          <w:color w:val="auto"/>
        </w:rPr>
      </w:pPr>
    </w:p>
    <w:p>
      <w:pPr>
        <w:jc w:val="both"/>
        <w:ind w:left="372" w:right="20"/>
        <w:spacing w:after="0" w:line="290" w:lineRule="auto"/>
        <w:rPr>
          <w:sz w:val="20"/>
          <w:szCs w:val="20"/>
          <w:color w:val="auto"/>
        </w:rPr>
      </w:pPr>
      <w:r>
        <w:rPr>
          <w:rFonts w:ascii="Arial" w:cs="Arial" w:eastAsia="Arial" w:hAnsi="Arial"/>
          <w:sz w:val="17"/>
          <w:szCs w:val="17"/>
          <w:color w:val="auto"/>
        </w:rPr>
        <w:t>*The current portion of the debt includes scheduled payments on the mortgage notes, acquisition related promissory notes and acquisition related notes payable, net of corresponding portion of the unamortized debt discount, and unamortized deferred financing costs.</w:t>
      </w:r>
    </w:p>
    <w:p>
      <w:pPr>
        <w:spacing w:after="0" w:line="134" w:lineRule="exact"/>
        <w:rPr>
          <w:sz w:val="20"/>
          <w:szCs w:val="20"/>
          <w:color w:val="auto"/>
        </w:rPr>
      </w:pPr>
    </w:p>
    <w:p>
      <w:pPr>
        <w:jc w:val="both"/>
        <w:ind w:left="372" w:right="20"/>
        <w:spacing w:after="0" w:line="261" w:lineRule="auto"/>
        <w:rPr>
          <w:sz w:val="20"/>
          <w:szCs w:val="20"/>
          <w:color w:val="auto"/>
        </w:rPr>
      </w:pPr>
      <w:r>
        <w:rPr>
          <w:rFonts w:ascii="Arial" w:cs="Arial" w:eastAsia="Arial" w:hAnsi="Arial"/>
          <w:sz w:val="18"/>
          <w:szCs w:val="18"/>
          <w:color w:val="auto"/>
        </w:rPr>
        <w:t>The Company was in compliance with all financial covenants and was not in default of any provisions under any of its debt arrangements as of September 30, 2022.</w:t>
      </w:r>
    </w:p>
    <w:p>
      <w:pPr>
        <w:spacing w:after="0" w:line="103" w:lineRule="exact"/>
        <w:rPr>
          <w:sz w:val="20"/>
          <w:szCs w:val="20"/>
          <w:color w:val="auto"/>
        </w:rPr>
      </w:pPr>
    </w:p>
    <w:p>
      <w:pPr>
        <w:ind w:left="372"/>
        <w:spacing w:after="0"/>
        <w:rPr>
          <w:sz w:val="20"/>
          <w:szCs w:val="20"/>
          <w:color w:val="auto"/>
        </w:rPr>
      </w:pPr>
      <w:r>
        <w:rPr>
          <w:rFonts w:ascii="Arial" w:cs="Arial" w:eastAsia="Arial" w:hAnsi="Arial"/>
          <w:sz w:val="18"/>
          <w:szCs w:val="18"/>
          <w:i w:val="1"/>
          <w:iCs w:val="1"/>
          <w:color w:val="auto"/>
        </w:rPr>
        <w:t>Private Placement</w:t>
      </w:r>
    </w:p>
    <w:p>
      <w:pPr>
        <w:spacing w:after="0" w:line="130" w:lineRule="exact"/>
        <w:rPr>
          <w:sz w:val="20"/>
          <w:szCs w:val="20"/>
          <w:color w:val="auto"/>
        </w:rPr>
      </w:pPr>
    </w:p>
    <w:p>
      <w:pPr>
        <w:jc w:val="both"/>
        <w:ind w:left="372"/>
        <w:spacing w:after="0" w:line="273" w:lineRule="auto"/>
        <w:rPr>
          <w:sz w:val="20"/>
          <w:szCs w:val="20"/>
          <w:color w:val="auto"/>
        </w:rPr>
      </w:pPr>
      <w:r>
        <w:rPr>
          <w:rFonts w:ascii="Arial" w:cs="Arial" w:eastAsia="Arial" w:hAnsi="Arial"/>
          <w:sz w:val="16"/>
          <w:szCs w:val="16"/>
          <w:color w:val="auto"/>
        </w:rPr>
        <w:t>On February 3, 2022, Columbia Care closed a private placement of $185,000 aggregate principal amount of 9.50% senior-secured first-lien notes due 2026 (the “2026 Notes”) and received aggregate gross proceeds of $153,250. The 2026 Notes are senior secured obligations of the Company and were issued at 100.0% of face value. The 2026 Notes accrue interest in arrears which is payable semi-annually and mature on February 3, 2026, unless earlier redeemed or repurchased. The Company may redeem the 2026 Notes at par, in whole or in part, on or after February 3, 2024, as more particularly described in the fourth supplemental trust indenture governing the 2026 Notes. In connection with the offering of the 2026 Notes, the Company exchanged $31,750 of the Company’s existing 13.0% Term Debt, pursuant to private agreements in accordance with the trust indenture, for an equivalent amount of 2026 Notes plus accrued but unpaid interest and any negotiated premium thereon.</w:t>
      </w:r>
    </w:p>
    <w:p>
      <w:pPr>
        <w:spacing w:after="0" w:line="153" w:lineRule="exact"/>
        <w:rPr>
          <w:sz w:val="20"/>
          <w:szCs w:val="20"/>
          <w:color w:val="auto"/>
        </w:rPr>
      </w:pPr>
    </w:p>
    <w:p>
      <w:pPr>
        <w:jc w:val="both"/>
        <w:ind w:left="372"/>
        <w:spacing w:after="0" w:line="283" w:lineRule="auto"/>
        <w:rPr>
          <w:sz w:val="20"/>
          <w:szCs w:val="20"/>
          <w:color w:val="auto"/>
        </w:rPr>
      </w:pPr>
      <w:r>
        <w:rPr>
          <w:rFonts w:ascii="Arial" w:cs="Arial" w:eastAsia="Arial" w:hAnsi="Arial"/>
          <w:sz w:val="16"/>
          <w:szCs w:val="16"/>
          <w:color w:val="auto"/>
        </w:rPr>
        <w:t>The premium and paid interest were paid out of funds raised from the February 2022 Private Placement. The total unamortized debt and debt issuance costs of $2,153, related to modified portion of the Term Debt, will be amortized over the term of the 2026 Notes using the effective interest method. The Company incurred $7,189 in creditor fees in connection with the modified Term Debt and 2026 Notes and $301 in third-party legal fees related to 2026 Notes which were capitalized and will be amortized over the term of the 2026 Notes using the effective interest rate method.</w:t>
      </w:r>
    </w:p>
    <w:p>
      <w:pPr>
        <w:spacing w:after="0" w:line="90" w:lineRule="exact"/>
        <w:rPr>
          <w:sz w:val="20"/>
          <w:szCs w:val="20"/>
          <w:color w:val="auto"/>
        </w:rPr>
      </w:pPr>
    </w:p>
    <w:p>
      <w:pPr>
        <w:jc w:val="both"/>
        <w:ind w:left="372"/>
        <w:spacing w:after="0" w:line="261" w:lineRule="auto"/>
        <w:rPr>
          <w:sz w:val="20"/>
          <w:szCs w:val="20"/>
          <w:color w:val="auto"/>
        </w:rPr>
      </w:pPr>
      <w:r>
        <w:rPr>
          <w:rFonts w:ascii="Arial" w:cs="Arial" w:eastAsia="Arial" w:hAnsi="Arial"/>
          <w:sz w:val="18"/>
          <w:szCs w:val="18"/>
          <w:color w:val="auto"/>
        </w:rPr>
        <w:t>Total interest and amortization expense on the Company’s debt obligations during the three and nine months ended September 30, 2022 and 2021 are as follows:</w:t>
      </w:r>
    </w:p>
    <w:p>
      <w:pPr>
        <w:spacing w:after="0" w:line="180" w:lineRule="exact"/>
        <w:rPr>
          <w:sz w:val="20"/>
          <w:szCs w:val="20"/>
          <w:color w:val="auto"/>
        </w:rPr>
      </w:pPr>
    </w:p>
    <w:tbl>
      <w:tblPr>
        <w:tblLayout w:type="fixed"/>
        <w:tblInd w:w="312" w:type="dxa"/>
        <w:tblCellMar>
          <w:top w:w="0" w:type="dxa"/>
          <w:left w:w="0" w:type="dxa"/>
          <w:bottom w:w="0" w:type="dxa"/>
          <w:right w:w="0" w:type="dxa"/>
        </w:tblCellMar>
      </w:tblPr>
      <w:tr>
        <w:trPr>
          <w:trHeight w:val="234"/>
        </w:trPr>
        <w:tc>
          <w:tcPr>
            <w:tcW w:w="45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4"/>
          </w:tcPr>
          <w:p>
            <w:pPr>
              <w:jc w:val="right"/>
              <w:ind w:right="75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4"/>
          </w:tcPr>
          <w:p>
            <w:pPr>
              <w:jc w:val="right"/>
              <w:ind w:right="770"/>
              <w:spacing w:after="0"/>
              <w:rPr>
                <w:sz w:val="20"/>
                <w:szCs w:val="20"/>
                <w:color w:val="auto"/>
              </w:rPr>
            </w:pPr>
            <w:r>
              <w:rPr>
                <w:rFonts w:ascii="Arial" w:cs="Arial" w:eastAsia="Arial" w:hAnsi="Arial"/>
                <w:sz w:val="18"/>
                <w:szCs w:val="18"/>
                <w:b w:val="1"/>
                <w:bCs w:val="1"/>
                <w:color w:val="auto"/>
              </w:rPr>
              <w:t>Nine months ended</w:t>
            </w:r>
          </w:p>
        </w:tc>
      </w:tr>
      <w:tr>
        <w:trPr>
          <w:trHeight w:val="164"/>
        </w:trPr>
        <w:tc>
          <w:tcPr>
            <w:tcW w:w="4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right"/>
              <w:ind w:right="190"/>
              <w:spacing w:after="0" w:line="164" w:lineRule="exact"/>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jc w:val="right"/>
              <w:ind w:right="210"/>
              <w:spacing w:after="0" w:line="164" w:lineRule="exact"/>
              <w:rPr>
                <w:sz w:val="20"/>
                <w:szCs w:val="20"/>
                <w:color w:val="auto"/>
              </w:rPr>
            </w:pPr>
            <w:r>
              <w:rPr>
                <w:rFonts w:ascii="Arial" w:cs="Arial" w:eastAsia="Arial" w:hAnsi="Arial"/>
                <w:sz w:val="18"/>
                <w:szCs w:val="18"/>
                <w:b w:val="1"/>
                <w:bCs w:val="1"/>
                <w:color w:val="auto"/>
                <w:w w:val="87"/>
              </w:rPr>
              <w:t>September 30,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right"/>
              <w:ind w:right="170"/>
              <w:spacing w:after="0" w:line="164" w:lineRule="exact"/>
              <w:rPr>
                <w:sz w:val="20"/>
                <w:szCs w:val="20"/>
                <w:color w:val="auto"/>
              </w:rPr>
            </w:pPr>
            <w:r>
              <w:rPr>
                <w:rFonts w:ascii="Arial" w:cs="Arial" w:eastAsia="Arial" w:hAnsi="Arial"/>
                <w:sz w:val="18"/>
                <w:szCs w:val="18"/>
                <w:b w:val="1"/>
                <w:bCs w:val="1"/>
                <w:color w:val="auto"/>
                <w:w w:val="87"/>
              </w:rPr>
              <w:t>September 30,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right"/>
              <w:ind w:right="190"/>
              <w:spacing w:after="0" w:line="164" w:lineRule="exact"/>
              <w:rPr>
                <w:sz w:val="20"/>
                <w:szCs w:val="20"/>
                <w:color w:val="auto"/>
              </w:rPr>
            </w:pPr>
            <w:r>
              <w:rPr>
                <w:rFonts w:ascii="Arial" w:cs="Arial" w:eastAsia="Arial" w:hAnsi="Arial"/>
                <w:sz w:val="18"/>
                <w:szCs w:val="18"/>
                <w:b w:val="1"/>
                <w:bCs w:val="1"/>
                <w:color w:val="auto"/>
                <w:w w:val="87"/>
              </w:rPr>
              <w:t>September 30,</w:t>
            </w:r>
          </w:p>
        </w:tc>
      </w:tr>
      <w:tr>
        <w:trPr>
          <w:trHeight w:val="234"/>
        </w:trPr>
        <w:tc>
          <w:tcPr>
            <w:tcW w:w="45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r>
      <w:tr>
        <w:trPr>
          <w:trHeight w:val="209"/>
        </w:trPr>
        <w:tc>
          <w:tcPr>
            <w:tcW w:w="4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expense on debt</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10,801</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5,233</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29,653</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11,130</w:t>
            </w:r>
          </w:p>
        </w:tc>
      </w:tr>
      <w:tr>
        <w:trPr>
          <w:trHeight w:val="216"/>
        </w:trPr>
        <w:tc>
          <w:tcPr>
            <w:tcW w:w="4560" w:type="dxa"/>
            <w:vAlign w:val="bottom"/>
          </w:tcPr>
          <w:p>
            <w:pPr>
              <w:ind w:left="20"/>
              <w:spacing w:after="0"/>
              <w:rPr>
                <w:sz w:val="20"/>
                <w:szCs w:val="20"/>
                <w:color w:val="auto"/>
              </w:rPr>
            </w:pPr>
            <w:r>
              <w:rPr>
                <w:rFonts w:ascii="Arial" w:cs="Arial" w:eastAsia="Arial" w:hAnsi="Arial"/>
                <w:sz w:val="18"/>
                <w:szCs w:val="18"/>
                <w:color w:val="auto"/>
              </w:rPr>
              <w:t>Amortization of debt discount</w:t>
            </w:r>
          </w:p>
        </w:tc>
        <w:tc>
          <w:tcPr>
            <w:tcW w:w="100" w:type="dxa"/>
            <w:vAlign w:val="bottom"/>
          </w:tcPr>
          <w:p>
            <w:pPr>
              <w:spacing w:after="0"/>
              <w:rPr>
                <w:sz w:val="18"/>
                <w:szCs w:val="18"/>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1,325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1,351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3,922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3,373</w:t>
            </w:r>
          </w:p>
        </w:tc>
      </w:tr>
      <w:tr>
        <w:trPr>
          <w:trHeight w:val="216"/>
        </w:trPr>
        <w:tc>
          <w:tcPr>
            <w:tcW w:w="4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Amortization of debt premium</w:t>
            </w:r>
          </w:p>
        </w:tc>
        <w:tc>
          <w:tcPr>
            <w:tcW w:w="10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(38 )</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(70 )</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(125 )</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(210 )</w:t>
            </w:r>
          </w:p>
        </w:tc>
      </w:tr>
      <w:tr>
        <w:trPr>
          <w:trHeight w:val="216"/>
        </w:trPr>
        <w:tc>
          <w:tcPr>
            <w:tcW w:w="4560" w:type="dxa"/>
            <w:vAlign w:val="bottom"/>
          </w:tcPr>
          <w:p>
            <w:pPr>
              <w:ind w:left="20"/>
              <w:spacing w:after="0"/>
              <w:rPr>
                <w:sz w:val="20"/>
                <w:szCs w:val="20"/>
                <w:color w:val="auto"/>
              </w:rPr>
            </w:pPr>
            <w:r>
              <w:rPr>
                <w:rFonts w:ascii="Arial" w:cs="Arial" w:eastAsia="Arial" w:hAnsi="Arial"/>
                <w:sz w:val="18"/>
                <w:szCs w:val="18"/>
                <w:color w:val="auto"/>
              </w:rPr>
              <w:t>Amortization of debt issuance costs</w:t>
            </w:r>
          </w:p>
        </w:tc>
        <w:tc>
          <w:tcPr>
            <w:tcW w:w="100" w:type="dxa"/>
            <w:vAlign w:val="bottom"/>
          </w:tcPr>
          <w:p>
            <w:pPr>
              <w:spacing w:after="0"/>
              <w:rPr>
                <w:sz w:val="18"/>
                <w:szCs w:val="18"/>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917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371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2,481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966</w:t>
            </w:r>
          </w:p>
        </w:tc>
      </w:tr>
      <w:tr>
        <w:trPr>
          <w:trHeight w:val="216"/>
        </w:trPr>
        <w:tc>
          <w:tcPr>
            <w:tcW w:w="4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interest (expense) income, net</w:t>
            </w:r>
          </w:p>
        </w:tc>
        <w:tc>
          <w:tcPr>
            <w:tcW w:w="10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(31 )</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(229 )</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(404 )</w:t>
            </w:r>
          </w:p>
        </w:tc>
      </w:tr>
      <w:tr>
        <w:trPr>
          <w:trHeight w:val="209"/>
        </w:trPr>
        <w:tc>
          <w:tcPr>
            <w:tcW w:w="4560" w:type="dxa"/>
            <w:vAlign w:val="bottom"/>
          </w:tcPr>
          <w:p>
            <w:pPr>
              <w:ind w:left="20"/>
              <w:spacing w:after="0"/>
              <w:rPr>
                <w:sz w:val="20"/>
                <w:szCs w:val="20"/>
                <w:color w:val="auto"/>
              </w:rPr>
            </w:pPr>
            <w:r>
              <w:rPr>
                <w:rFonts w:ascii="Arial" w:cs="Arial" w:eastAsia="Arial" w:hAnsi="Arial"/>
                <w:sz w:val="18"/>
                <w:szCs w:val="18"/>
                <w:b w:val="1"/>
                <w:bCs w:val="1"/>
                <w:color w:val="auto"/>
              </w:rPr>
              <w:t>Total interest expense, net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12,974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6,990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35,702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14,855</w:t>
            </w:r>
          </w:p>
        </w:tc>
      </w:tr>
      <w:tr>
        <w:trPr>
          <w:trHeight w:val="20"/>
        </w:trPr>
        <w:tc>
          <w:tcPr>
            <w:tcW w:w="4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4041775</wp:posOffset>
            </wp:positionH>
            <wp:positionV relativeFrom="paragraph">
              <wp:posOffset>-170815</wp:posOffset>
            </wp:positionV>
            <wp:extent cx="85725"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5103495</wp:posOffset>
            </wp:positionH>
            <wp:positionV relativeFrom="paragraph">
              <wp:posOffset>-170815</wp:posOffset>
            </wp:positionV>
            <wp:extent cx="76835"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6104890</wp:posOffset>
            </wp:positionH>
            <wp:positionV relativeFrom="paragraph">
              <wp:posOffset>-170815</wp:posOffset>
            </wp:positionV>
            <wp:extent cx="76835"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835" cy="171450"/>
                    </a:xfrm>
                    <a:prstGeom prst="rect">
                      <a:avLst/>
                    </a:prstGeom>
                    <a:noFill/>
                  </pic:spPr>
                </pic:pic>
              </a:graphicData>
            </a:graphic>
          </wp:anchor>
        </w:drawing>
      </w:r>
    </w:p>
    <w:p>
      <w:pPr>
        <w:spacing w:after="0" w:line="100" w:lineRule="exact"/>
        <w:rPr>
          <w:sz w:val="20"/>
          <w:szCs w:val="20"/>
          <w:color w:val="auto"/>
        </w:rPr>
      </w:pPr>
    </w:p>
    <w:p>
      <w:pPr>
        <w:ind w:left="372"/>
        <w:spacing w:after="0"/>
        <w:rPr>
          <w:sz w:val="20"/>
          <w:szCs w:val="20"/>
          <w:color w:val="auto"/>
        </w:rPr>
      </w:pPr>
      <w:r>
        <w:rPr>
          <w:rFonts w:ascii="Arial" w:cs="Arial" w:eastAsia="Arial" w:hAnsi="Arial"/>
          <w:sz w:val="18"/>
          <w:szCs w:val="18"/>
          <w:color w:val="auto"/>
        </w:rPr>
        <w:t>The weighted average interest rate on the Company’s indebtedness was 8.82%.</w:t>
      </w:r>
    </w:p>
    <w:p>
      <w:pPr>
        <w:spacing w:after="0" w:line="225" w:lineRule="exact"/>
        <w:rPr>
          <w:sz w:val="20"/>
          <w:szCs w:val="20"/>
          <w:color w:val="auto"/>
        </w:rPr>
      </w:pPr>
    </w:p>
    <w:p>
      <w:pPr>
        <w:ind w:left="5532"/>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512" w:right="339" w:bottom="1440" w:gutter="0" w:footer="0" w:header="0"/>
        </w:sectPr>
      </w:pPr>
    </w:p>
    <w:bookmarkStart w:id="11" w:name="page12"/>
    <w:bookmarkEnd w:id="11"/>
    <w:p>
      <w:pPr>
        <w:ind w:left="380" w:hanging="372"/>
        <w:spacing w:after="0"/>
        <w:tabs>
          <w:tab w:leader="none" w:pos="3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147"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Futurevision Holdings, Inc., Futurevision 2020, LLC and Medicine Man Longmont, LLC</w:t>
      </w:r>
    </w:p>
    <w:p>
      <w:pPr>
        <w:spacing w:after="0" w:line="143" w:lineRule="exact"/>
        <w:rPr>
          <w:rFonts w:ascii="Arial" w:cs="Arial" w:eastAsia="Arial" w:hAnsi="Arial"/>
          <w:sz w:val="18"/>
          <w:szCs w:val="18"/>
          <w:b w:val="1"/>
          <w:bCs w:val="1"/>
          <w:color w:val="auto"/>
        </w:rPr>
      </w:pPr>
    </w:p>
    <w:p>
      <w:pPr>
        <w:jc w:val="both"/>
        <w:ind w:left="380"/>
        <w:spacing w:after="0" w:line="258" w:lineRule="auto"/>
        <w:rPr>
          <w:rFonts w:ascii="Arial" w:cs="Arial" w:eastAsia="Arial" w:hAnsi="Arial"/>
          <w:sz w:val="18"/>
          <w:szCs w:val="18"/>
          <w:b w:val="1"/>
          <w:bCs w:val="1"/>
          <w:color w:val="auto"/>
        </w:rPr>
      </w:pPr>
      <w:r>
        <w:rPr>
          <w:rFonts w:ascii="Arial" w:cs="Arial" w:eastAsia="Arial" w:hAnsi="Arial"/>
          <w:sz w:val="17"/>
          <w:szCs w:val="17"/>
          <w:color w:val="auto"/>
        </w:rPr>
        <w:t>On November 1, 2021, the Company acquired (the “Medicine Man Transaction”) a 100% ownership interest in Futurevision Holdings, Inc. and Futurevision 2020, LLC (collectively, “Medicine Man”), through the Agreement and Plan of Merger (the “Merger Agreement”). Concurrently with the Merger Agreement, the Company was granted an option (the “Option”) to purchase Medicine Man Longmont, LLC (“Medicine Man Longmont”). The Option was exercised by the Company on August 12, 2022 following the sale of the Company’s former TGS Longmont location in July 2022. The Company has recorded the Option as an intangible asset as of the November 1, 2021, closing date, at its estimated fair value of $5,899, which represents the ultimate purchase price associated with the underlying property, since the time period to exercise the Option is short and given the certainty expressed by management to exercise the Option. Medicine Man was formed in 2010 for the purpose of selling medicinal and recreational cannabis products in the state of Colorado. Medicine Man owns and operates vertically integrated cultivation facilities, manufacturing facilities and retail dispensaries in the state of Colorado. The Company executed the Medicine Man Transaction in order to continue to grow revenues; expand its cultivation facilities, manufacturing facilities and dispensaries; and expand in the Colorado market.</w:t>
      </w:r>
    </w:p>
    <w:p>
      <w:pPr>
        <w:spacing w:after="0" w:line="11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table summarizes the preliminary fair value of total consideration transferred and the fair value of each major class of consideration for</w:t>
      </w:r>
    </w:p>
    <w:p>
      <w:pPr>
        <w:spacing w:after="0" w:line="3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Medicine Man:</w:t>
      </w:r>
    </w:p>
    <w:p>
      <w:pPr>
        <w:spacing w:after="0" w:line="110" w:lineRule="exact"/>
        <w:rPr>
          <w:sz w:val="20"/>
          <w:szCs w:val="20"/>
          <w:color w:val="auto"/>
        </w:rPr>
      </w:pPr>
    </w:p>
    <w:tbl>
      <w:tblPr>
        <w:tblLayout w:type="fixed"/>
        <w:tblInd w:w="420" w:type="dxa"/>
        <w:tblCellMar>
          <w:top w:w="0" w:type="dxa"/>
          <w:left w:w="0" w:type="dxa"/>
          <w:bottom w:w="0" w:type="dxa"/>
          <w:right w:w="0" w:type="dxa"/>
        </w:tblCellMar>
      </w:tblPr>
      <w:tr>
        <w:trPr>
          <w:trHeight w:val="227"/>
        </w:trPr>
        <w:tc>
          <w:tcPr>
            <w:tcW w:w="20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w w:val="90"/>
              </w:rPr>
              <w:t>Consideration transferred</w:t>
            </w:r>
          </w:p>
        </w:tc>
        <w:tc>
          <w:tcPr>
            <w:tcW w:w="664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shd w:val="clear" w:color="auto" w:fill="CFF0FC"/>
          </w:tcPr>
          <w:p>
            <w:pPr>
              <w:spacing w:after="0"/>
              <w:rPr>
                <w:sz w:val="19"/>
                <w:szCs w:val="19"/>
                <w:color w:val="auto"/>
              </w:rPr>
            </w:pPr>
          </w:p>
        </w:tc>
        <w:tc>
          <w:tcPr>
            <w:tcW w:w="1340" w:type="dxa"/>
            <w:vAlign w:val="bottom"/>
            <w:tcBorders>
              <w:bottom w:val="single" w:sz="8" w:color="CFF0FC"/>
            </w:tcBorders>
            <w:shd w:val="clear" w:color="auto" w:fill="CFF0FC"/>
          </w:tcPr>
          <w:p>
            <w:pPr>
              <w:spacing w:after="0"/>
              <w:rPr>
                <w:sz w:val="19"/>
                <w:szCs w:val="19"/>
                <w:color w:val="auto"/>
              </w:rPr>
            </w:pPr>
          </w:p>
        </w:tc>
      </w:tr>
      <w:tr>
        <w:trPr>
          <w:trHeight w:val="216"/>
        </w:trPr>
        <w:tc>
          <w:tcPr>
            <w:tcW w:w="8660" w:type="dxa"/>
            <w:vAlign w:val="bottom"/>
            <w:gridSpan w:val="2"/>
          </w:tcPr>
          <w:p>
            <w:pPr>
              <w:spacing w:after="0"/>
              <w:rPr>
                <w:sz w:val="20"/>
                <w:szCs w:val="20"/>
                <w:color w:val="auto"/>
              </w:rPr>
            </w:pPr>
            <w:r>
              <w:rPr>
                <w:rFonts w:ascii="Arial" w:cs="Arial" w:eastAsia="Arial" w:hAnsi="Arial"/>
                <w:sz w:val="18"/>
                <w:szCs w:val="18"/>
                <w:color w:val="auto"/>
              </w:rPr>
              <w:t>Cash consideration</w:t>
            </w:r>
          </w:p>
        </w:tc>
        <w:tc>
          <w:tcPr>
            <w:tcW w:w="820" w:type="dxa"/>
            <w:vAlign w:val="bottom"/>
          </w:tcPr>
          <w:p>
            <w:pPr>
              <w:jc w:val="right"/>
              <w:ind w:right="6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7,240</w:t>
            </w:r>
          </w:p>
        </w:tc>
      </w:tr>
      <w:tr>
        <w:trPr>
          <w:trHeight w:val="216"/>
        </w:trPr>
        <w:tc>
          <w:tcPr>
            <w:tcW w:w="8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Closing shares</w:t>
            </w:r>
          </w:p>
        </w:tc>
        <w:tc>
          <w:tcPr>
            <w:tcW w:w="82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23,955</w:t>
            </w:r>
          </w:p>
        </w:tc>
      </w:tr>
      <w:tr>
        <w:trPr>
          <w:trHeight w:val="216"/>
        </w:trPr>
        <w:tc>
          <w:tcPr>
            <w:tcW w:w="8660" w:type="dxa"/>
            <w:vAlign w:val="bottom"/>
            <w:gridSpan w:val="2"/>
          </w:tcPr>
          <w:p>
            <w:pPr>
              <w:spacing w:after="0"/>
              <w:rPr>
                <w:sz w:val="20"/>
                <w:szCs w:val="20"/>
                <w:color w:val="auto"/>
              </w:rPr>
            </w:pPr>
            <w:r>
              <w:rPr>
                <w:rFonts w:ascii="Arial" w:cs="Arial" w:eastAsia="Arial" w:hAnsi="Arial"/>
                <w:sz w:val="18"/>
                <w:szCs w:val="18"/>
                <w:color w:val="auto"/>
              </w:rPr>
              <w:t>Contingent consideration</w:t>
            </w:r>
          </w:p>
        </w:tc>
        <w:tc>
          <w:tcPr>
            <w:tcW w:w="82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3,664</w:t>
            </w:r>
          </w:p>
        </w:tc>
      </w:tr>
      <w:tr>
        <w:trPr>
          <w:trHeight w:val="216"/>
        </w:trPr>
        <w:tc>
          <w:tcPr>
            <w:tcW w:w="86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Purchase option obligation</w:t>
            </w:r>
          </w:p>
        </w:tc>
        <w:tc>
          <w:tcPr>
            <w:tcW w:w="8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5,899</w:t>
            </w:r>
          </w:p>
        </w:tc>
      </w:tr>
      <w:tr>
        <w:trPr>
          <w:trHeight w:val="209"/>
        </w:trPr>
        <w:tc>
          <w:tcPr>
            <w:tcW w:w="8660" w:type="dxa"/>
            <w:vAlign w:val="bottom"/>
            <w:gridSpan w:val="2"/>
          </w:tcPr>
          <w:p>
            <w:pPr>
              <w:ind w:left="180"/>
              <w:spacing w:after="0"/>
              <w:rPr>
                <w:sz w:val="20"/>
                <w:szCs w:val="20"/>
                <w:color w:val="auto"/>
              </w:rPr>
            </w:pPr>
            <w:r>
              <w:rPr>
                <w:rFonts w:ascii="Arial" w:cs="Arial" w:eastAsia="Arial" w:hAnsi="Arial"/>
                <w:sz w:val="18"/>
                <w:szCs w:val="18"/>
                <w:color w:val="auto"/>
              </w:rPr>
              <w:t>Total unadjusted purchase price</w:t>
            </w:r>
          </w:p>
        </w:tc>
        <w:tc>
          <w:tcPr>
            <w:tcW w:w="82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40,758</w:t>
            </w:r>
          </w:p>
        </w:tc>
      </w:tr>
      <w:tr>
        <w:trPr>
          <w:trHeight w:val="216"/>
        </w:trPr>
        <w:tc>
          <w:tcPr>
            <w:tcW w:w="8660" w:type="dxa"/>
            <w:vAlign w:val="bottom"/>
            <w:tcBorders>
              <w:bottom w:val="single" w:sz="8" w:color="CFF0FC"/>
            </w:tcBorders>
            <w:gridSpan w:val="2"/>
            <w:shd w:val="clear" w:color="auto" w:fill="CFF0FC"/>
          </w:tcPr>
          <w:p>
            <w:pPr>
              <w:ind w:left="180"/>
              <w:spacing w:after="0"/>
              <w:rPr>
                <w:sz w:val="20"/>
                <w:szCs w:val="20"/>
                <w:color w:val="auto"/>
              </w:rPr>
            </w:pPr>
            <w:r>
              <w:rPr>
                <w:rFonts w:ascii="Arial" w:cs="Arial" w:eastAsia="Arial" w:hAnsi="Arial"/>
                <w:sz w:val="18"/>
                <w:szCs w:val="18"/>
                <w:color w:val="auto"/>
              </w:rPr>
              <w:t>Working capital adjustment</w:t>
            </w:r>
          </w:p>
        </w:tc>
        <w:tc>
          <w:tcPr>
            <w:tcW w:w="8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127</w:t>
            </w:r>
          </w:p>
        </w:tc>
      </w:tr>
      <w:tr>
        <w:trPr>
          <w:trHeight w:val="209"/>
        </w:trPr>
        <w:tc>
          <w:tcPr>
            <w:tcW w:w="8660" w:type="dxa"/>
            <w:vAlign w:val="bottom"/>
            <w:gridSpan w:val="2"/>
          </w:tcPr>
          <w:p>
            <w:pPr>
              <w:ind w:left="180"/>
              <w:spacing w:after="0"/>
              <w:rPr>
                <w:sz w:val="20"/>
                <w:szCs w:val="20"/>
                <w:color w:val="auto"/>
              </w:rPr>
            </w:pPr>
            <w:r>
              <w:rPr>
                <w:rFonts w:ascii="Arial" w:cs="Arial" w:eastAsia="Arial" w:hAnsi="Arial"/>
                <w:sz w:val="18"/>
                <w:szCs w:val="18"/>
                <w:color w:val="auto"/>
              </w:rPr>
              <w:t>Total adjusted purchase price</w:t>
            </w:r>
          </w:p>
        </w:tc>
        <w:tc>
          <w:tcPr>
            <w:tcW w:w="8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40,885</w:t>
            </w:r>
          </w:p>
        </w:tc>
      </w:tr>
      <w:tr>
        <w:trPr>
          <w:trHeight w:val="209"/>
        </w:trPr>
        <w:tc>
          <w:tcPr>
            <w:tcW w:w="86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Less: Cash and cash equivalents acquired</w:t>
            </w:r>
          </w:p>
        </w:tc>
        <w:tc>
          <w:tcPr>
            <w:tcW w:w="8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(1,250 )</w:t>
            </w:r>
          </w:p>
        </w:tc>
      </w:tr>
      <w:tr>
        <w:trPr>
          <w:trHeight w:val="209"/>
        </w:trPr>
        <w:tc>
          <w:tcPr>
            <w:tcW w:w="8660" w:type="dxa"/>
            <w:vAlign w:val="bottom"/>
            <w:gridSpan w:val="2"/>
          </w:tcPr>
          <w:p>
            <w:pPr>
              <w:ind w:left="180"/>
              <w:spacing w:after="0"/>
              <w:rPr>
                <w:sz w:val="20"/>
                <w:szCs w:val="20"/>
                <w:color w:val="auto"/>
              </w:rPr>
            </w:pPr>
            <w:r>
              <w:rPr>
                <w:rFonts w:ascii="Arial" w:cs="Arial" w:eastAsia="Arial" w:hAnsi="Arial"/>
                <w:sz w:val="18"/>
                <w:szCs w:val="18"/>
                <w:color w:val="auto"/>
              </w:rPr>
              <w:t>Total purchase price, net of cash and cash equivalents acquired</w:t>
            </w:r>
          </w:p>
        </w:tc>
        <w:tc>
          <w:tcPr>
            <w:tcW w:w="8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39,635</w:t>
            </w:r>
          </w:p>
        </w:tc>
      </w:tr>
      <w:tr>
        <w:trPr>
          <w:trHeight w:val="20"/>
        </w:trPr>
        <w:tc>
          <w:tcPr>
            <w:tcW w:w="20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both"/>
        <w:ind w:left="380"/>
        <w:spacing w:after="0" w:line="248" w:lineRule="auto"/>
        <w:rPr>
          <w:sz w:val="20"/>
          <w:szCs w:val="20"/>
          <w:color w:val="auto"/>
        </w:rPr>
      </w:pPr>
      <w:r>
        <w:rPr>
          <w:rFonts w:ascii="Arial" w:cs="Arial" w:eastAsia="Arial" w:hAnsi="Arial"/>
          <w:sz w:val="18"/>
          <w:szCs w:val="18"/>
          <w:color w:val="auto"/>
        </w:rPr>
        <w:t>Equity purchase consideration comprised 5,840,229 Common Shares of which 4,857,184 were issued during the year 2021. As per the terms of the Merger Agreement, the Company paid $836 in cash and issued 1,099,549 milestone shares in settlement of contingent consideration during April 2022. Also, upon closing of the Medicine Man Longmont Option, the Company paid $1,468 in cash and issued 983,040 Common Shares in August 2022.</w:t>
      </w:r>
    </w:p>
    <w:p>
      <w:pPr>
        <w:spacing w:after="0" w:line="115" w:lineRule="exact"/>
        <w:rPr>
          <w:sz w:val="20"/>
          <w:szCs w:val="20"/>
          <w:color w:val="auto"/>
        </w:rPr>
      </w:pPr>
    </w:p>
    <w:tbl>
      <w:tblPr>
        <w:tblLayout w:type="fixed"/>
        <w:tblInd w:w="380" w:type="dxa"/>
        <w:tblCellMar>
          <w:top w:w="0" w:type="dxa"/>
          <w:left w:w="0" w:type="dxa"/>
          <w:bottom w:w="0" w:type="dxa"/>
          <w:right w:w="0" w:type="dxa"/>
        </w:tblCellMar>
      </w:tblPr>
      <w:tr>
        <w:trPr>
          <w:trHeight w:val="230"/>
        </w:trPr>
        <w:tc>
          <w:tcPr>
            <w:tcW w:w="8680" w:type="dxa"/>
            <w:vAlign w:val="bottom"/>
            <w:gridSpan w:val="3"/>
          </w:tcPr>
          <w:p>
            <w:pPr>
              <w:spacing w:after="0"/>
              <w:rPr>
                <w:sz w:val="20"/>
                <w:szCs w:val="20"/>
                <w:color w:val="auto"/>
              </w:rPr>
            </w:pPr>
            <w:r>
              <w:rPr>
                <w:rFonts w:ascii="Arial" w:cs="Arial" w:eastAsia="Arial" w:hAnsi="Arial"/>
                <w:sz w:val="18"/>
                <w:szCs w:val="18"/>
                <w:color w:val="auto"/>
                <w:w w:val="92"/>
              </w:rPr>
              <w:t>Recognized amounts of identifiable assets acquired, and liabilities assumed, less cash and cash equivalents acquired:</w:t>
            </w:r>
          </w:p>
        </w:tc>
        <w:tc>
          <w:tcPr>
            <w:tcW w:w="8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135"/>
        </w:trPr>
        <w:tc>
          <w:tcPr>
            <w:tcW w:w="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6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60" w:type="dxa"/>
            <w:vAlign w:val="bottom"/>
          </w:tcPr>
          <w:p>
            <w:pPr>
              <w:spacing w:after="0"/>
              <w:rPr>
                <w:sz w:val="11"/>
                <w:szCs w:val="11"/>
                <w:color w:val="auto"/>
              </w:rPr>
            </w:pPr>
          </w:p>
        </w:tc>
      </w:tr>
      <w:tr>
        <w:trPr>
          <w:trHeight w:val="196"/>
        </w:trPr>
        <w:tc>
          <w:tcPr>
            <w:tcW w:w="20" w:type="dxa"/>
            <w:vAlign w:val="bottom"/>
            <w:tcBorders>
              <w:bottom w:val="single" w:sz="8" w:color="CFF0FC"/>
            </w:tcBorders>
            <w:shd w:val="clear" w:color="auto" w:fill="CFF0FC"/>
          </w:tcPr>
          <w:p>
            <w:pPr>
              <w:spacing w:after="0"/>
              <w:rPr>
                <w:sz w:val="17"/>
                <w:szCs w:val="17"/>
                <w:color w:val="auto"/>
              </w:rPr>
            </w:pPr>
          </w:p>
        </w:tc>
        <w:tc>
          <w:tcPr>
            <w:tcW w:w="1940" w:type="dxa"/>
            <w:vAlign w:val="bottom"/>
            <w:tcBorders>
              <w:bottom w:val="single" w:sz="8" w:color="auto"/>
            </w:tcBorders>
            <w:shd w:val="clear" w:color="auto" w:fill="CFF0FC"/>
          </w:tcPr>
          <w:p>
            <w:pPr>
              <w:spacing w:after="0" w:line="176" w:lineRule="exact"/>
              <w:rPr>
                <w:sz w:val="20"/>
                <w:szCs w:val="20"/>
                <w:color w:val="auto"/>
              </w:rPr>
            </w:pPr>
            <w:r>
              <w:rPr>
                <w:rFonts w:ascii="Arial" w:cs="Arial" w:eastAsia="Arial" w:hAnsi="Arial"/>
                <w:sz w:val="18"/>
                <w:szCs w:val="18"/>
                <w:b w:val="1"/>
                <w:bCs w:val="1"/>
                <w:color w:val="auto"/>
                <w:w w:val="88"/>
              </w:rPr>
              <w:t>Purchase price allocation</w:t>
            </w:r>
          </w:p>
        </w:tc>
        <w:tc>
          <w:tcPr>
            <w:tcW w:w="6720" w:type="dxa"/>
            <w:vAlign w:val="bottom"/>
            <w:tcBorders>
              <w:bottom w:val="single" w:sz="8" w:color="CFF0FC"/>
            </w:tcBorders>
            <w:shd w:val="clear" w:color="auto" w:fill="CFF0FC"/>
          </w:tcPr>
          <w:p>
            <w:pPr>
              <w:spacing w:after="0"/>
              <w:rPr>
                <w:sz w:val="17"/>
                <w:szCs w:val="17"/>
                <w:color w:val="auto"/>
              </w:rPr>
            </w:pPr>
          </w:p>
        </w:tc>
        <w:tc>
          <w:tcPr>
            <w:tcW w:w="820" w:type="dxa"/>
            <w:vAlign w:val="bottom"/>
            <w:tcBorders>
              <w:bottom w:val="single" w:sz="8" w:color="CFF0FC"/>
            </w:tcBorders>
            <w:shd w:val="clear" w:color="auto" w:fill="CFF0FC"/>
          </w:tcPr>
          <w:p>
            <w:pPr>
              <w:spacing w:after="0"/>
              <w:rPr>
                <w:sz w:val="17"/>
                <w:szCs w:val="17"/>
                <w:color w:val="auto"/>
              </w:rPr>
            </w:pPr>
          </w:p>
        </w:tc>
        <w:tc>
          <w:tcPr>
            <w:tcW w:w="1360" w:type="dxa"/>
            <w:vAlign w:val="bottom"/>
            <w:tcBorders>
              <w:bottom w:val="single" w:sz="8" w:color="CFF0FC"/>
            </w:tcBorders>
            <w:shd w:val="clear" w:color="auto" w:fill="CFF0FC"/>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tcPr>
          <w:p>
            <w:pPr>
              <w:spacing w:after="0"/>
              <w:rPr>
                <w:sz w:val="20"/>
                <w:szCs w:val="20"/>
                <w:color w:val="auto"/>
              </w:rPr>
            </w:pPr>
            <w:r>
              <w:rPr>
                <w:rFonts w:ascii="Arial" w:cs="Arial" w:eastAsia="Arial" w:hAnsi="Arial"/>
                <w:sz w:val="18"/>
                <w:szCs w:val="18"/>
                <w:color w:val="auto"/>
              </w:rPr>
              <w:t>Assets acquired:</w:t>
            </w:r>
          </w:p>
        </w:tc>
        <w:tc>
          <w:tcPr>
            <w:tcW w:w="8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20" w:type="dxa"/>
            <w:vAlign w:val="bottom"/>
            <w:shd w:val="clear" w:color="auto" w:fill="CFF0FC"/>
          </w:tcPr>
          <w:p>
            <w:pPr>
              <w:spacing w:after="0"/>
              <w:rPr>
                <w:sz w:val="18"/>
                <w:szCs w:val="18"/>
                <w:color w:val="auto"/>
              </w:rPr>
            </w:pPr>
          </w:p>
        </w:tc>
        <w:tc>
          <w:tcPr>
            <w:tcW w:w="866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Inventory</w:t>
            </w:r>
          </w:p>
        </w:tc>
        <w:tc>
          <w:tcPr>
            <w:tcW w:w="820" w:type="dxa"/>
            <w:vAlign w:val="bottom"/>
            <w:shd w:val="clear" w:color="auto" w:fill="CFF0FC"/>
          </w:tcPr>
          <w:p>
            <w:pPr>
              <w:jc w:val="right"/>
              <w:ind w:right="6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3,611</w:t>
            </w:r>
          </w:p>
        </w:tc>
      </w:tr>
      <w:tr>
        <w:trPr>
          <w:trHeight w:val="216"/>
        </w:trPr>
        <w:tc>
          <w:tcPr>
            <w:tcW w:w="20" w:type="dxa"/>
            <w:vAlign w:val="bottom"/>
          </w:tcPr>
          <w:p>
            <w:pPr>
              <w:spacing w:after="0"/>
              <w:rPr>
                <w:sz w:val="18"/>
                <w:szCs w:val="18"/>
                <w:color w:val="auto"/>
              </w:rPr>
            </w:pPr>
          </w:p>
        </w:tc>
        <w:tc>
          <w:tcPr>
            <w:tcW w:w="8660" w:type="dxa"/>
            <w:vAlign w:val="bottom"/>
            <w:gridSpan w:val="2"/>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82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397</w:t>
            </w:r>
          </w:p>
        </w:tc>
      </w:tr>
      <w:tr>
        <w:trPr>
          <w:trHeight w:val="216"/>
        </w:trPr>
        <w:tc>
          <w:tcPr>
            <w:tcW w:w="20" w:type="dxa"/>
            <w:vAlign w:val="bottom"/>
            <w:shd w:val="clear" w:color="auto" w:fill="CFF0FC"/>
          </w:tcPr>
          <w:p>
            <w:pPr>
              <w:spacing w:after="0"/>
              <w:rPr>
                <w:sz w:val="18"/>
                <w:szCs w:val="18"/>
                <w:color w:val="auto"/>
              </w:rPr>
            </w:pPr>
          </w:p>
        </w:tc>
        <w:tc>
          <w:tcPr>
            <w:tcW w:w="866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Property and equipment</w:t>
            </w:r>
          </w:p>
        </w:tc>
        <w:tc>
          <w:tcPr>
            <w:tcW w:w="82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1,498</w:t>
            </w:r>
          </w:p>
        </w:tc>
      </w:tr>
      <w:tr>
        <w:trPr>
          <w:trHeight w:val="216"/>
        </w:trPr>
        <w:tc>
          <w:tcPr>
            <w:tcW w:w="20" w:type="dxa"/>
            <w:vAlign w:val="bottom"/>
          </w:tcPr>
          <w:p>
            <w:pPr>
              <w:spacing w:after="0"/>
              <w:rPr>
                <w:sz w:val="18"/>
                <w:szCs w:val="18"/>
                <w:color w:val="auto"/>
              </w:rPr>
            </w:pPr>
          </w:p>
        </w:tc>
        <w:tc>
          <w:tcPr>
            <w:tcW w:w="8660" w:type="dxa"/>
            <w:vAlign w:val="bottom"/>
            <w:gridSpan w:val="2"/>
          </w:tcPr>
          <w:p>
            <w:pPr>
              <w:ind w:left="180"/>
              <w:spacing w:after="0"/>
              <w:rPr>
                <w:sz w:val="20"/>
                <w:szCs w:val="20"/>
                <w:color w:val="auto"/>
              </w:rPr>
            </w:pPr>
            <w:r>
              <w:rPr>
                <w:rFonts w:ascii="Arial" w:cs="Arial" w:eastAsia="Arial" w:hAnsi="Arial"/>
                <w:sz w:val="18"/>
                <w:szCs w:val="18"/>
                <w:color w:val="auto"/>
              </w:rPr>
              <w:t>Right of use assets</w:t>
            </w:r>
          </w:p>
        </w:tc>
        <w:tc>
          <w:tcPr>
            <w:tcW w:w="82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10,613</w:t>
            </w:r>
          </w:p>
        </w:tc>
      </w:tr>
      <w:tr>
        <w:trPr>
          <w:trHeight w:val="216"/>
        </w:trPr>
        <w:tc>
          <w:tcPr>
            <w:tcW w:w="20" w:type="dxa"/>
            <w:vAlign w:val="bottom"/>
            <w:shd w:val="clear" w:color="auto" w:fill="CFF0FC"/>
          </w:tcPr>
          <w:p>
            <w:pPr>
              <w:spacing w:after="0"/>
              <w:rPr>
                <w:sz w:val="18"/>
                <w:szCs w:val="18"/>
                <w:color w:val="auto"/>
              </w:rPr>
            </w:pPr>
          </w:p>
        </w:tc>
        <w:tc>
          <w:tcPr>
            <w:tcW w:w="866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Goodwill</w:t>
            </w:r>
          </w:p>
        </w:tc>
        <w:tc>
          <w:tcPr>
            <w:tcW w:w="82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15,807</w:t>
            </w:r>
          </w:p>
        </w:tc>
      </w:tr>
      <w:tr>
        <w:trPr>
          <w:trHeight w:val="216"/>
        </w:trPr>
        <w:tc>
          <w:tcPr>
            <w:tcW w:w="20" w:type="dxa"/>
            <w:vAlign w:val="bottom"/>
          </w:tcPr>
          <w:p>
            <w:pPr>
              <w:spacing w:after="0"/>
              <w:rPr>
                <w:sz w:val="18"/>
                <w:szCs w:val="18"/>
                <w:color w:val="auto"/>
              </w:rPr>
            </w:pPr>
          </w:p>
        </w:tc>
        <w:tc>
          <w:tcPr>
            <w:tcW w:w="8660" w:type="dxa"/>
            <w:vAlign w:val="bottom"/>
            <w:gridSpan w:val="2"/>
          </w:tcPr>
          <w:p>
            <w:pPr>
              <w:ind w:left="180"/>
              <w:spacing w:after="0"/>
              <w:rPr>
                <w:sz w:val="20"/>
                <w:szCs w:val="20"/>
                <w:color w:val="auto"/>
              </w:rPr>
            </w:pPr>
            <w:r>
              <w:rPr>
                <w:rFonts w:ascii="Arial" w:cs="Arial" w:eastAsia="Arial" w:hAnsi="Arial"/>
                <w:sz w:val="18"/>
                <w:szCs w:val="18"/>
                <w:color w:val="auto"/>
              </w:rPr>
              <w:t>Intangible assets</w:t>
            </w:r>
          </w:p>
        </w:tc>
        <w:tc>
          <w:tcPr>
            <w:tcW w:w="82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30,370</w:t>
            </w:r>
          </w:p>
        </w:tc>
      </w:tr>
      <w:tr>
        <w:trPr>
          <w:trHeight w:val="216"/>
        </w:trPr>
        <w:tc>
          <w:tcPr>
            <w:tcW w:w="20" w:type="dxa"/>
            <w:vAlign w:val="bottom"/>
            <w:shd w:val="clear" w:color="auto" w:fill="CFF0FC"/>
          </w:tcPr>
          <w:p>
            <w:pPr>
              <w:spacing w:after="0"/>
              <w:rPr>
                <w:sz w:val="18"/>
                <w:szCs w:val="18"/>
                <w:color w:val="auto"/>
              </w:rPr>
            </w:pPr>
          </w:p>
        </w:tc>
        <w:tc>
          <w:tcPr>
            <w:tcW w:w="866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Accounts payable</w:t>
            </w:r>
          </w:p>
        </w:tc>
        <w:tc>
          <w:tcPr>
            <w:tcW w:w="8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(696 )</w:t>
            </w:r>
          </w:p>
        </w:tc>
      </w:tr>
      <w:tr>
        <w:trPr>
          <w:trHeight w:val="216"/>
        </w:trPr>
        <w:tc>
          <w:tcPr>
            <w:tcW w:w="20" w:type="dxa"/>
            <w:vAlign w:val="bottom"/>
          </w:tcPr>
          <w:p>
            <w:pPr>
              <w:spacing w:after="0"/>
              <w:rPr>
                <w:sz w:val="18"/>
                <w:szCs w:val="18"/>
                <w:color w:val="auto"/>
              </w:rPr>
            </w:pPr>
          </w:p>
        </w:tc>
        <w:tc>
          <w:tcPr>
            <w:tcW w:w="8660" w:type="dxa"/>
            <w:vAlign w:val="bottom"/>
            <w:gridSpan w:val="2"/>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8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(1,910 )</w:t>
            </w:r>
          </w:p>
        </w:tc>
      </w:tr>
      <w:tr>
        <w:trPr>
          <w:trHeight w:val="216"/>
        </w:trPr>
        <w:tc>
          <w:tcPr>
            <w:tcW w:w="20" w:type="dxa"/>
            <w:vAlign w:val="bottom"/>
            <w:shd w:val="clear" w:color="auto" w:fill="CFF0FC"/>
          </w:tcPr>
          <w:p>
            <w:pPr>
              <w:spacing w:after="0"/>
              <w:rPr>
                <w:sz w:val="18"/>
                <w:szCs w:val="18"/>
                <w:color w:val="auto"/>
              </w:rPr>
            </w:pPr>
          </w:p>
        </w:tc>
        <w:tc>
          <w:tcPr>
            <w:tcW w:w="866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Lease liabilities</w:t>
            </w:r>
          </w:p>
        </w:tc>
        <w:tc>
          <w:tcPr>
            <w:tcW w:w="8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(11,233 )</w:t>
            </w:r>
          </w:p>
        </w:tc>
      </w:tr>
      <w:tr>
        <w:trPr>
          <w:trHeight w:val="216"/>
        </w:trPr>
        <w:tc>
          <w:tcPr>
            <w:tcW w:w="20" w:type="dxa"/>
            <w:vAlign w:val="bottom"/>
          </w:tcPr>
          <w:p>
            <w:pPr>
              <w:spacing w:after="0"/>
              <w:rPr>
                <w:sz w:val="18"/>
                <w:szCs w:val="18"/>
                <w:color w:val="auto"/>
              </w:rPr>
            </w:pPr>
          </w:p>
        </w:tc>
        <w:tc>
          <w:tcPr>
            <w:tcW w:w="8660" w:type="dxa"/>
            <w:vAlign w:val="bottom"/>
            <w:gridSpan w:val="2"/>
          </w:tcPr>
          <w:p>
            <w:pPr>
              <w:ind w:left="180"/>
              <w:spacing w:after="0"/>
              <w:rPr>
                <w:sz w:val="20"/>
                <w:szCs w:val="20"/>
                <w:color w:val="auto"/>
              </w:rPr>
            </w:pPr>
            <w:r>
              <w:rPr>
                <w:rFonts w:ascii="Arial" w:cs="Arial" w:eastAsia="Arial" w:hAnsi="Arial"/>
                <w:sz w:val="18"/>
                <w:szCs w:val="18"/>
                <w:color w:val="auto"/>
              </w:rPr>
              <w:t>Deferred tax liabilities</w:t>
            </w:r>
          </w:p>
        </w:tc>
        <w:tc>
          <w:tcPr>
            <w:tcW w:w="8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(8,822 )</w:t>
            </w:r>
          </w:p>
        </w:tc>
      </w:tr>
      <w:tr>
        <w:trPr>
          <w:trHeight w:val="249"/>
        </w:trPr>
        <w:tc>
          <w:tcPr>
            <w:tcW w:w="20" w:type="dxa"/>
            <w:vAlign w:val="bottom"/>
            <w:tcBorders>
              <w:bottom w:val="single" w:sz="8" w:color="CFF0FC"/>
            </w:tcBorders>
            <w:shd w:val="clear" w:color="auto" w:fill="CFF0FC"/>
          </w:tcPr>
          <w:p>
            <w:pPr>
              <w:spacing w:after="0"/>
              <w:rPr>
                <w:sz w:val="21"/>
                <w:szCs w:val="21"/>
                <w:color w:val="auto"/>
              </w:rPr>
            </w:pPr>
          </w:p>
        </w:tc>
        <w:tc>
          <w:tcPr>
            <w:tcW w:w="86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Consideration transferred</w:t>
            </w:r>
          </w:p>
        </w:tc>
        <w:tc>
          <w:tcPr>
            <w:tcW w:w="820" w:type="dxa"/>
            <w:vAlign w:val="bottom"/>
            <w:tcBorders>
              <w:bottom w:val="single" w:sz="8" w:color="auto"/>
            </w:tcBorders>
            <w:shd w:val="clear" w:color="auto" w:fill="CFF0FC"/>
          </w:tcPr>
          <w:p>
            <w:pPr>
              <w:jc w:val="right"/>
              <w:ind w:right="6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39,635</w:t>
            </w:r>
          </w:p>
        </w:tc>
      </w:tr>
    </w:tbl>
    <w:p>
      <w:pPr>
        <w:spacing w:after="0" w:line="350" w:lineRule="exact"/>
        <w:rPr>
          <w:sz w:val="20"/>
          <w:szCs w:val="20"/>
          <w:color w:val="auto"/>
        </w:rPr>
      </w:pPr>
    </w:p>
    <w:p>
      <w:pPr>
        <w:jc w:val="both"/>
        <w:ind w:left="380"/>
        <w:spacing w:after="0" w:line="248" w:lineRule="auto"/>
        <w:rPr>
          <w:sz w:val="20"/>
          <w:szCs w:val="20"/>
          <w:color w:val="auto"/>
        </w:rPr>
      </w:pPr>
      <w:r>
        <w:rPr>
          <w:rFonts w:ascii="Arial" w:cs="Arial" w:eastAsia="Arial" w:hAnsi="Arial"/>
          <w:sz w:val="18"/>
          <w:szCs w:val="18"/>
          <w:color w:val="auto"/>
        </w:rPr>
        <w:t>The purchase price has been allocated on the basis of the preliminary estimates of fair values of assets and liabilities assumed, resulting in goodwill of $15,807. The goodwill consists of expected synergies from combining operations of the Company and Medicine Man, and intangible assets not qualifying for separate recognition such as formulations, proprietary technologies and acquired know-how. None of the goodwill is deductible for tax purposes.</w:t>
      </w:r>
    </w:p>
    <w:p>
      <w:pPr>
        <w:spacing w:after="0" w:line="115" w:lineRule="exact"/>
        <w:rPr>
          <w:sz w:val="20"/>
          <w:szCs w:val="20"/>
          <w:color w:val="auto"/>
        </w:rPr>
      </w:pPr>
    </w:p>
    <w:p>
      <w:pPr>
        <w:jc w:val="both"/>
        <w:ind w:left="380"/>
        <w:spacing w:after="0" w:line="261" w:lineRule="auto"/>
        <w:rPr>
          <w:sz w:val="20"/>
          <w:szCs w:val="20"/>
          <w:color w:val="auto"/>
        </w:rPr>
      </w:pPr>
      <w:r>
        <w:rPr>
          <w:rFonts w:ascii="Arial" w:cs="Arial" w:eastAsia="Arial" w:hAnsi="Arial"/>
          <w:sz w:val="18"/>
          <w:szCs w:val="18"/>
          <w:color w:val="auto"/>
        </w:rPr>
        <w:t>Medicine Man’s state licenses and trademarks represented identifiable intangible assets acquired in the amounts of $26,900 and $3,470 respectively, which were determined to have definite useful lives of 10 and 5 years respectively.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2" w:name="page13"/>
    <w:bookmarkEnd w:id="12"/>
    <w:p>
      <w:pPr>
        <w:jc w:val="both"/>
        <w:ind w:left="380"/>
        <w:spacing w:after="0" w:line="255" w:lineRule="auto"/>
        <w:rPr>
          <w:sz w:val="20"/>
          <w:szCs w:val="20"/>
          <w:color w:val="auto"/>
        </w:rPr>
      </w:pPr>
      <w:r>
        <w:rPr>
          <w:rFonts w:ascii="Arial" w:cs="Arial" w:eastAsia="Arial" w:hAnsi="Arial"/>
          <w:sz w:val="18"/>
          <w:szCs w:val="18"/>
          <w:color w:val="auto"/>
        </w:rPr>
        <w:t>In conjunction with the Medicine Man Transaction, the Company expensed $1,099 of acquisition-related costs, which have been included in selling, general and administrative expenses on the Company’s consolidated statement of operations and comprehensive loss for the year ended December 31, 2021.</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Agreement and Plan of Merger with Green Leaf Medical LLC</w:t>
      </w:r>
    </w:p>
    <w:p>
      <w:pPr>
        <w:spacing w:after="0" w:line="144" w:lineRule="exact"/>
        <w:rPr>
          <w:sz w:val="20"/>
          <w:szCs w:val="20"/>
          <w:color w:val="auto"/>
        </w:rPr>
      </w:pPr>
    </w:p>
    <w:p>
      <w:pPr>
        <w:jc w:val="both"/>
        <w:ind w:left="380"/>
        <w:spacing w:after="0" w:line="277" w:lineRule="auto"/>
        <w:rPr>
          <w:sz w:val="20"/>
          <w:szCs w:val="20"/>
          <w:color w:val="auto"/>
        </w:rPr>
      </w:pPr>
      <w:r>
        <w:rPr>
          <w:rFonts w:ascii="Arial" w:cs="Arial" w:eastAsia="Arial" w:hAnsi="Arial"/>
          <w:sz w:val="16"/>
          <w:szCs w:val="16"/>
          <w:color w:val="auto"/>
        </w:rPr>
        <w:t>Effective June 11, 2021, the Company and certain subsidiaries entered into an agreement and plan of merger (the “gLeaf Agreement”) with Green Leaf Medical LLC (“gLeaf”). Under the gLeaf Agreement, the Company may be obligated to provide contingent consideration, payable in common shares of the Company (the “Milestone Shares”), to the shareholders of gLeaf if gLeaf achieves certain performance-based milestones through the 12-month period to June 30, 2022 and through the 12 month period through June 30, 2023 (collectively the “Milestone Periods”). The Company and the former shareholders of gLeaf have each engaged third-party experts to independently assess performance over the first Milestone Period through June 30, 2022 (the “First Milestone”) and had differing conclusions with respect to whether the First Milestone was met, in that the Company’s third-party expert determined that no Milestone Shares were payable for the First Milestone. The parties are in discussions with respect to the First Milestone and indemnification claims stemming from the gLeaf Agreement, however, if no agreement is reached this could result in litigation.</w:t>
      </w:r>
    </w:p>
    <w:p>
      <w:pPr>
        <w:spacing w:after="0" w:line="54"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Agreement and Plan of Merger with Cresco Labs</w:t>
      </w:r>
    </w:p>
    <w:p>
      <w:pPr>
        <w:spacing w:after="0" w:line="144" w:lineRule="exact"/>
        <w:rPr>
          <w:sz w:val="20"/>
          <w:szCs w:val="20"/>
          <w:color w:val="auto"/>
        </w:rPr>
      </w:pPr>
    </w:p>
    <w:p>
      <w:pPr>
        <w:ind w:left="380" w:right="20"/>
        <w:spacing w:after="0" w:line="248" w:lineRule="auto"/>
        <w:rPr>
          <w:sz w:val="20"/>
          <w:szCs w:val="20"/>
          <w:color w:val="auto"/>
        </w:rPr>
      </w:pPr>
      <w:r>
        <w:rPr>
          <w:rFonts w:ascii="Arial" w:cs="Arial" w:eastAsia="Arial" w:hAnsi="Arial"/>
          <w:sz w:val="18"/>
          <w:szCs w:val="18"/>
          <w:color w:val="auto"/>
        </w:rPr>
        <w:t>On March 23, 2022, the Company and Cresco Labs, announced the execution of the Arrangement Agreement, by and between the Company and Cresco Labs. On July 8, 2022, the Company held a special meeting of the shareholders of the Company at which the shareholders approved the Cresco Transaction. On July 15, 2022, the Company also obtained the final order from the Supreme Court of British Columbia approving the Arrangement Agreement with Cresco Labs.</w:t>
      </w:r>
    </w:p>
    <w:p>
      <w:pPr>
        <w:spacing w:after="0" w:line="381" w:lineRule="exact"/>
        <w:rPr>
          <w:sz w:val="20"/>
          <w:szCs w:val="20"/>
          <w:color w:val="auto"/>
        </w:rPr>
      </w:pPr>
    </w:p>
    <w:p>
      <w:pPr>
        <w:ind w:left="380" w:hanging="372"/>
        <w:spacing w:after="0"/>
        <w:tabs>
          <w:tab w:leader="none" w:pos="3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147"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color w:val="auto"/>
        </w:rPr>
        <w:t>Details of the Company’s property and equipment and related depreciation expense are summarized in the tables below:</w:t>
      </w:r>
    </w:p>
    <w:p>
      <w:pPr>
        <w:spacing w:after="0" w:line="140"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6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80" w:type="dxa"/>
            <w:vAlign w:val="bottom"/>
            <w:gridSpan w:val="3"/>
          </w:tcPr>
          <w:p>
            <w:pPr>
              <w:ind w:left="60"/>
              <w:spacing w:after="0"/>
              <w:rPr>
                <w:sz w:val="20"/>
                <w:szCs w:val="20"/>
                <w:color w:val="auto"/>
              </w:rPr>
            </w:pPr>
            <w:r>
              <w:rPr>
                <w:rFonts w:ascii="Arial" w:cs="Arial" w:eastAsia="Arial" w:hAnsi="Arial"/>
                <w:sz w:val="18"/>
                <w:szCs w:val="18"/>
                <w:b w:val="1"/>
                <w:bCs w:val="1"/>
                <w:color w:val="auto"/>
              </w:rPr>
              <w:t>September 30, 2022</w:t>
            </w:r>
          </w:p>
        </w:tc>
        <w:tc>
          <w:tcPr>
            <w:tcW w:w="160" w:type="dxa"/>
            <w:vAlign w:val="bottom"/>
          </w:tcPr>
          <w:p>
            <w:pPr>
              <w:spacing w:after="0"/>
              <w:rPr>
                <w:sz w:val="20"/>
                <w:szCs w:val="20"/>
                <w:color w:val="auto"/>
              </w:rPr>
            </w:pPr>
          </w:p>
        </w:tc>
        <w:tc>
          <w:tcPr>
            <w:tcW w:w="18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2"/>
              </w:rPr>
              <w:t>December 31, 2021</w:t>
            </w:r>
          </w:p>
        </w:tc>
      </w:tr>
      <w:tr>
        <w:trPr>
          <w:trHeight w:val="209"/>
        </w:trPr>
        <w:tc>
          <w:tcPr>
            <w:tcW w:w="6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Land and buildings</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128,639</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113,736</w:t>
            </w:r>
          </w:p>
        </w:tc>
        <w:tc>
          <w:tcPr>
            <w:tcW w:w="100" w:type="dxa"/>
            <w:vAlign w:val="bottom"/>
            <w:shd w:val="clear" w:color="auto" w:fill="CFF0FC"/>
          </w:tcPr>
          <w:p>
            <w:pPr>
              <w:spacing w:after="0"/>
              <w:rPr>
                <w:sz w:val="18"/>
                <w:szCs w:val="18"/>
                <w:color w:val="auto"/>
              </w:rPr>
            </w:pPr>
          </w:p>
        </w:tc>
      </w:tr>
      <w:tr>
        <w:trPr>
          <w:trHeight w:val="216"/>
        </w:trPr>
        <w:tc>
          <w:tcPr>
            <w:tcW w:w="646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10,699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8,564</w:t>
            </w:r>
          </w:p>
        </w:tc>
        <w:tc>
          <w:tcPr>
            <w:tcW w:w="100" w:type="dxa"/>
            <w:vAlign w:val="bottom"/>
          </w:tcPr>
          <w:p>
            <w:pPr>
              <w:spacing w:after="0"/>
              <w:rPr>
                <w:sz w:val="18"/>
                <w:szCs w:val="18"/>
                <w:color w:val="auto"/>
              </w:rPr>
            </w:pPr>
          </w:p>
        </w:tc>
      </w:tr>
      <w:tr>
        <w:trPr>
          <w:trHeight w:val="216"/>
        </w:trPr>
        <w:tc>
          <w:tcPr>
            <w:tcW w:w="6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Equipment</w:t>
            </w:r>
          </w:p>
        </w:tc>
        <w:tc>
          <w:tcPr>
            <w:tcW w:w="16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42,032</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36,052</w:t>
            </w:r>
          </w:p>
        </w:tc>
        <w:tc>
          <w:tcPr>
            <w:tcW w:w="100" w:type="dxa"/>
            <w:vAlign w:val="bottom"/>
            <w:shd w:val="clear" w:color="auto" w:fill="CFF0FC"/>
          </w:tcPr>
          <w:p>
            <w:pPr>
              <w:spacing w:after="0"/>
              <w:rPr>
                <w:sz w:val="18"/>
                <w:szCs w:val="18"/>
                <w:color w:val="auto"/>
              </w:rPr>
            </w:pPr>
          </w:p>
        </w:tc>
      </w:tr>
      <w:tr>
        <w:trPr>
          <w:trHeight w:val="216"/>
        </w:trPr>
        <w:tc>
          <w:tcPr>
            <w:tcW w:w="6460" w:type="dxa"/>
            <w:vAlign w:val="bottom"/>
          </w:tcPr>
          <w:p>
            <w:pPr>
              <w:ind w:left="20"/>
              <w:spacing w:after="0"/>
              <w:rPr>
                <w:sz w:val="20"/>
                <w:szCs w:val="20"/>
                <w:color w:val="auto"/>
              </w:rPr>
            </w:pPr>
            <w:r>
              <w:rPr>
                <w:rFonts w:ascii="Arial" w:cs="Arial" w:eastAsia="Arial" w:hAnsi="Arial"/>
                <w:sz w:val="18"/>
                <w:szCs w:val="18"/>
                <w:color w:val="auto"/>
              </w:rPr>
              <w:t>Computers and software</w:t>
            </w: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3,546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2,914</w:t>
            </w:r>
          </w:p>
        </w:tc>
        <w:tc>
          <w:tcPr>
            <w:tcW w:w="100" w:type="dxa"/>
            <w:vAlign w:val="bottom"/>
          </w:tcPr>
          <w:p>
            <w:pPr>
              <w:spacing w:after="0"/>
              <w:rPr>
                <w:sz w:val="18"/>
                <w:szCs w:val="18"/>
                <w:color w:val="auto"/>
              </w:rPr>
            </w:pPr>
          </w:p>
        </w:tc>
      </w:tr>
      <w:tr>
        <w:trPr>
          <w:trHeight w:val="216"/>
        </w:trPr>
        <w:tc>
          <w:tcPr>
            <w:tcW w:w="6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Leasehold improvements</w:t>
            </w:r>
          </w:p>
        </w:tc>
        <w:tc>
          <w:tcPr>
            <w:tcW w:w="16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203,937</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145,259</w:t>
            </w:r>
          </w:p>
        </w:tc>
        <w:tc>
          <w:tcPr>
            <w:tcW w:w="100" w:type="dxa"/>
            <w:vAlign w:val="bottom"/>
            <w:shd w:val="clear" w:color="auto" w:fill="CFF0FC"/>
          </w:tcPr>
          <w:p>
            <w:pPr>
              <w:spacing w:after="0"/>
              <w:rPr>
                <w:sz w:val="18"/>
                <w:szCs w:val="18"/>
                <w:color w:val="auto"/>
              </w:rPr>
            </w:pPr>
          </w:p>
        </w:tc>
      </w:tr>
      <w:tr>
        <w:trPr>
          <w:trHeight w:val="216"/>
        </w:trPr>
        <w:tc>
          <w:tcPr>
            <w:tcW w:w="6460" w:type="dxa"/>
            <w:vAlign w:val="bottom"/>
          </w:tcPr>
          <w:p>
            <w:pPr>
              <w:ind w:left="20"/>
              <w:spacing w:after="0"/>
              <w:rPr>
                <w:sz w:val="20"/>
                <w:szCs w:val="20"/>
                <w:color w:val="auto"/>
              </w:rPr>
            </w:pPr>
            <w:r>
              <w:rPr>
                <w:rFonts w:ascii="Arial" w:cs="Arial" w:eastAsia="Arial" w:hAnsi="Arial"/>
                <w:sz w:val="18"/>
                <w:szCs w:val="18"/>
                <w:color w:val="auto"/>
              </w:rPr>
              <w:t>Construction in process</w:t>
            </w:r>
          </w:p>
        </w:tc>
        <w:tc>
          <w:tcPr>
            <w:tcW w:w="1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58,572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86,326</w:t>
            </w:r>
          </w:p>
        </w:tc>
        <w:tc>
          <w:tcPr>
            <w:tcW w:w="100" w:type="dxa"/>
            <w:vAlign w:val="bottom"/>
          </w:tcPr>
          <w:p>
            <w:pPr>
              <w:spacing w:after="0"/>
              <w:rPr>
                <w:sz w:val="18"/>
                <w:szCs w:val="18"/>
                <w:color w:val="auto"/>
              </w:rPr>
            </w:pPr>
          </w:p>
        </w:tc>
      </w:tr>
      <w:tr>
        <w:trPr>
          <w:trHeight w:val="209"/>
        </w:trPr>
        <w:tc>
          <w:tcPr>
            <w:tcW w:w="6460" w:type="dxa"/>
            <w:vAlign w:val="bottom"/>
            <w:shd w:val="clear" w:color="auto" w:fill="CFF0FC"/>
          </w:tcPr>
          <w:p>
            <w:pPr>
              <w:ind w:left="120"/>
              <w:spacing w:after="0"/>
              <w:rPr>
                <w:sz w:val="20"/>
                <w:szCs w:val="20"/>
                <w:color w:val="auto"/>
              </w:rPr>
            </w:pPr>
            <w:r>
              <w:rPr>
                <w:rFonts w:ascii="Arial" w:cs="Arial" w:eastAsia="Arial" w:hAnsi="Arial"/>
                <w:sz w:val="18"/>
                <w:szCs w:val="18"/>
                <w:b w:val="1"/>
                <w:bCs w:val="1"/>
                <w:color w:val="auto"/>
              </w:rPr>
              <w:t>Total property and equipment, gross</w:t>
            </w:r>
          </w:p>
        </w:tc>
        <w:tc>
          <w:tcPr>
            <w:tcW w:w="16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447,425</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392,851</w:t>
            </w:r>
          </w:p>
        </w:tc>
        <w:tc>
          <w:tcPr>
            <w:tcW w:w="100" w:type="dxa"/>
            <w:vAlign w:val="bottom"/>
            <w:shd w:val="clear" w:color="auto" w:fill="CFF0FC"/>
          </w:tcPr>
          <w:p>
            <w:pPr>
              <w:spacing w:after="0"/>
              <w:rPr>
                <w:sz w:val="18"/>
                <w:szCs w:val="18"/>
                <w:color w:val="auto"/>
              </w:rPr>
            </w:pPr>
          </w:p>
        </w:tc>
      </w:tr>
      <w:tr>
        <w:trPr>
          <w:trHeight w:val="216"/>
        </w:trPr>
        <w:tc>
          <w:tcPr>
            <w:tcW w:w="6460" w:type="dxa"/>
            <w:vAlign w:val="bottom"/>
          </w:tcPr>
          <w:p>
            <w:pPr>
              <w:ind w:left="200"/>
              <w:spacing w:after="0"/>
              <w:rPr>
                <w:sz w:val="20"/>
                <w:szCs w:val="20"/>
                <w:color w:val="auto"/>
              </w:rPr>
            </w:pPr>
            <w:r>
              <w:rPr>
                <w:rFonts w:ascii="Arial" w:cs="Arial" w:eastAsia="Arial" w:hAnsi="Arial"/>
                <w:sz w:val="18"/>
                <w:szCs w:val="18"/>
                <w:color w:val="auto"/>
              </w:rPr>
              <w:t>Less: Accumulated depreciation</w:t>
            </w:r>
          </w:p>
        </w:tc>
        <w:tc>
          <w:tcPr>
            <w:tcW w:w="160" w:type="dxa"/>
            <w:vAlign w:val="bottom"/>
          </w:tcPr>
          <w:p>
            <w:pPr>
              <w:spacing w:after="0"/>
              <w:rPr>
                <w:sz w:val="18"/>
                <w:szCs w:val="18"/>
                <w:color w:val="auto"/>
              </w:rPr>
            </w:pPr>
          </w:p>
        </w:tc>
        <w:tc>
          <w:tcPr>
            <w:tcW w:w="1900" w:type="dxa"/>
            <w:vAlign w:val="bottom"/>
            <w:gridSpan w:val="2"/>
          </w:tcPr>
          <w:p>
            <w:pPr>
              <w:jc w:val="right"/>
              <w:ind w:right="40"/>
              <w:spacing w:after="0"/>
              <w:rPr>
                <w:sz w:val="20"/>
                <w:szCs w:val="20"/>
                <w:color w:val="auto"/>
              </w:rPr>
            </w:pPr>
            <w:r>
              <w:rPr>
                <w:rFonts w:ascii="Arial" w:cs="Arial" w:eastAsia="Arial" w:hAnsi="Arial"/>
                <w:sz w:val="18"/>
                <w:szCs w:val="18"/>
                <w:color w:val="auto"/>
              </w:rPr>
              <w:t>(76,605 )</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40"/>
              <w:spacing w:after="0"/>
              <w:rPr>
                <w:sz w:val="20"/>
                <w:szCs w:val="20"/>
                <w:color w:val="auto"/>
              </w:rPr>
            </w:pPr>
            <w:r>
              <w:rPr>
                <w:rFonts w:ascii="Arial" w:cs="Arial" w:eastAsia="Arial" w:hAnsi="Arial"/>
                <w:sz w:val="18"/>
                <w:szCs w:val="18"/>
                <w:color w:val="auto"/>
              </w:rPr>
              <w:t>(53,159 )</w:t>
            </w:r>
          </w:p>
        </w:tc>
      </w:tr>
      <w:tr>
        <w:trPr>
          <w:trHeight w:val="249"/>
        </w:trPr>
        <w:tc>
          <w:tcPr>
            <w:tcW w:w="64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b w:val="1"/>
                <w:bCs w:val="1"/>
                <w:color w:val="auto"/>
              </w:rPr>
              <w:t>Total property and equipment, net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370,820</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339,692</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5655945</wp:posOffset>
            </wp:positionH>
            <wp:positionV relativeFrom="paragraph">
              <wp:posOffset>-24765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5655945</wp:posOffset>
            </wp:positionH>
            <wp:positionV relativeFrom="paragraph">
              <wp:posOffset>-7620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tbl>
      <w:tblPr>
        <w:tblLayout w:type="fixed"/>
        <w:tblInd w:w="38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4"/>
          </w:tcPr>
          <w:p>
            <w:pPr>
              <w:jc w:val="right"/>
              <w:ind w:right="81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4"/>
          </w:tcPr>
          <w:p>
            <w:pPr>
              <w:jc w:val="right"/>
              <w:ind w:right="630"/>
              <w:spacing w:after="0"/>
              <w:rPr>
                <w:sz w:val="20"/>
                <w:szCs w:val="20"/>
                <w:color w:val="auto"/>
              </w:rPr>
            </w:pPr>
            <w:r>
              <w:rPr>
                <w:rFonts w:ascii="Arial" w:cs="Arial" w:eastAsia="Arial" w:hAnsi="Arial"/>
                <w:sz w:val="18"/>
                <w:szCs w:val="18"/>
                <w:b w:val="1"/>
                <w:bCs w:val="1"/>
                <w:color w:val="auto"/>
              </w:rPr>
              <w:t>Nine months ended</w:t>
            </w:r>
          </w:p>
        </w:tc>
      </w:tr>
      <w:tr>
        <w:trPr>
          <w:trHeight w:val="164"/>
        </w:trPr>
        <w:tc>
          <w:tcPr>
            <w:tcW w:w="4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right"/>
              <w:ind w:right="210"/>
              <w:spacing w:after="0" w:line="164" w:lineRule="exact"/>
              <w:rPr>
                <w:sz w:val="20"/>
                <w:szCs w:val="20"/>
                <w:color w:val="auto"/>
              </w:rPr>
            </w:pPr>
            <w:r>
              <w:rPr>
                <w:rFonts w:ascii="Arial" w:cs="Arial" w:eastAsia="Arial" w:hAnsi="Arial"/>
                <w:sz w:val="18"/>
                <w:szCs w:val="18"/>
                <w:b w:val="1"/>
                <w:bCs w:val="1"/>
                <w:color w:val="auto"/>
                <w:w w:val="87"/>
              </w:rPr>
              <w:t>September 30,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jc w:val="right"/>
              <w:ind w:right="230"/>
              <w:spacing w:after="0" w:line="164" w:lineRule="exact"/>
              <w:rPr>
                <w:sz w:val="20"/>
                <w:szCs w:val="20"/>
                <w:color w:val="auto"/>
              </w:rPr>
            </w:pPr>
            <w:r>
              <w:rPr>
                <w:rFonts w:ascii="Arial" w:cs="Arial" w:eastAsia="Arial" w:hAnsi="Arial"/>
                <w:sz w:val="18"/>
                <w:szCs w:val="18"/>
                <w:b w:val="1"/>
                <w:bCs w:val="1"/>
                <w:color w:val="auto"/>
                <w:w w:val="90"/>
              </w:rPr>
              <w:t>September 30,</w:t>
            </w:r>
          </w:p>
        </w:tc>
        <w:tc>
          <w:tcPr>
            <w:tcW w:w="120" w:type="dxa"/>
            <w:vAlign w:val="bottom"/>
          </w:tcPr>
          <w:p>
            <w:pPr>
              <w:spacing w:after="0"/>
              <w:rPr>
                <w:sz w:val="14"/>
                <w:szCs w:val="14"/>
                <w:color w:val="auto"/>
              </w:rPr>
            </w:pPr>
          </w:p>
        </w:tc>
        <w:tc>
          <w:tcPr>
            <w:tcW w:w="1440" w:type="dxa"/>
            <w:vAlign w:val="bottom"/>
            <w:gridSpan w:val="2"/>
          </w:tcPr>
          <w:p>
            <w:pPr>
              <w:jc w:val="right"/>
              <w:ind w:right="170"/>
              <w:spacing w:after="0" w:line="164" w:lineRule="exact"/>
              <w:rPr>
                <w:sz w:val="20"/>
                <w:szCs w:val="20"/>
                <w:color w:val="auto"/>
              </w:rPr>
            </w:pPr>
            <w:r>
              <w:rPr>
                <w:rFonts w:ascii="Arial" w:cs="Arial" w:eastAsia="Arial" w:hAnsi="Arial"/>
                <w:sz w:val="18"/>
                <w:szCs w:val="18"/>
                <w:b w:val="1"/>
                <w:bCs w:val="1"/>
                <w:color w:val="auto"/>
                <w:w w:val="94"/>
              </w:rPr>
              <w:t>September 30,</w:t>
            </w:r>
          </w:p>
        </w:tc>
        <w:tc>
          <w:tcPr>
            <w:tcW w:w="120" w:type="dxa"/>
            <w:vAlign w:val="bottom"/>
          </w:tcPr>
          <w:p>
            <w:pPr>
              <w:spacing w:after="0"/>
              <w:rPr>
                <w:sz w:val="14"/>
                <w:szCs w:val="14"/>
                <w:color w:val="auto"/>
              </w:rPr>
            </w:pPr>
          </w:p>
        </w:tc>
        <w:tc>
          <w:tcPr>
            <w:tcW w:w="1240" w:type="dxa"/>
            <w:vAlign w:val="bottom"/>
            <w:gridSpan w:val="2"/>
          </w:tcPr>
          <w:p>
            <w:pPr>
              <w:ind w:left="20"/>
              <w:spacing w:after="0" w:line="164" w:lineRule="exact"/>
              <w:rPr>
                <w:sz w:val="20"/>
                <w:szCs w:val="20"/>
                <w:color w:val="auto"/>
              </w:rPr>
            </w:pPr>
            <w:r>
              <w:rPr>
                <w:rFonts w:ascii="Arial" w:cs="Arial" w:eastAsia="Arial" w:hAnsi="Arial"/>
                <w:sz w:val="18"/>
                <w:szCs w:val="18"/>
                <w:b w:val="1"/>
                <w:bCs w:val="1"/>
                <w:color w:val="auto"/>
                <w:w w:val="97"/>
              </w:rPr>
              <w:t>September 30,</w:t>
            </w:r>
          </w:p>
        </w:tc>
      </w:tr>
      <w:tr>
        <w:trPr>
          <w:trHeight w:val="234"/>
        </w:trPr>
        <w:tc>
          <w:tcPr>
            <w:tcW w:w="47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r>
      <w:tr>
        <w:trPr>
          <w:trHeight w:val="209"/>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w w:val="97"/>
              </w:rPr>
              <w:t>Total depreciation expense for three and nine months ended</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8,583</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6,138</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23,715</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15,819</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Included in:</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Costs of sales related to inventory production</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4,865</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3,559</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13,353</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9,250</w:t>
            </w: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3,718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2,579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10,362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6,569</w:t>
            </w:r>
          </w:p>
        </w:tc>
      </w:tr>
    </w:tbl>
    <w:p>
      <w:pPr>
        <w:spacing w:after="0" w:line="170" w:lineRule="exact"/>
        <w:rPr>
          <w:sz w:val="20"/>
          <w:szCs w:val="20"/>
          <w:color w:val="auto"/>
        </w:rPr>
      </w:pPr>
    </w:p>
    <w:p>
      <w:pPr>
        <w:ind w:left="380" w:hanging="372"/>
        <w:spacing w:after="0"/>
        <w:tabs>
          <w:tab w:leader="none" w:pos="3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PREPAID EXPENSES AND OTHER CURRENT ASSETS</w:t>
      </w:r>
    </w:p>
    <w:p>
      <w:pPr>
        <w:spacing w:after="0" w:line="147"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color w:val="auto"/>
        </w:rPr>
        <w:t>Details of the Company’s prepaid expenses and other current assets are summarized in the table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0"/>
              </w:rPr>
              <w:t>September 30, 2022</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1"/>
              </w:rPr>
              <w:t>December 31, 2021</w:t>
            </w:r>
          </w:p>
        </w:tc>
      </w:tr>
      <w:tr>
        <w:trPr>
          <w:trHeight w:val="209"/>
        </w:trPr>
        <w:tc>
          <w:tcPr>
            <w:tcW w:w="680" w:type="dxa"/>
            <w:vAlign w:val="bottom"/>
          </w:tcPr>
          <w:p>
            <w:pPr>
              <w:spacing w:after="0"/>
              <w:rPr>
                <w:sz w:val="18"/>
                <w:szCs w:val="18"/>
                <w:color w:val="auto"/>
              </w:rPr>
            </w:pPr>
          </w:p>
        </w:tc>
        <w:tc>
          <w:tcPr>
            <w:tcW w:w="4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Prepaid expenses</w:t>
            </w:r>
          </w:p>
        </w:tc>
        <w:tc>
          <w:tcPr>
            <w:tcW w:w="24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10,435</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15,362</w:t>
            </w:r>
          </w:p>
        </w:tc>
      </w:tr>
      <w:tr>
        <w:trPr>
          <w:trHeight w:val="216"/>
        </w:trPr>
        <w:tc>
          <w:tcPr>
            <w:tcW w:w="680" w:type="dxa"/>
            <w:vAlign w:val="bottom"/>
          </w:tcPr>
          <w:p>
            <w:pPr>
              <w:spacing w:after="0"/>
              <w:rPr>
                <w:sz w:val="18"/>
                <w:szCs w:val="18"/>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Short term deposits</w:t>
            </w: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tcPr>
          <w:p>
            <w:pPr>
              <w:jc w:val="right"/>
              <w:ind w:right="50"/>
              <w:spacing w:after="0"/>
              <w:rPr>
                <w:sz w:val="20"/>
                <w:szCs w:val="20"/>
                <w:color w:val="auto"/>
              </w:rPr>
            </w:pPr>
            <w:r>
              <w:rPr>
                <w:rFonts w:ascii="Arial" w:cs="Arial" w:eastAsia="Arial" w:hAnsi="Arial"/>
                <w:sz w:val="18"/>
                <w:szCs w:val="18"/>
                <w:color w:val="auto"/>
              </w:rPr>
              <w:t>2,452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6,960</w:t>
            </w:r>
          </w:p>
        </w:tc>
      </w:tr>
      <w:tr>
        <w:trPr>
          <w:trHeight w:val="216"/>
        </w:trPr>
        <w:tc>
          <w:tcPr>
            <w:tcW w:w="680" w:type="dxa"/>
            <w:vAlign w:val="bottom"/>
          </w:tcPr>
          <w:p>
            <w:pPr>
              <w:spacing w:after="0"/>
              <w:rPr>
                <w:sz w:val="18"/>
                <w:szCs w:val="18"/>
                <w:color w:val="auto"/>
              </w:rPr>
            </w:pPr>
          </w:p>
        </w:tc>
        <w:tc>
          <w:tcPr>
            <w:tcW w:w="4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current assets</w:t>
            </w:r>
          </w:p>
        </w:tc>
        <w:tc>
          <w:tcPr>
            <w:tcW w:w="2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1,837</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5,822</w:t>
            </w:r>
          </w:p>
        </w:tc>
      </w:tr>
      <w:tr>
        <w:trPr>
          <w:trHeight w:val="216"/>
        </w:trPr>
        <w:tc>
          <w:tcPr>
            <w:tcW w:w="680" w:type="dxa"/>
            <w:vAlign w:val="bottom"/>
          </w:tcPr>
          <w:p>
            <w:pPr>
              <w:spacing w:after="0"/>
              <w:rPr>
                <w:sz w:val="18"/>
                <w:szCs w:val="18"/>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Excise and sales tax receivable</w:t>
            </w:r>
          </w:p>
        </w:tc>
        <w:tc>
          <w:tcPr>
            <w:tcW w:w="24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945</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1,108</w:t>
            </w:r>
          </w:p>
        </w:tc>
      </w:tr>
      <w:tr>
        <w:trPr>
          <w:trHeight w:val="249"/>
        </w:trPr>
        <w:tc>
          <w:tcPr>
            <w:tcW w:w="680" w:type="dxa"/>
            <w:vAlign w:val="bottom"/>
          </w:tcPr>
          <w:p>
            <w:pPr>
              <w:spacing w:after="0"/>
              <w:rPr>
                <w:sz w:val="21"/>
                <w:szCs w:val="21"/>
                <w:color w:val="auto"/>
              </w:rPr>
            </w:pPr>
          </w:p>
        </w:tc>
        <w:tc>
          <w:tcPr>
            <w:tcW w:w="4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Prepaid expenses and other current assets</w:t>
            </w:r>
          </w:p>
        </w:tc>
        <w:tc>
          <w:tcPr>
            <w:tcW w:w="24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15,669</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29,252</w:t>
            </w:r>
          </w:p>
        </w:tc>
      </w:tr>
      <w:tr>
        <w:trPr>
          <w:trHeight w:val="614"/>
        </w:trPr>
        <w:tc>
          <w:tcPr>
            <w:tcW w:w="68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420" w:type="dxa"/>
            <w:vAlign w:val="bottom"/>
          </w:tcPr>
          <w:p>
            <w:pPr>
              <w:jc w:val="right"/>
              <w:ind w:right="1330"/>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115"/>
        </w:trPr>
        <w:tc>
          <w:tcPr>
            <w:tcW w:w="680" w:type="dxa"/>
            <w:vAlign w:val="bottom"/>
            <w:tcBorders>
              <w:bottom w:val="single" w:sz="8" w:color="9A9A9A"/>
            </w:tcBorders>
          </w:tcPr>
          <w:p>
            <w:pPr>
              <w:spacing w:after="0"/>
              <w:rPr>
                <w:sz w:val="9"/>
                <w:szCs w:val="9"/>
                <w:color w:val="auto"/>
              </w:rPr>
            </w:pPr>
          </w:p>
        </w:tc>
        <w:tc>
          <w:tcPr>
            <w:tcW w:w="4040" w:type="dxa"/>
            <w:vAlign w:val="bottom"/>
            <w:tcBorders>
              <w:bottom w:val="single" w:sz="8" w:color="9A9A9A"/>
            </w:tcBorders>
          </w:tcPr>
          <w:p>
            <w:pPr>
              <w:spacing w:after="0"/>
              <w:rPr>
                <w:sz w:val="9"/>
                <w:szCs w:val="9"/>
                <w:color w:val="auto"/>
              </w:rPr>
            </w:pPr>
          </w:p>
        </w:tc>
        <w:tc>
          <w:tcPr>
            <w:tcW w:w="24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8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8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5810250</wp:posOffset>
            </wp:positionH>
            <wp:positionV relativeFrom="paragraph">
              <wp:posOffset>-513080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5810250</wp:posOffset>
            </wp:positionH>
            <wp:positionV relativeFrom="paragraph">
              <wp:posOffset>-495935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3" w:name="page14"/>
    <w:bookmarkEnd w:id="13"/>
    <w:p>
      <w:pPr>
        <w:ind w:left="380" w:hanging="372"/>
        <w:spacing w:after="0"/>
        <w:tabs>
          <w:tab w:leader="none" w:pos="3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OTHER NON-CURRENT ASSETS</w:t>
      </w:r>
    </w:p>
    <w:p>
      <w:pPr>
        <w:spacing w:after="0" w:line="147"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color w:val="auto"/>
        </w:rPr>
        <w:t>Details of the Company’s other non-current assets are summarized in the table below:</w:t>
      </w:r>
    </w:p>
    <w:p>
      <w:pPr>
        <w:spacing w:after="0" w:line="144" w:lineRule="exact"/>
        <w:rPr>
          <w:sz w:val="20"/>
          <w:szCs w:val="20"/>
          <w:color w:val="auto"/>
        </w:rPr>
      </w:pPr>
    </w:p>
    <w:tbl>
      <w:tblPr>
        <w:tblLayout w:type="fixed"/>
        <w:tblInd w:w="680" w:type="dxa"/>
        <w:tblCellMar>
          <w:top w:w="0" w:type="dxa"/>
          <w:left w:w="0" w:type="dxa"/>
          <w:bottom w:w="0" w:type="dxa"/>
          <w:right w:w="0" w:type="dxa"/>
        </w:tblCellMar>
      </w:tblPr>
      <w:tr>
        <w:trPr>
          <w:trHeight w:val="230"/>
        </w:trPr>
        <w:tc>
          <w:tcPr>
            <w:tcW w:w="64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0"/>
              </w:rPr>
              <w:t>September 30, 2022</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1"/>
              </w:rPr>
              <w:t>December 31, 2021</w:t>
            </w:r>
          </w:p>
        </w:tc>
      </w:tr>
      <w:tr>
        <w:trPr>
          <w:trHeight w:val="209"/>
        </w:trPr>
        <w:tc>
          <w:tcPr>
            <w:tcW w:w="6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Long term deposits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8,606</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5,602</w:t>
            </w:r>
          </w:p>
        </w:tc>
      </w:tr>
      <w:tr>
        <w:trPr>
          <w:trHeight w:val="216"/>
        </w:trPr>
        <w:tc>
          <w:tcPr>
            <w:tcW w:w="6480" w:type="dxa"/>
            <w:vAlign w:val="bottom"/>
          </w:tcPr>
          <w:p>
            <w:pPr>
              <w:ind w:left="20"/>
              <w:spacing w:after="0"/>
              <w:rPr>
                <w:sz w:val="20"/>
                <w:szCs w:val="20"/>
                <w:color w:val="auto"/>
              </w:rPr>
            </w:pPr>
            <w:r>
              <w:rPr>
                <w:rFonts w:ascii="Arial" w:cs="Arial" w:eastAsia="Arial" w:hAnsi="Arial"/>
                <w:sz w:val="18"/>
                <w:szCs w:val="18"/>
                <w:color w:val="auto"/>
              </w:rPr>
              <w:t>Indemnification receivable</w:t>
            </w:r>
          </w:p>
        </w:tc>
        <w:tc>
          <w:tcPr>
            <w:tcW w:w="160" w:type="dxa"/>
            <w:vAlign w:val="bottom"/>
          </w:tcPr>
          <w:p>
            <w:pPr>
              <w:spacing w:after="0"/>
              <w:rPr>
                <w:sz w:val="18"/>
                <w:szCs w:val="18"/>
                <w:color w:val="auto"/>
              </w:rPr>
            </w:pP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2,164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4,111</w:t>
            </w:r>
          </w:p>
        </w:tc>
      </w:tr>
      <w:tr>
        <w:trPr>
          <w:trHeight w:val="216"/>
        </w:trPr>
        <w:tc>
          <w:tcPr>
            <w:tcW w:w="6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Investment in affiliates</w:t>
            </w:r>
          </w:p>
        </w:tc>
        <w:tc>
          <w:tcPr>
            <w:tcW w:w="160" w:type="dxa"/>
            <w:vAlign w:val="bottom"/>
            <w:shd w:val="clear" w:color="auto" w:fill="CFF0FC"/>
          </w:tcPr>
          <w:p>
            <w:pPr>
              <w:spacing w:after="0"/>
              <w:rPr>
                <w:sz w:val="18"/>
                <w:szCs w:val="18"/>
                <w:color w:val="auto"/>
              </w:rPr>
            </w:pPr>
          </w:p>
        </w:tc>
        <w:tc>
          <w:tcPr>
            <w:tcW w:w="1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775</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776</w:t>
            </w:r>
          </w:p>
        </w:tc>
      </w:tr>
      <w:tr>
        <w:trPr>
          <w:trHeight w:val="216"/>
        </w:trPr>
        <w:tc>
          <w:tcPr>
            <w:tcW w:w="648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18"/>
                <w:szCs w:val="18"/>
                <w:color w:val="auto"/>
              </w:rPr>
            </w:pP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1,335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335</w:t>
            </w:r>
          </w:p>
        </w:tc>
      </w:tr>
      <w:tr>
        <w:trPr>
          <w:trHeight w:val="216"/>
        </w:trPr>
        <w:tc>
          <w:tcPr>
            <w:tcW w:w="6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Notes receivable</w:t>
            </w:r>
          </w:p>
        </w:tc>
        <w:tc>
          <w:tcPr>
            <w:tcW w:w="160" w:type="dxa"/>
            <w:vAlign w:val="bottom"/>
            <w:tcBorders>
              <w:bottom w:val="single" w:sz="8" w:color="auto"/>
            </w:tcBorders>
            <w:shd w:val="clear" w:color="auto" w:fill="CFF0FC"/>
          </w:tcPr>
          <w:p>
            <w:pPr>
              <w:spacing w:after="0"/>
              <w:rPr>
                <w:sz w:val="18"/>
                <w:szCs w:val="18"/>
                <w:color w:val="auto"/>
              </w:rPr>
            </w:pPr>
          </w:p>
        </w:tc>
        <w:tc>
          <w:tcPr>
            <w:tcW w:w="18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4,111</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8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2,211</w:t>
            </w:r>
          </w:p>
        </w:tc>
      </w:tr>
      <w:tr>
        <w:trPr>
          <w:trHeight w:val="209"/>
        </w:trPr>
        <w:tc>
          <w:tcPr>
            <w:tcW w:w="648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16,991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13,035</w:t>
            </w:r>
          </w:p>
        </w:tc>
      </w:tr>
      <w:tr>
        <w:trPr>
          <w:trHeight w:val="20"/>
        </w:trPr>
        <w:tc>
          <w:tcPr>
            <w:tcW w:w="6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5819140</wp:posOffset>
            </wp:positionH>
            <wp:positionV relativeFrom="paragraph">
              <wp:posOffset>-170815</wp:posOffset>
            </wp:positionV>
            <wp:extent cx="68580"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77" w:lineRule="exact"/>
        <w:rPr>
          <w:sz w:val="20"/>
          <w:szCs w:val="20"/>
          <w:color w:val="auto"/>
        </w:rPr>
      </w:pPr>
    </w:p>
    <w:p>
      <w:pPr>
        <w:ind w:left="380" w:hanging="372"/>
        <w:spacing w:after="0"/>
        <w:tabs>
          <w:tab w:leader="none" w:pos="3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 AND OTHER CURRENT LIABILITIES</w:t>
      </w:r>
    </w:p>
    <w:p>
      <w:pPr>
        <w:spacing w:after="0" w:line="147"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color w:val="auto"/>
        </w:rPr>
        <w:t>Details of the Company’s accrued expenses and other current liabilities are summarized in the table below:</w:t>
      </w:r>
    </w:p>
    <w:p>
      <w:pPr>
        <w:spacing w:after="0" w:line="140" w:lineRule="exact"/>
        <w:rPr>
          <w:sz w:val="20"/>
          <w:szCs w:val="20"/>
          <w:color w:val="auto"/>
        </w:rPr>
      </w:pPr>
    </w:p>
    <w:tbl>
      <w:tblPr>
        <w:tblLayout w:type="fixed"/>
        <w:tblInd w:w="680" w:type="dxa"/>
        <w:tblCellMar>
          <w:top w:w="0" w:type="dxa"/>
          <w:left w:w="0" w:type="dxa"/>
          <w:bottom w:w="0" w:type="dxa"/>
          <w:right w:w="0" w:type="dxa"/>
        </w:tblCellMar>
      </w:tblPr>
      <w:tr>
        <w:trPr>
          <w:trHeight w:val="234"/>
        </w:trPr>
        <w:tc>
          <w:tcPr>
            <w:tcW w:w="64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1"/>
              </w:rPr>
              <w:t>September 30, 2022</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1"/>
              </w:rPr>
              <w:t>December 31, 2021</w:t>
            </w:r>
          </w:p>
        </w:tc>
      </w:tr>
      <w:tr>
        <w:trPr>
          <w:trHeight w:val="209"/>
        </w:trPr>
        <w:tc>
          <w:tcPr>
            <w:tcW w:w="6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acquisition and settlement of pre-existing relationships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86,596</w:t>
            </w:r>
          </w:p>
        </w:tc>
      </w:tr>
      <w:tr>
        <w:trPr>
          <w:trHeight w:val="216"/>
        </w:trPr>
        <w:tc>
          <w:tcPr>
            <w:tcW w:w="6480" w:type="dxa"/>
            <w:vAlign w:val="bottom"/>
          </w:tcPr>
          <w:p>
            <w:pPr>
              <w:ind w:left="20"/>
              <w:spacing w:after="0"/>
              <w:rPr>
                <w:sz w:val="20"/>
                <w:szCs w:val="20"/>
                <w:color w:val="auto"/>
              </w:rPr>
            </w:pPr>
            <w:r>
              <w:rPr>
                <w:rFonts w:ascii="Arial" w:cs="Arial" w:eastAsia="Arial" w:hAnsi="Arial"/>
                <w:sz w:val="18"/>
                <w:szCs w:val="18"/>
                <w:color w:val="auto"/>
              </w:rPr>
              <w:t>Taxes - property and other</w:t>
            </w:r>
          </w:p>
        </w:tc>
        <w:tc>
          <w:tcPr>
            <w:tcW w:w="140" w:type="dxa"/>
            <w:vAlign w:val="bottom"/>
          </w:tcPr>
          <w:p>
            <w:pPr>
              <w:spacing w:after="0"/>
              <w:rPr>
                <w:sz w:val="18"/>
                <w:szCs w:val="18"/>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9,003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14,062</w:t>
            </w:r>
          </w:p>
        </w:tc>
      </w:tr>
      <w:tr>
        <w:trPr>
          <w:trHeight w:val="216"/>
        </w:trPr>
        <w:tc>
          <w:tcPr>
            <w:tcW w:w="6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accrued expenses</w:t>
            </w:r>
          </w:p>
        </w:tc>
        <w:tc>
          <w:tcPr>
            <w:tcW w:w="140" w:type="dxa"/>
            <w:vAlign w:val="bottom"/>
            <w:shd w:val="clear" w:color="auto" w:fill="CFF0FC"/>
          </w:tcPr>
          <w:p>
            <w:pPr>
              <w:spacing w:after="0"/>
              <w:rPr>
                <w:sz w:val="18"/>
                <w:szCs w:val="18"/>
                <w:color w:val="auto"/>
              </w:rPr>
            </w:pPr>
          </w:p>
        </w:tc>
        <w:tc>
          <w:tcPr>
            <w:tcW w:w="1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57,125</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6,035</w:t>
            </w:r>
          </w:p>
        </w:tc>
      </w:tr>
      <w:tr>
        <w:trPr>
          <w:trHeight w:val="216"/>
        </w:trPr>
        <w:tc>
          <w:tcPr>
            <w:tcW w:w="6480" w:type="dxa"/>
            <w:vAlign w:val="bottom"/>
          </w:tcPr>
          <w:p>
            <w:pPr>
              <w:ind w:left="20"/>
              <w:spacing w:after="0"/>
              <w:rPr>
                <w:sz w:val="20"/>
                <w:szCs w:val="20"/>
                <w:color w:val="auto"/>
              </w:rPr>
            </w:pPr>
            <w:r>
              <w:rPr>
                <w:rFonts w:ascii="Arial" w:cs="Arial" w:eastAsia="Arial" w:hAnsi="Arial"/>
                <w:sz w:val="18"/>
                <w:szCs w:val="18"/>
                <w:color w:val="auto"/>
              </w:rPr>
              <w:t>Payroll liabilities</w:t>
            </w:r>
          </w:p>
        </w:tc>
        <w:tc>
          <w:tcPr>
            <w:tcW w:w="140" w:type="dxa"/>
            <w:vAlign w:val="bottom"/>
          </w:tcPr>
          <w:p>
            <w:pPr>
              <w:spacing w:after="0"/>
              <w:rPr>
                <w:sz w:val="18"/>
                <w:szCs w:val="18"/>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15,714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12,799</w:t>
            </w:r>
          </w:p>
        </w:tc>
      </w:tr>
      <w:tr>
        <w:trPr>
          <w:trHeight w:val="216"/>
        </w:trPr>
        <w:tc>
          <w:tcPr>
            <w:tcW w:w="6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current liabilities</w:t>
            </w:r>
          </w:p>
        </w:tc>
        <w:tc>
          <w:tcPr>
            <w:tcW w:w="140" w:type="dxa"/>
            <w:vAlign w:val="bottom"/>
            <w:shd w:val="clear" w:color="auto" w:fill="CFF0FC"/>
          </w:tcPr>
          <w:p>
            <w:pPr>
              <w:spacing w:after="0"/>
              <w:rPr>
                <w:sz w:val="18"/>
                <w:szCs w:val="18"/>
                <w:color w:val="auto"/>
              </w:rPr>
            </w:pPr>
          </w:p>
        </w:tc>
        <w:tc>
          <w:tcPr>
            <w:tcW w:w="1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6,854</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4,673</w:t>
            </w:r>
          </w:p>
        </w:tc>
      </w:tr>
      <w:tr>
        <w:trPr>
          <w:trHeight w:val="216"/>
        </w:trPr>
        <w:tc>
          <w:tcPr>
            <w:tcW w:w="6480" w:type="dxa"/>
            <w:vAlign w:val="bottom"/>
          </w:tcPr>
          <w:p>
            <w:pPr>
              <w:ind w:left="20"/>
              <w:spacing w:after="0"/>
              <w:rPr>
                <w:sz w:val="20"/>
                <w:szCs w:val="20"/>
                <w:color w:val="auto"/>
              </w:rPr>
            </w:pPr>
            <w:r>
              <w:rPr>
                <w:rFonts w:ascii="Arial" w:cs="Arial" w:eastAsia="Arial" w:hAnsi="Arial"/>
                <w:sz w:val="18"/>
                <w:szCs w:val="18"/>
                <w:color w:val="auto"/>
              </w:rPr>
              <w:t>Construction in progress</w:t>
            </w:r>
          </w:p>
        </w:tc>
        <w:tc>
          <w:tcPr>
            <w:tcW w:w="14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1,371</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2,789</w:t>
            </w:r>
          </w:p>
        </w:tc>
      </w:tr>
      <w:tr>
        <w:trPr>
          <w:trHeight w:val="249"/>
        </w:trPr>
        <w:tc>
          <w:tcPr>
            <w:tcW w:w="6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Accrued expenses and other current liabilities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90,217</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126,954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5827395</wp:posOffset>
            </wp:positionH>
            <wp:positionV relativeFrom="paragraph">
              <wp:posOffset>-24765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5827395</wp:posOffset>
            </wp:positionH>
            <wp:positionV relativeFrom="paragraph">
              <wp:posOffset>-7620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8" w:lineRule="exact"/>
        <w:rPr>
          <w:sz w:val="20"/>
          <w:szCs w:val="20"/>
          <w:color w:val="auto"/>
        </w:rPr>
      </w:pPr>
    </w:p>
    <w:p>
      <w:pPr>
        <w:jc w:val="both"/>
        <w:ind w:left="380"/>
        <w:spacing w:after="0" w:line="248" w:lineRule="auto"/>
        <w:rPr>
          <w:sz w:val="20"/>
          <w:szCs w:val="20"/>
          <w:color w:val="auto"/>
        </w:rPr>
      </w:pPr>
      <w:r>
        <w:rPr>
          <w:rFonts w:ascii="Arial" w:cs="Arial" w:eastAsia="Arial" w:hAnsi="Arial"/>
          <w:sz w:val="18"/>
          <w:szCs w:val="18"/>
          <w:color w:val="auto"/>
        </w:rPr>
        <w:t>As of September 30, 2022, other accrued expenses include approximately $44,000 relating to a combination of indemnification claims, notices and demand letters received by the Company, including, without limitation, potential disputes arising out of the gLeaf Agreement, together with a general accrual for estimated fees anticipated to close these matters. The outcome of any of these matters cannot yet be determined with any certainty and the Company will continue to rigorously defend any claims made against it.</w:t>
      </w:r>
    </w:p>
    <w:p>
      <w:pPr>
        <w:spacing w:after="0" w:line="111" w:lineRule="exact"/>
        <w:rPr>
          <w:sz w:val="20"/>
          <w:szCs w:val="20"/>
          <w:color w:val="auto"/>
        </w:rPr>
      </w:pPr>
    </w:p>
    <w:p>
      <w:pPr>
        <w:ind w:left="380" w:hanging="372"/>
        <w:spacing w:after="0"/>
        <w:tabs>
          <w:tab w:leader="none" w:pos="3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SHAREHOLDERS’ EQUITY</w:t>
      </w:r>
    </w:p>
    <w:p>
      <w:pPr>
        <w:spacing w:after="0" w:line="147"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color w:val="auto"/>
        </w:rPr>
        <w:t>The Company had the following activity during the nine months ended September 30, 2022:</w:t>
      </w:r>
    </w:p>
    <w:p>
      <w:pPr>
        <w:spacing w:after="0" w:line="103" w:lineRule="exact"/>
        <w:rPr>
          <w:rFonts w:ascii="Arial" w:cs="Arial" w:eastAsia="Arial" w:hAnsi="Arial"/>
          <w:sz w:val="18"/>
          <w:szCs w:val="18"/>
          <w:b w:val="1"/>
          <w:bCs w:val="1"/>
          <w:color w:val="auto"/>
        </w:rPr>
      </w:pPr>
    </w:p>
    <w:p>
      <w:pPr>
        <w:ind w:left="1020" w:right="20" w:hanging="504"/>
        <w:spacing w:after="0" w:line="250" w:lineRule="auto"/>
        <w:tabs>
          <w:tab w:leader="none" w:pos="10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Granted 10,242,081 time-based restricted stock units and 1,473,261 performance-based restricted stock units during the nine months ended September 30, 2022.</w:t>
      </w:r>
    </w:p>
    <w:p>
      <w:pPr>
        <w:spacing w:after="0" w:line="1" w:lineRule="exact"/>
        <w:rPr>
          <w:rFonts w:ascii="Arial" w:cs="Arial" w:eastAsia="Arial" w:hAnsi="Arial"/>
          <w:sz w:val="18"/>
          <w:szCs w:val="18"/>
          <w:color w:val="auto"/>
        </w:rPr>
      </w:pPr>
    </w:p>
    <w:p>
      <w:pPr>
        <w:ind w:left="1020" w:right="20" w:hanging="504"/>
        <w:spacing w:after="0" w:line="244" w:lineRule="auto"/>
        <w:tabs>
          <w:tab w:leader="none" w:pos="10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Issued 2,395,792 Common Shares upon vesting of RSUs. An additional 888,683 shares were sold to cover for taxes on the share-based compensation units that were issued during the nine months ended September 30, 2022.</w:t>
      </w:r>
    </w:p>
    <w:p>
      <w:pPr>
        <w:spacing w:after="0" w:line="180" w:lineRule="exact"/>
        <w:rPr>
          <w:rFonts w:ascii="Arial" w:cs="Arial" w:eastAsia="Arial" w:hAnsi="Arial"/>
          <w:sz w:val="18"/>
          <w:szCs w:val="18"/>
          <w:color w:val="auto"/>
        </w:rPr>
      </w:pPr>
    </w:p>
    <w:p>
      <w:pPr>
        <w:ind w:left="380" w:hanging="372"/>
        <w:spacing w:after="0"/>
        <w:tabs>
          <w:tab w:leader="none" w:pos="3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WARRANTS</w:t>
      </w:r>
    </w:p>
    <w:p>
      <w:pPr>
        <w:spacing w:after="0" w:line="147"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6"/>
          <w:szCs w:val="16"/>
          <w:color w:val="auto"/>
        </w:rPr>
        <w:t>As of September 30, 2022 and December 31, 2021, outstanding equity-classified warrants to purchase Common Shares consisted of the following:</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20" w:type="dxa"/>
            <w:vAlign w:val="bottom"/>
            <w:tcBorders>
              <w:top w:val="single" w:sz="8" w:color="auto"/>
            </w:tcBorders>
          </w:tcPr>
          <w:p>
            <w:pPr>
              <w:jc w:val="right"/>
              <w:ind w:right="150"/>
              <w:spacing w:after="0" w:line="176" w:lineRule="exact"/>
              <w:rPr>
                <w:sz w:val="20"/>
                <w:szCs w:val="20"/>
                <w:color w:val="auto"/>
              </w:rPr>
            </w:pPr>
            <w:r>
              <w:rPr>
                <w:rFonts w:ascii="Arial" w:cs="Arial" w:eastAsia="Arial" w:hAnsi="Arial"/>
                <w:sz w:val="18"/>
                <w:szCs w:val="18"/>
                <w:b w:val="1"/>
                <w:bCs w:val="1"/>
                <w:color w:val="auto"/>
                <w:w w:val="90"/>
              </w:rPr>
              <w:t>Number of Shares Issued</w:t>
            </w:r>
          </w:p>
        </w:tc>
        <w:tc>
          <w:tcPr>
            <w:tcW w:w="2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860" w:type="dxa"/>
            <w:vAlign w:val="bottom"/>
            <w:tcBorders>
              <w:top w:val="single" w:sz="8" w:color="auto"/>
            </w:tcBorders>
          </w:tcPr>
          <w:p>
            <w:pPr>
              <w:jc w:val="right"/>
              <w:ind w:right="430"/>
              <w:spacing w:after="0" w:line="176" w:lineRule="exact"/>
              <w:rPr>
                <w:sz w:val="20"/>
                <w:szCs w:val="20"/>
                <w:color w:val="auto"/>
              </w:rPr>
            </w:pPr>
            <w:r>
              <w:rPr>
                <w:rFonts w:ascii="Arial" w:cs="Arial" w:eastAsia="Arial" w:hAnsi="Arial"/>
                <w:sz w:val="18"/>
                <w:szCs w:val="18"/>
                <w:b w:val="1"/>
                <w:bCs w:val="1"/>
                <w:color w:val="auto"/>
              </w:rPr>
              <w:t>Exercise Price</w:t>
            </w:r>
          </w:p>
        </w:tc>
        <w:tc>
          <w:tcPr>
            <w:tcW w:w="180" w:type="dxa"/>
            <w:vAlign w:val="bottom"/>
          </w:tcPr>
          <w:p>
            <w:pPr>
              <w:spacing w:after="0"/>
              <w:rPr>
                <w:sz w:val="15"/>
                <w:szCs w:val="15"/>
                <w:color w:val="auto"/>
              </w:rPr>
            </w:pPr>
          </w:p>
        </w:tc>
        <w:tc>
          <w:tcPr>
            <w:tcW w:w="2180" w:type="dxa"/>
            <w:vAlign w:val="bottom"/>
            <w:tcBorders>
              <w:top w:val="single" w:sz="8" w:color="auto"/>
            </w:tcBorders>
          </w:tcPr>
          <w:p>
            <w:pPr>
              <w:jc w:val="right"/>
              <w:ind w:right="110"/>
              <w:spacing w:after="0" w:line="176" w:lineRule="exact"/>
              <w:rPr>
                <w:sz w:val="20"/>
                <w:szCs w:val="20"/>
                <w:color w:val="auto"/>
              </w:rPr>
            </w:pPr>
            <w:r>
              <w:rPr>
                <w:rFonts w:ascii="Arial" w:cs="Arial" w:eastAsia="Arial" w:hAnsi="Arial"/>
                <w:sz w:val="18"/>
                <w:szCs w:val="18"/>
                <w:b w:val="1"/>
                <w:bCs w:val="1"/>
                <w:color w:val="auto"/>
                <w:w w:val="90"/>
              </w:rPr>
              <w:t>Number of Shares Issued</w:t>
            </w:r>
          </w:p>
        </w:tc>
        <w:tc>
          <w:tcPr>
            <w:tcW w:w="2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860" w:type="dxa"/>
            <w:vAlign w:val="bottom"/>
            <w:tcBorders>
              <w:top w:val="single" w:sz="8" w:color="auto"/>
            </w:tcBorders>
          </w:tcPr>
          <w:p>
            <w:pPr>
              <w:jc w:val="right"/>
              <w:ind w:right="430"/>
              <w:spacing w:after="0" w:line="176" w:lineRule="exact"/>
              <w:rPr>
                <w:sz w:val="20"/>
                <w:szCs w:val="20"/>
                <w:color w:val="auto"/>
              </w:rPr>
            </w:pPr>
            <w:r>
              <w:rPr>
                <w:rFonts w:ascii="Arial" w:cs="Arial" w:eastAsia="Arial" w:hAnsi="Arial"/>
                <w:sz w:val="18"/>
                <w:szCs w:val="18"/>
                <w:b w:val="1"/>
                <w:bCs w:val="1"/>
                <w:color w:val="auto"/>
              </w:rPr>
              <w:t>Exercise Price</w:t>
            </w:r>
          </w:p>
        </w:tc>
        <w:tc>
          <w:tcPr>
            <w:tcW w:w="0" w:type="dxa"/>
            <w:vAlign w:val="bottom"/>
          </w:tcPr>
          <w:p>
            <w:pPr>
              <w:spacing w:after="0"/>
              <w:rPr>
                <w:sz w:val="1"/>
                <w:szCs w:val="1"/>
                <w:color w:val="auto"/>
              </w:rPr>
            </w:pPr>
          </w:p>
        </w:tc>
      </w:tr>
      <w:tr>
        <w:trPr>
          <w:trHeight w:val="243"/>
        </w:trPr>
        <w:tc>
          <w:tcPr>
            <w:tcW w:w="440" w:type="dxa"/>
            <w:vAlign w:val="bottom"/>
          </w:tcPr>
          <w:p>
            <w:pPr>
              <w:spacing w:after="0"/>
              <w:rPr>
                <w:sz w:val="21"/>
                <w:szCs w:val="21"/>
                <w:color w:val="auto"/>
              </w:rPr>
            </w:pPr>
          </w:p>
        </w:tc>
        <w:tc>
          <w:tcPr>
            <w:tcW w:w="1780" w:type="dxa"/>
            <w:vAlign w:val="bottom"/>
            <w:gridSpan w:val="2"/>
          </w:tcPr>
          <w:p>
            <w:pPr>
              <w:ind w:left="380"/>
              <w:spacing w:after="0"/>
              <w:rPr>
                <w:sz w:val="20"/>
                <w:szCs w:val="20"/>
                <w:color w:val="auto"/>
              </w:rPr>
            </w:pPr>
            <w:r>
              <w:rPr>
                <w:rFonts w:ascii="Arial" w:cs="Arial" w:eastAsia="Arial" w:hAnsi="Arial"/>
                <w:sz w:val="18"/>
                <w:szCs w:val="18"/>
                <w:b w:val="1"/>
                <w:bCs w:val="1"/>
                <w:color w:val="auto"/>
              </w:rPr>
              <w:t>Expiration</w:t>
            </w:r>
          </w:p>
        </w:tc>
        <w:tc>
          <w:tcPr>
            <w:tcW w:w="2220" w:type="dxa"/>
            <w:vAlign w:val="bottom"/>
          </w:tcPr>
          <w:p>
            <w:pPr>
              <w:jc w:val="right"/>
              <w:ind w:right="470"/>
              <w:spacing w:after="0"/>
              <w:rPr>
                <w:sz w:val="20"/>
                <w:szCs w:val="20"/>
                <w:color w:val="auto"/>
              </w:rPr>
            </w:pPr>
            <w:r>
              <w:rPr>
                <w:rFonts w:ascii="Arial" w:cs="Arial" w:eastAsia="Arial" w:hAnsi="Arial"/>
                <w:sz w:val="18"/>
                <w:szCs w:val="18"/>
                <w:b w:val="1"/>
                <w:bCs w:val="1"/>
                <w:color w:val="auto"/>
              </w:rPr>
              <w:t>and Exercisable</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60" w:type="dxa"/>
            <w:vAlign w:val="bottom"/>
          </w:tcPr>
          <w:p>
            <w:pPr>
              <w:jc w:val="right"/>
              <w:ind w:right="250"/>
              <w:spacing w:after="0"/>
              <w:rPr>
                <w:sz w:val="20"/>
                <w:szCs w:val="20"/>
                <w:color w:val="auto"/>
              </w:rPr>
            </w:pPr>
            <w:r>
              <w:rPr>
                <w:rFonts w:ascii="Arial" w:cs="Arial" w:eastAsia="Arial" w:hAnsi="Arial"/>
                <w:sz w:val="18"/>
                <w:szCs w:val="18"/>
                <w:b w:val="1"/>
                <w:bCs w:val="1"/>
                <w:color w:val="auto"/>
                <w:w w:val="94"/>
              </w:rPr>
              <w:t>(Canadian Dollars)</w:t>
            </w:r>
          </w:p>
        </w:tc>
        <w:tc>
          <w:tcPr>
            <w:tcW w:w="180" w:type="dxa"/>
            <w:vAlign w:val="bottom"/>
          </w:tcPr>
          <w:p>
            <w:pPr>
              <w:spacing w:after="0"/>
              <w:rPr>
                <w:sz w:val="21"/>
                <w:szCs w:val="21"/>
                <w:color w:val="auto"/>
              </w:rPr>
            </w:pPr>
          </w:p>
        </w:tc>
        <w:tc>
          <w:tcPr>
            <w:tcW w:w="2180" w:type="dxa"/>
            <w:vAlign w:val="bottom"/>
          </w:tcPr>
          <w:p>
            <w:pPr>
              <w:jc w:val="right"/>
              <w:ind w:right="430"/>
              <w:spacing w:after="0"/>
              <w:rPr>
                <w:sz w:val="20"/>
                <w:szCs w:val="20"/>
                <w:color w:val="auto"/>
              </w:rPr>
            </w:pPr>
            <w:r>
              <w:rPr>
                <w:rFonts w:ascii="Arial" w:cs="Arial" w:eastAsia="Arial" w:hAnsi="Arial"/>
                <w:sz w:val="18"/>
                <w:szCs w:val="18"/>
                <w:b w:val="1"/>
                <w:bCs w:val="1"/>
                <w:color w:val="auto"/>
              </w:rPr>
              <w:t>and Exercisable</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60" w:type="dxa"/>
            <w:vAlign w:val="bottom"/>
          </w:tcPr>
          <w:p>
            <w:pPr>
              <w:jc w:val="right"/>
              <w:ind w:right="230"/>
              <w:spacing w:after="0"/>
              <w:rPr>
                <w:sz w:val="20"/>
                <w:szCs w:val="20"/>
                <w:color w:val="auto"/>
              </w:rPr>
            </w:pPr>
            <w:r>
              <w:rPr>
                <w:rFonts w:ascii="Arial" w:cs="Arial" w:eastAsia="Arial" w:hAnsi="Arial"/>
                <w:sz w:val="18"/>
                <w:szCs w:val="18"/>
                <w:b w:val="1"/>
                <w:bCs w:val="1"/>
                <w:color w:val="auto"/>
                <w:w w:val="95"/>
              </w:rPr>
              <w:t>(Canadian Dollars)</w:t>
            </w: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158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October 1, 2025</w:t>
            </w:r>
          </w:p>
        </w:tc>
        <w:tc>
          <w:tcPr>
            <w:tcW w:w="200" w:type="dxa"/>
            <w:vAlign w:val="bottom"/>
            <w:shd w:val="clear" w:color="auto" w:fill="CFF0FC"/>
          </w:tcPr>
          <w:p>
            <w:pPr>
              <w:spacing w:after="0"/>
              <w:rPr>
                <w:sz w:val="18"/>
                <w:szCs w:val="18"/>
                <w:color w:val="auto"/>
              </w:rPr>
            </w:pPr>
          </w:p>
        </w:tc>
        <w:tc>
          <w:tcPr>
            <w:tcW w:w="222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648,783</w:t>
            </w:r>
          </w:p>
        </w:tc>
        <w:tc>
          <w:tcPr>
            <w:tcW w:w="20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8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8.12</w:t>
            </w:r>
          </w:p>
        </w:tc>
        <w:tc>
          <w:tcPr>
            <w:tcW w:w="180" w:type="dxa"/>
            <w:vAlign w:val="bottom"/>
            <w:shd w:val="clear" w:color="auto" w:fill="CFF0FC"/>
          </w:tcPr>
          <w:p>
            <w:pPr>
              <w:spacing w:after="0"/>
              <w:rPr>
                <w:sz w:val="18"/>
                <w:szCs w:val="18"/>
                <w:color w:val="auto"/>
              </w:rPr>
            </w:pPr>
          </w:p>
        </w:tc>
        <w:tc>
          <w:tcPr>
            <w:tcW w:w="21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648,783</w:t>
            </w:r>
          </w:p>
        </w:tc>
        <w:tc>
          <w:tcPr>
            <w:tcW w:w="20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8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8.12</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1780" w:type="dxa"/>
            <w:vAlign w:val="bottom"/>
            <w:gridSpan w:val="2"/>
          </w:tcPr>
          <w:p>
            <w:pPr>
              <w:ind w:left="20"/>
              <w:spacing w:after="0"/>
              <w:rPr>
                <w:sz w:val="20"/>
                <w:szCs w:val="20"/>
                <w:color w:val="auto"/>
              </w:rPr>
            </w:pPr>
            <w:r>
              <w:rPr>
                <w:rFonts w:ascii="Arial" w:cs="Arial" w:eastAsia="Arial" w:hAnsi="Arial"/>
                <w:sz w:val="18"/>
                <w:szCs w:val="18"/>
                <w:color w:val="auto"/>
              </w:rPr>
              <w:t>April 26, 2024</w:t>
            </w:r>
          </w:p>
        </w:tc>
        <w:tc>
          <w:tcPr>
            <w:tcW w:w="2220" w:type="dxa"/>
            <w:vAlign w:val="bottom"/>
          </w:tcPr>
          <w:p>
            <w:pPr>
              <w:jc w:val="right"/>
              <w:ind w:right="50"/>
              <w:spacing w:after="0"/>
              <w:rPr>
                <w:sz w:val="20"/>
                <w:szCs w:val="20"/>
                <w:color w:val="auto"/>
              </w:rPr>
            </w:pPr>
            <w:r>
              <w:rPr>
                <w:rFonts w:ascii="Arial" w:cs="Arial" w:eastAsia="Arial" w:hAnsi="Arial"/>
                <w:sz w:val="18"/>
                <w:szCs w:val="18"/>
                <w:color w:val="auto"/>
              </w:rPr>
              <w:t>5,394,945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10.35</w:t>
            </w:r>
          </w:p>
        </w:tc>
        <w:tc>
          <w:tcPr>
            <w:tcW w:w="2360" w:type="dxa"/>
            <w:vAlign w:val="bottom"/>
            <w:gridSpan w:val="2"/>
          </w:tcPr>
          <w:p>
            <w:pPr>
              <w:jc w:val="right"/>
              <w:ind w:right="30"/>
              <w:spacing w:after="0"/>
              <w:rPr>
                <w:sz w:val="20"/>
                <w:szCs w:val="20"/>
                <w:color w:val="auto"/>
              </w:rPr>
            </w:pPr>
            <w:r>
              <w:rPr>
                <w:rFonts w:ascii="Arial" w:cs="Arial" w:eastAsia="Arial" w:hAnsi="Arial"/>
                <w:sz w:val="18"/>
                <w:szCs w:val="18"/>
                <w:color w:val="auto"/>
              </w:rPr>
              <w:t>5,394,945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10.35</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17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May 14, 2023</w:t>
            </w:r>
          </w:p>
        </w:tc>
        <w:tc>
          <w:tcPr>
            <w:tcW w:w="22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1,723,250</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3.10</w:t>
            </w:r>
          </w:p>
        </w:tc>
        <w:tc>
          <w:tcPr>
            <w:tcW w:w="23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1,723,250</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1780" w:type="dxa"/>
            <w:vAlign w:val="bottom"/>
            <w:gridSpan w:val="2"/>
          </w:tcPr>
          <w:p>
            <w:pPr>
              <w:ind w:left="20"/>
              <w:spacing w:after="0"/>
              <w:rPr>
                <w:sz w:val="20"/>
                <w:szCs w:val="20"/>
                <w:color w:val="auto"/>
              </w:rPr>
            </w:pPr>
            <w:r>
              <w:rPr>
                <w:rFonts w:ascii="Arial" w:cs="Arial" w:eastAsia="Arial" w:hAnsi="Arial"/>
                <w:sz w:val="18"/>
                <w:szCs w:val="18"/>
                <w:color w:val="auto"/>
              </w:rPr>
              <w:t>May 14, 2023</w:t>
            </w:r>
          </w:p>
        </w:tc>
        <w:tc>
          <w:tcPr>
            <w:tcW w:w="2220" w:type="dxa"/>
            <w:vAlign w:val="bottom"/>
          </w:tcPr>
          <w:p>
            <w:pPr>
              <w:jc w:val="right"/>
              <w:ind w:right="50"/>
              <w:spacing w:after="0"/>
              <w:rPr>
                <w:sz w:val="20"/>
                <w:szCs w:val="20"/>
                <w:color w:val="auto"/>
              </w:rPr>
            </w:pPr>
            <w:r>
              <w:rPr>
                <w:rFonts w:ascii="Arial" w:cs="Arial" w:eastAsia="Arial" w:hAnsi="Arial"/>
                <w:sz w:val="18"/>
                <w:szCs w:val="18"/>
                <w:color w:val="auto"/>
              </w:rPr>
              <w:t>1,818,788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2.95</w:t>
            </w:r>
          </w:p>
        </w:tc>
        <w:tc>
          <w:tcPr>
            <w:tcW w:w="2360" w:type="dxa"/>
            <w:vAlign w:val="bottom"/>
            <w:gridSpan w:val="2"/>
          </w:tcPr>
          <w:p>
            <w:pPr>
              <w:jc w:val="right"/>
              <w:ind w:right="30"/>
              <w:spacing w:after="0"/>
              <w:rPr>
                <w:sz w:val="20"/>
                <w:szCs w:val="20"/>
                <w:color w:val="auto"/>
              </w:rPr>
            </w:pPr>
            <w:r>
              <w:rPr>
                <w:rFonts w:ascii="Arial" w:cs="Arial" w:eastAsia="Arial" w:hAnsi="Arial"/>
                <w:sz w:val="18"/>
                <w:szCs w:val="18"/>
                <w:color w:val="auto"/>
              </w:rPr>
              <w:t>1,998,788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178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May 14, 2023</w:t>
            </w:r>
          </w:p>
        </w:tc>
        <w:tc>
          <w:tcPr>
            <w:tcW w:w="22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1,897,000</w:t>
            </w: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8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5.84</w:t>
            </w:r>
          </w:p>
        </w:tc>
        <w:tc>
          <w:tcPr>
            <w:tcW w:w="180" w:type="dxa"/>
            <w:vAlign w:val="bottom"/>
            <w:tcBorders>
              <w:bottom w:val="single" w:sz="8" w:color="CFF0FC"/>
            </w:tcBorders>
            <w:shd w:val="clear" w:color="auto" w:fill="CFF0FC"/>
          </w:tcPr>
          <w:p>
            <w:pPr>
              <w:spacing w:after="0"/>
              <w:rPr>
                <w:sz w:val="18"/>
                <w:szCs w:val="18"/>
                <w:color w:val="auto"/>
              </w:rPr>
            </w:pPr>
          </w:p>
        </w:tc>
        <w:tc>
          <w:tcPr>
            <w:tcW w:w="21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1,897,000</w:t>
            </w: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8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20" w:type="dxa"/>
            <w:vAlign w:val="bottom"/>
          </w:tcPr>
          <w:p>
            <w:pPr>
              <w:jc w:val="right"/>
              <w:ind w:right="50"/>
              <w:spacing w:after="0"/>
              <w:rPr>
                <w:sz w:val="20"/>
                <w:szCs w:val="20"/>
                <w:color w:val="auto"/>
              </w:rPr>
            </w:pPr>
            <w:r>
              <w:rPr>
                <w:rFonts w:ascii="Arial" w:cs="Arial" w:eastAsia="Arial" w:hAnsi="Arial"/>
                <w:sz w:val="18"/>
                <w:szCs w:val="18"/>
                <w:color w:val="auto"/>
              </w:rPr>
              <w:t>11,482,766</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7.22</w:t>
            </w:r>
          </w:p>
        </w:tc>
        <w:tc>
          <w:tcPr>
            <w:tcW w:w="2360" w:type="dxa"/>
            <w:vAlign w:val="bottom"/>
            <w:gridSpan w:val="2"/>
          </w:tcPr>
          <w:p>
            <w:pPr>
              <w:jc w:val="right"/>
              <w:ind w:right="30"/>
              <w:spacing w:after="0"/>
              <w:rPr>
                <w:sz w:val="20"/>
                <w:szCs w:val="20"/>
                <w:color w:val="auto"/>
              </w:rPr>
            </w:pPr>
            <w:r>
              <w:rPr>
                <w:rFonts w:ascii="Arial" w:cs="Arial" w:eastAsia="Arial" w:hAnsi="Arial"/>
                <w:sz w:val="18"/>
                <w:szCs w:val="18"/>
                <w:color w:val="auto"/>
              </w:rPr>
              <w:t>11,662,766</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60" w:type="dxa"/>
            <w:vAlign w:val="bottom"/>
            <w:vMerge w:val="restart"/>
          </w:tcPr>
          <w:p>
            <w:pPr>
              <w:jc w:val="right"/>
              <w:ind w:right="850"/>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line="20" w:lineRule="exact"/>
              <w:rPr>
                <w:sz w:val="1"/>
                <w:szCs w:val="1"/>
                <w:color w:val="auto"/>
              </w:rPr>
            </w:pPr>
          </w:p>
        </w:tc>
        <w:tc>
          <w:tcPr>
            <w:tcW w:w="2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4"/>
        </w:trPr>
        <w:tc>
          <w:tcPr>
            <w:tcW w:w="4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440" w:type="dxa"/>
            <w:vAlign w:val="bottom"/>
            <w:tcBorders>
              <w:bottom w:val="single" w:sz="8" w:color="9A9A9A"/>
            </w:tcBorders>
          </w:tcPr>
          <w:p>
            <w:pPr>
              <w:spacing w:after="0"/>
              <w:rPr>
                <w:sz w:val="7"/>
                <w:szCs w:val="7"/>
                <w:color w:val="auto"/>
              </w:rPr>
            </w:pPr>
          </w:p>
        </w:tc>
        <w:tc>
          <w:tcPr>
            <w:tcW w:w="158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22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86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218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8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2813685</wp:posOffset>
            </wp:positionH>
            <wp:positionV relativeFrom="paragraph">
              <wp:posOffset>-641350</wp:posOffset>
            </wp:positionV>
            <wp:extent cx="128270" cy="1714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8270" cy="171450"/>
                    </a:xfrm>
                    <a:prstGeom prst="rect">
                      <a:avLst/>
                    </a:prstGeom>
                    <a:noFill/>
                  </pic:spPr>
                </pic:pic>
              </a:graphicData>
            </a:graphic>
          </wp:anchor>
        </w:drawing>
        <w:drawing>
          <wp:anchor simplePos="0" relativeHeight="251657728" behindDoc="1" locked="0" layoutInCell="0" allowOverlap="1">
            <wp:simplePos x="0" y="0"/>
            <wp:positionH relativeFrom="column">
              <wp:posOffset>5733415</wp:posOffset>
            </wp:positionH>
            <wp:positionV relativeFrom="paragraph">
              <wp:posOffset>-641350</wp:posOffset>
            </wp:positionV>
            <wp:extent cx="120015" cy="1714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0015" cy="171450"/>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14" w:name="page15"/>
    <w:bookmarkEnd w:id="14"/>
    <w:p>
      <w:pPr>
        <w:ind w:left="380"/>
        <w:spacing w:after="0"/>
        <w:rPr>
          <w:sz w:val="20"/>
          <w:szCs w:val="20"/>
          <w:color w:val="auto"/>
        </w:rPr>
      </w:pPr>
      <w:r>
        <w:rPr>
          <w:rFonts w:ascii="Arial" w:cs="Arial" w:eastAsia="Arial" w:hAnsi="Arial"/>
          <w:sz w:val="18"/>
          <w:szCs w:val="18"/>
          <w:color w:val="auto"/>
        </w:rPr>
        <w:t>Warrant activity for the nine months ended September 30, 2022 and 2021 are summarized in the table below:</w:t>
      </w:r>
    </w:p>
    <w:p>
      <w:pPr>
        <w:spacing w:after="0" w:line="189" w:lineRule="exact"/>
        <w:rPr>
          <w:sz w:val="20"/>
          <w:szCs w:val="20"/>
          <w:color w:val="auto"/>
        </w:rPr>
      </w:pPr>
    </w:p>
    <w:tbl>
      <w:tblPr>
        <w:tblLayout w:type="fixed"/>
        <w:tblInd w:w="400" w:type="dxa"/>
        <w:tblCellMar>
          <w:top w:w="0" w:type="dxa"/>
          <w:left w:w="0" w:type="dxa"/>
          <w:bottom w:w="0" w:type="dxa"/>
          <w:right w:w="0" w:type="dxa"/>
        </w:tblCellMar>
      </w:tblPr>
      <w:tr>
        <w:trPr>
          <w:trHeight w:val="207"/>
        </w:trPr>
        <w:tc>
          <w:tcPr>
            <w:tcW w:w="6480" w:type="dxa"/>
            <w:vAlign w:val="bottom"/>
          </w:tcPr>
          <w:p>
            <w:pPr>
              <w:spacing w:after="0"/>
              <w:rPr>
                <w:sz w:val="17"/>
                <w:szCs w:val="17"/>
                <w:color w:val="auto"/>
              </w:rPr>
            </w:pPr>
          </w:p>
        </w:tc>
        <w:tc>
          <w:tcPr>
            <w:tcW w:w="2000" w:type="dxa"/>
            <w:vAlign w:val="bottom"/>
          </w:tcPr>
          <w:p>
            <w:pPr>
              <w:jc w:val="right"/>
              <w:ind w:right="550"/>
              <w:spacing w:after="0"/>
              <w:rPr>
                <w:sz w:val="20"/>
                <w:szCs w:val="20"/>
                <w:color w:val="auto"/>
              </w:rPr>
            </w:pPr>
            <w:r>
              <w:rPr>
                <w:rFonts w:ascii="Arial" w:cs="Arial" w:eastAsia="Arial" w:hAnsi="Arial"/>
                <w:sz w:val="18"/>
                <w:szCs w:val="18"/>
                <w:b w:val="1"/>
                <w:bCs w:val="1"/>
                <w:color w:val="auto"/>
              </w:rPr>
              <w:t>Number of</w:t>
            </w:r>
          </w:p>
        </w:tc>
        <w:tc>
          <w:tcPr>
            <w:tcW w:w="180" w:type="dxa"/>
            <w:vAlign w:val="bottom"/>
          </w:tcPr>
          <w:p>
            <w:pPr>
              <w:spacing w:after="0"/>
              <w:rPr>
                <w:sz w:val="17"/>
                <w:szCs w:val="17"/>
                <w:color w:val="auto"/>
              </w:rPr>
            </w:pPr>
          </w:p>
        </w:tc>
        <w:tc>
          <w:tcPr>
            <w:tcW w:w="2180" w:type="dxa"/>
            <w:vAlign w:val="bottom"/>
            <w:gridSpan w:val="2"/>
          </w:tcPr>
          <w:p>
            <w:pPr>
              <w:spacing w:after="0"/>
              <w:rPr>
                <w:sz w:val="20"/>
                <w:szCs w:val="20"/>
                <w:color w:val="auto"/>
              </w:rPr>
            </w:pPr>
            <w:r>
              <w:rPr>
                <w:rFonts w:ascii="Arial" w:cs="Arial" w:eastAsia="Arial" w:hAnsi="Arial"/>
                <w:sz w:val="18"/>
                <w:szCs w:val="18"/>
                <w:b w:val="1"/>
                <w:bCs w:val="1"/>
                <w:color w:val="auto"/>
                <w:w w:val="93"/>
              </w:rPr>
              <w:t>Weighted average exercise</w:t>
            </w:r>
          </w:p>
        </w:tc>
      </w:tr>
      <w:tr>
        <w:trPr>
          <w:trHeight w:val="234"/>
        </w:trPr>
        <w:tc>
          <w:tcPr>
            <w:tcW w:w="6480" w:type="dxa"/>
            <w:vAlign w:val="bottom"/>
          </w:tcPr>
          <w:p>
            <w:pPr>
              <w:spacing w:after="0"/>
              <w:rPr>
                <w:sz w:val="20"/>
                <w:szCs w:val="20"/>
                <w:color w:val="auto"/>
              </w:rPr>
            </w:pPr>
          </w:p>
        </w:tc>
        <w:tc>
          <w:tcPr>
            <w:tcW w:w="20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Warrants</w:t>
            </w:r>
          </w:p>
        </w:tc>
        <w:tc>
          <w:tcPr>
            <w:tcW w:w="180" w:type="dxa"/>
            <w:vAlign w:val="bottom"/>
          </w:tcPr>
          <w:p>
            <w:pPr>
              <w:spacing w:after="0"/>
              <w:rPr>
                <w:sz w:val="20"/>
                <w:szCs w:val="20"/>
                <w:color w:val="auto"/>
              </w:rPr>
            </w:pPr>
          </w:p>
        </w:tc>
        <w:tc>
          <w:tcPr>
            <w:tcW w:w="218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b w:val="1"/>
                <w:bCs w:val="1"/>
                <w:color w:val="auto"/>
                <w:w w:val="94"/>
              </w:rPr>
              <w:t>price (Canadian Dollars)</w:t>
            </w:r>
          </w:p>
        </w:tc>
      </w:tr>
      <w:tr>
        <w:trPr>
          <w:trHeight w:val="209"/>
        </w:trPr>
        <w:tc>
          <w:tcPr>
            <w:tcW w:w="6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December 31, 2020</w:t>
            </w:r>
          </w:p>
        </w:tc>
        <w:tc>
          <w:tcPr>
            <w:tcW w:w="2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13,147,919</w:t>
            </w: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6.91</w:t>
            </w:r>
          </w:p>
        </w:tc>
      </w:tr>
      <w:tr>
        <w:trPr>
          <w:trHeight w:val="216"/>
        </w:trPr>
        <w:tc>
          <w:tcPr>
            <w:tcW w:w="6480" w:type="dxa"/>
            <w:vAlign w:val="bottom"/>
          </w:tcPr>
          <w:p>
            <w:pPr>
              <w:ind w:left="20"/>
              <w:spacing w:after="0"/>
              <w:rPr>
                <w:sz w:val="20"/>
                <w:szCs w:val="20"/>
                <w:color w:val="auto"/>
              </w:rPr>
            </w:pPr>
            <w:r>
              <w:rPr>
                <w:rFonts w:ascii="Arial" w:cs="Arial" w:eastAsia="Arial" w:hAnsi="Arial"/>
                <w:sz w:val="18"/>
                <w:szCs w:val="18"/>
                <w:color w:val="auto"/>
              </w:rPr>
              <w:t>Exercised</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(1,485,153 )</w:t>
            </w:r>
          </w:p>
        </w:tc>
        <w:tc>
          <w:tcPr>
            <w:tcW w:w="18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5.01</w:t>
            </w:r>
          </w:p>
        </w:tc>
      </w:tr>
      <w:tr>
        <w:trPr>
          <w:trHeight w:val="249"/>
        </w:trPr>
        <w:tc>
          <w:tcPr>
            <w:tcW w:w="6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at September 30, 2021</w:t>
            </w:r>
          </w:p>
        </w:tc>
        <w:tc>
          <w:tcPr>
            <w:tcW w:w="20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11,662,766</w:t>
            </w:r>
          </w:p>
        </w:tc>
        <w:tc>
          <w:tcPr>
            <w:tcW w:w="18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7.15</w:t>
            </w:r>
          </w:p>
        </w:tc>
      </w:tr>
      <w:tr>
        <w:trPr>
          <w:trHeight w:val="196"/>
        </w:trPr>
        <w:tc>
          <w:tcPr>
            <w:tcW w:w="6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100" w:type="dxa"/>
            <w:vAlign w:val="bottom"/>
            <w:gridSpan w:val="2"/>
          </w:tcPr>
          <w:p>
            <w:pPr>
              <w:spacing w:after="0"/>
              <w:rPr>
                <w:sz w:val="17"/>
                <w:szCs w:val="17"/>
                <w:color w:val="auto"/>
              </w:rPr>
            </w:pPr>
          </w:p>
        </w:tc>
        <w:tc>
          <w:tcPr>
            <w:tcW w:w="1260" w:type="dxa"/>
            <w:vAlign w:val="bottom"/>
          </w:tcPr>
          <w:p>
            <w:pPr>
              <w:spacing w:after="0"/>
              <w:rPr>
                <w:sz w:val="17"/>
                <w:szCs w:val="17"/>
                <w:color w:val="auto"/>
              </w:rPr>
            </w:pPr>
          </w:p>
        </w:tc>
      </w:tr>
      <w:tr>
        <w:trPr>
          <w:trHeight w:val="216"/>
        </w:trPr>
        <w:tc>
          <w:tcPr>
            <w:tcW w:w="6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December 31, 2021</w:t>
            </w:r>
          </w:p>
        </w:tc>
        <w:tc>
          <w:tcPr>
            <w:tcW w:w="2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11,662,766</w:t>
            </w:r>
          </w:p>
        </w:tc>
        <w:tc>
          <w:tcPr>
            <w:tcW w:w="1100" w:type="dxa"/>
            <w:vAlign w:val="bottom"/>
            <w:gridSpan w:val="2"/>
            <w:shd w:val="clear" w:color="auto" w:fill="CFF0FC"/>
          </w:tcPr>
          <w:p>
            <w:pPr>
              <w:ind w:left="180"/>
              <w:spacing w:after="0"/>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7.15</w:t>
            </w:r>
          </w:p>
        </w:tc>
      </w:tr>
      <w:tr>
        <w:trPr>
          <w:trHeight w:val="216"/>
        </w:trPr>
        <w:tc>
          <w:tcPr>
            <w:tcW w:w="6480" w:type="dxa"/>
            <w:vAlign w:val="bottom"/>
          </w:tcPr>
          <w:p>
            <w:pPr>
              <w:ind w:left="20"/>
              <w:spacing w:after="0"/>
              <w:rPr>
                <w:sz w:val="20"/>
                <w:szCs w:val="20"/>
                <w:color w:val="auto"/>
              </w:rPr>
            </w:pPr>
            <w:r>
              <w:rPr>
                <w:rFonts w:ascii="Arial" w:cs="Arial" w:eastAsia="Arial" w:hAnsi="Arial"/>
                <w:sz w:val="18"/>
                <w:szCs w:val="18"/>
                <w:color w:val="auto"/>
              </w:rPr>
              <w:t>Exercised</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(180,000 )</w:t>
            </w:r>
          </w:p>
        </w:tc>
        <w:tc>
          <w:tcPr>
            <w:tcW w:w="18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2.95</w:t>
            </w:r>
          </w:p>
        </w:tc>
      </w:tr>
      <w:tr>
        <w:trPr>
          <w:trHeight w:val="249"/>
        </w:trPr>
        <w:tc>
          <w:tcPr>
            <w:tcW w:w="6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at September 30, 2022</w:t>
            </w:r>
          </w:p>
        </w:tc>
        <w:tc>
          <w:tcPr>
            <w:tcW w:w="20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11,482,766</w:t>
            </w:r>
          </w:p>
        </w:tc>
        <w:tc>
          <w:tcPr>
            <w:tcW w:w="18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7.22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5638800</wp:posOffset>
            </wp:positionH>
            <wp:positionV relativeFrom="paragraph">
              <wp:posOffset>-607060</wp:posOffset>
            </wp:positionV>
            <wp:extent cx="111125" cy="1625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11125" cy="162560"/>
                    </a:xfrm>
                    <a:prstGeom prst="rect">
                      <a:avLst/>
                    </a:prstGeom>
                    <a:noFill/>
                  </pic:spPr>
                </pic:pic>
              </a:graphicData>
            </a:graphic>
          </wp:anchor>
        </w:drawing>
        <w:drawing>
          <wp:anchor simplePos="0" relativeHeight="251657728" behindDoc="1" locked="0" layoutInCell="0" allowOverlap="1">
            <wp:simplePos x="0" y="0"/>
            <wp:positionH relativeFrom="column">
              <wp:posOffset>5638800</wp:posOffset>
            </wp:positionH>
            <wp:positionV relativeFrom="paragraph">
              <wp:posOffset>-24765</wp:posOffset>
            </wp:positionV>
            <wp:extent cx="1111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5638800</wp:posOffset>
            </wp:positionH>
            <wp:positionV relativeFrom="paragraph">
              <wp:posOffset>-7620</wp:posOffset>
            </wp:positionV>
            <wp:extent cx="1111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64" w:lineRule="exact"/>
        <w:rPr>
          <w:sz w:val="20"/>
          <w:szCs w:val="20"/>
          <w:color w:val="auto"/>
        </w:rPr>
      </w:pPr>
    </w:p>
    <w:p>
      <w:pPr>
        <w:ind w:left="380" w:hanging="372"/>
        <w:spacing w:after="0"/>
        <w:tabs>
          <w:tab w:leader="none" w:pos="3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LOSS PER SHARE</w:t>
      </w:r>
    </w:p>
    <w:p>
      <w:pPr>
        <w:spacing w:after="0" w:line="147"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color w:val="auto"/>
        </w:rPr>
        <w:t>Basic and diluted net loss per share attributable to the Company was calculated as follows:</w:t>
      </w:r>
    </w:p>
    <w:p>
      <w:pPr>
        <w:spacing w:after="0" w:line="207" w:lineRule="exact"/>
        <w:rPr>
          <w:sz w:val="20"/>
          <w:szCs w:val="20"/>
          <w:color w:val="auto"/>
        </w:rPr>
      </w:pPr>
    </w:p>
    <w:tbl>
      <w:tblPr>
        <w:tblLayout w:type="fixed"/>
        <w:tblInd w:w="44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10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Nine months ended</w:t>
            </w: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560" w:type="dxa"/>
            <w:vAlign w:val="bottom"/>
          </w:tcPr>
          <w:p>
            <w:pPr>
              <w:spacing w:after="0"/>
              <w:rPr>
                <w:sz w:val="18"/>
                <w:szCs w:val="18"/>
                <w:color w:val="auto"/>
              </w:rPr>
            </w:pPr>
          </w:p>
        </w:tc>
        <w:tc>
          <w:tcPr>
            <w:tcW w:w="168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96"/>
              </w:rPr>
              <w:t>September 30, 2022</w:t>
            </w:r>
          </w:p>
        </w:tc>
        <w:tc>
          <w:tcPr>
            <w:tcW w:w="140" w:type="dxa"/>
            <w:vAlign w:val="bottom"/>
          </w:tcPr>
          <w:p>
            <w:pPr>
              <w:spacing w:after="0"/>
              <w:rPr>
                <w:sz w:val="18"/>
                <w:szCs w:val="18"/>
                <w:color w:val="auto"/>
              </w:rPr>
            </w:pPr>
          </w:p>
        </w:tc>
        <w:tc>
          <w:tcPr>
            <w:tcW w:w="176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b w:val="1"/>
                <w:bCs w:val="1"/>
                <w:color w:val="auto"/>
                <w:w w:val="92"/>
              </w:rPr>
              <w:t>September 30, 2021</w:t>
            </w:r>
          </w:p>
        </w:tc>
        <w:tc>
          <w:tcPr>
            <w:tcW w:w="120" w:type="dxa"/>
            <w:vAlign w:val="bottom"/>
          </w:tcPr>
          <w:p>
            <w:pPr>
              <w:spacing w:after="0"/>
              <w:rPr>
                <w:sz w:val="18"/>
                <w:szCs w:val="18"/>
                <w:color w:val="auto"/>
              </w:rPr>
            </w:pPr>
          </w:p>
        </w:tc>
        <w:tc>
          <w:tcPr>
            <w:tcW w:w="16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6"/>
              </w:rPr>
              <w:t>September 30, 2022</w:t>
            </w:r>
          </w:p>
        </w:tc>
        <w:tc>
          <w:tcPr>
            <w:tcW w:w="120" w:type="dxa"/>
            <w:vAlign w:val="bottom"/>
          </w:tcPr>
          <w:p>
            <w:pPr>
              <w:spacing w:after="0"/>
              <w:rPr>
                <w:sz w:val="18"/>
                <w:szCs w:val="18"/>
                <w:color w:val="auto"/>
              </w:rPr>
            </w:pPr>
          </w:p>
        </w:tc>
        <w:tc>
          <w:tcPr>
            <w:tcW w:w="176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b w:val="1"/>
                <w:bCs w:val="1"/>
                <w:color w:val="auto"/>
                <w:w w:val="92"/>
              </w:rPr>
              <w:t>September 30, 2021</w:t>
            </w:r>
          </w:p>
        </w:tc>
        <w:tc>
          <w:tcPr>
            <w:tcW w:w="0" w:type="dxa"/>
            <w:vAlign w:val="bottom"/>
          </w:tcPr>
          <w:p>
            <w:pPr>
              <w:spacing w:after="0"/>
              <w:rPr>
                <w:sz w:val="1"/>
                <w:szCs w:val="1"/>
                <w:color w:val="auto"/>
              </w:rPr>
            </w:pPr>
          </w:p>
        </w:tc>
      </w:tr>
      <w:tr>
        <w:trPr>
          <w:trHeight w:val="209"/>
        </w:trPr>
        <w:tc>
          <w:tcPr>
            <w:tcW w:w="3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Numerator:</w:t>
            </w: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ind w:left="200"/>
              <w:spacing w:after="0"/>
              <w:rPr>
                <w:sz w:val="20"/>
                <w:szCs w:val="20"/>
                <w:color w:val="auto"/>
              </w:rPr>
            </w:pPr>
            <w:r>
              <w:rPr>
                <w:rFonts w:ascii="Arial" w:cs="Arial" w:eastAsia="Arial" w:hAnsi="Arial"/>
                <w:sz w:val="18"/>
                <w:szCs w:val="18"/>
                <w:color w:val="auto"/>
              </w:rPr>
              <w:t>Net loss</w:t>
            </w: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(38,303 )</w:t>
            </w:r>
          </w:p>
        </w:tc>
        <w:tc>
          <w:tcPr>
            <w:tcW w:w="860" w:type="dxa"/>
            <w:vAlign w:val="bottom"/>
            <w:gridSpan w:val="2"/>
          </w:tcPr>
          <w:p>
            <w:pPr>
              <w:jc w:val="right"/>
              <w:ind w:right="5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(44,370 )</w:t>
            </w: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(120,464 )</w:t>
            </w:r>
          </w:p>
        </w:tc>
        <w:tc>
          <w:tcPr>
            <w:tcW w:w="840" w:type="dxa"/>
            <w:vAlign w:val="bottom"/>
            <w:gridSpan w:val="2"/>
          </w:tcPr>
          <w:p>
            <w:pPr>
              <w:jc w:val="right"/>
              <w:ind w:right="5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(92,190 )</w:t>
            </w:r>
          </w:p>
        </w:tc>
        <w:tc>
          <w:tcPr>
            <w:tcW w:w="0" w:type="dxa"/>
            <w:vAlign w:val="bottom"/>
          </w:tcPr>
          <w:p>
            <w:pPr>
              <w:spacing w:after="0"/>
              <w:rPr>
                <w:sz w:val="1"/>
                <w:szCs w:val="1"/>
                <w:color w:val="auto"/>
              </w:rPr>
            </w:pPr>
          </w:p>
        </w:tc>
      </w:tr>
      <w:tr>
        <w:trPr>
          <w:trHeight w:val="174"/>
        </w:trPr>
        <w:tc>
          <w:tcPr>
            <w:tcW w:w="3560" w:type="dxa"/>
            <w:vAlign w:val="bottom"/>
            <w:shd w:val="clear" w:color="auto" w:fill="CFF0FC"/>
          </w:tcPr>
          <w:p>
            <w:pPr>
              <w:ind w:left="200"/>
              <w:spacing w:after="0" w:line="175" w:lineRule="exact"/>
              <w:rPr>
                <w:sz w:val="20"/>
                <w:szCs w:val="20"/>
                <w:color w:val="auto"/>
              </w:rPr>
            </w:pPr>
            <w:r>
              <w:rPr>
                <w:rFonts w:ascii="Arial" w:cs="Arial" w:eastAsia="Arial" w:hAnsi="Arial"/>
                <w:sz w:val="18"/>
                <w:szCs w:val="18"/>
                <w:color w:val="auto"/>
              </w:rPr>
              <w:t>Less: Net loss attributable to non-</w:t>
            </w:r>
          </w:p>
        </w:tc>
        <w:tc>
          <w:tcPr>
            <w:tcW w:w="380" w:type="dxa"/>
            <w:vAlign w:val="bottom"/>
            <w:shd w:val="clear" w:color="auto" w:fill="CFF0FC"/>
          </w:tcPr>
          <w:p>
            <w:pPr>
              <w:spacing w:after="0"/>
              <w:rPr>
                <w:sz w:val="15"/>
                <w:szCs w:val="15"/>
                <w:color w:val="auto"/>
              </w:rPr>
            </w:pPr>
          </w:p>
        </w:tc>
        <w:tc>
          <w:tcPr>
            <w:tcW w:w="13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(2,872 )</w:t>
            </w:r>
          </w:p>
        </w:tc>
        <w:tc>
          <w:tcPr>
            <w:tcW w:w="1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(1,474 )</w:t>
            </w:r>
          </w:p>
        </w:tc>
        <w:tc>
          <w:tcPr>
            <w:tcW w:w="1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2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(4,569 )</w:t>
            </w: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(2,368 )</w:t>
            </w:r>
          </w:p>
        </w:tc>
        <w:tc>
          <w:tcPr>
            <w:tcW w:w="0" w:type="dxa"/>
            <w:vAlign w:val="bottom"/>
          </w:tcPr>
          <w:p>
            <w:pPr>
              <w:spacing w:after="0"/>
              <w:rPr>
                <w:sz w:val="1"/>
                <w:szCs w:val="1"/>
                <w:color w:val="auto"/>
              </w:rPr>
            </w:pPr>
          </w:p>
        </w:tc>
      </w:tr>
      <w:tr>
        <w:trPr>
          <w:trHeight w:val="217"/>
        </w:trPr>
        <w:tc>
          <w:tcPr>
            <w:tcW w:w="35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controlling interests</w:t>
            </w:r>
          </w:p>
        </w:tc>
        <w:tc>
          <w:tcPr>
            <w:tcW w:w="3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vMerge w:val="continue"/>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vMerge w:val="continue"/>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vMerge w:val="continue"/>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60" w:type="dxa"/>
            <w:vAlign w:val="bottom"/>
          </w:tcPr>
          <w:p>
            <w:pPr>
              <w:ind w:left="380"/>
              <w:spacing w:after="0"/>
              <w:rPr>
                <w:sz w:val="20"/>
                <w:szCs w:val="20"/>
                <w:color w:val="auto"/>
              </w:rPr>
            </w:pPr>
            <w:r>
              <w:rPr>
                <w:rFonts w:ascii="Arial" w:cs="Arial" w:eastAsia="Arial" w:hAnsi="Arial"/>
                <w:sz w:val="18"/>
                <w:szCs w:val="18"/>
                <w:color w:val="auto"/>
              </w:rPr>
              <w:t>Net loss attributable to shareholders</w:t>
            </w: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(35,431 )</w:t>
            </w:r>
          </w:p>
        </w:tc>
        <w:tc>
          <w:tcPr>
            <w:tcW w:w="860" w:type="dxa"/>
            <w:vAlign w:val="bottom"/>
            <w:gridSpan w:val="2"/>
          </w:tcPr>
          <w:p>
            <w:pPr>
              <w:jc w:val="right"/>
              <w:ind w:right="5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(42,896 )</w:t>
            </w: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(115,895 )</w:t>
            </w:r>
          </w:p>
        </w:tc>
        <w:tc>
          <w:tcPr>
            <w:tcW w:w="840" w:type="dxa"/>
            <w:vAlign w:val="bottom"/>
            <w:gridSpan w:val="2"/>
          </w:tcPr>
          <w:p>
            <w:pPr>
              <w:jc w:val="right"/>
              <w:ind w:right="5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(89,822 )</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60" w:type="dxa"/>
            <w:vAlign w:val="bottom"/>
          </w:tcPr>
          <w:p>
            <w:pPr>
              <w:ind w:left="20"/>
              <w:spacing w:after="0"/>
              <w:rPr>
                <w:sz w:val="20"/>
                <w:szCs w:val="20"/>
                <w:color w:val="auto"/>
              </w:rPr>
            </w:pPr>
            <w:r>
              <w:rPr>
                <w:rFonts w:ascii="Arial" w:cs="Arial" w:eastAsia="Arial" w:hAnsi="Arial"/>
                <w:sz w:val="18"/>
                <w:szCs w:val="18"/>
                <w:color w:val="auto"/>
              </w:rPr>
              <w:t>Denominator:</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3560" w:type="dxa"/>
            <w:vAlign w:val="bottom"/>
            <w:shd w:val="clear" w:color="auto" w:fill="CFF0FC"/>
          </w:tcPr>
          <w:p>
            <w:pPr>
              <w:ind w:left="20"/>
              <w:spacing w:after="0" w:line="175" w:lineRule="exact"/>
              <w:rPr>
                <w:sz w:val="20"/>
                <w:szCs w:val="20"/>
                <w:color w:val="auto"/>
              </w:rPr>
            </w:pPr>
            <w:r>
              <w:rPr>
                <w:rFonts w:ascii="Arial" w:cs="Arial" w:eastAsia="Arial" w:hAnsi="Arial"/>
                <w:sz w:val="18"/>
                <w:szCs w:val="18"/>
                <w:color w:val="auto"/>
                <w:w w:val="97"/>
              </w:rPr>
              <w:t>Weighted average shares outstanding - basic</w:t>
            </w:r>
          </w:p>
        </w:tc>
        <w:tc>
          <w:tcPr>
            <w:tcW w:w="380" w:type="dxa"/>
            <w:vAlign w:val="bottom"/>
            <w:shd w:val="clear" w:color="auto" w:fill="CFF0FC"/>
          </w:tcPr>
          <w:p>
            <w:pPr>
              <w:spacing w:after="0"/>
              <w:rPr>
                <w:sz w:val="15"/>
                <w:szCs w:val="15"/>
                <w:color w:val="auto"/>
              </w:rPr>
            </w:pPr>
          </w:p>
        </w:tc>
        <w:tc>
          <w:tcPr>
            <w:tcW w:w="1300" w:type="dxa"/>
            <w:vAlign w:val="bottom"/>
            <w:vMerge w:val="restart"/>
            <w:shd w:val="clear" w:color="auto" w:fill="CFF0FC"/>
          </w:tcPr>
          <w:p>
            <w:pPr>
              <w:jc w:val="right"/>
              <w:ind w:right="50"/>
              <w:spacing w:after="0"/>
              <w:rPr>
                <w:sz w:val="20"/>
                <w:szCs w:val="20"/>
                <w:color w:val="auto"/>
              </w:rPr>
            </w:pPr>
            <w:r>
              <w:rPr>
                <w:rFonts w:ascii="Arial" w:cs="Arial" w:eastAsia="Arial" w:hAnsi="Arial"/>
                <w:sz w:val="18"/>
                <w:szCs w:val="18"/>
                <w:color w:val="auto"/>
              </w:rPr>
              <w:t>399,227,935</w:t>
            </w:r>
          </w:p>
        </w:tc>
        <w:tc>
          <w:tcPr>
            <w:tcW w:w="1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040" w:type="dxa"/>
            <w:vAlign w:val="bottom"/>
            <w:vMerge w:val="restart"/>
            <w:shd w:val="clear" w:color="auto" w:fill="CFF0FC"/>
          </w:tcPr>
          <w:p>
            <w:pPr>
              <w:jc w:val="right"/>
              <w:ind w:right="30"/>
              <w:spacing w:after="0"/>
              <w:rPr>
                <w:sz w:val="20"/>
                <w:szCs w:val="20"/>
                <w:color w:val="auto"/>
              </w:rPr>
            </w:pPr>
            <w:r>
              <w:rPr>
                <w:rFonts w:ascii="Arial" w:cs="Arial" w:eastAsia="Arial" w:hAnsi="Arial"/>
                <w:sz w:val="18"/>
                <w:szCs w:val="18"/>
                <w:color w:val="auto"/>
                <w:w w:val="89"/>
              </w:rPr>
              <w:t>325,416,684</w:t>
            </w:r>
          </w:p>
        </w:tc>
        <w:tc>
          <w:tcPr>
            <w:tcW w:w="1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280" w:type="dxa"/>
            <w:vAlign w:val="bottom"/>
            <w:vMerge w:val="restart"/>
            <w:shd w:val="clear" w:color="auto" w:fill="CFF0FC"/>
          </w:tcPr>
          <w:p>
            <w:pPr>
              <w:jc w:val="right"/>
              <w:ind w:right="30"/>
              <w:spacing w:after="0"/>
              <w:rPr>
                <w:sz w:val="20"/>
                <w:szCs w:val="20"/>
                <w:color w:val="auto"/>
              </w:rPr>
            </w:pPr>
            <w:r>
              <w:rPr>
                <w:rFonts w:ascii="Arial" w:cs="Arial" w:eastAsia="Arial" w:hAnsi="Arial"/>
                <w:sz w:val="18"/>
                <w:szCs w:val="18"/>
                <w:color w:val="auto"/>
              </w:rPr>
              <w:t>389,966,408</w:t>
            </w: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040" w:type="dxa"/>
            <w:vAlign w:val="bottom"/>
            <w:vMerge w:val="restart"/>
            <w:shd w:val="clear" w:color="auto" w:fill="CFF0FC"/>
          </w:tcPr>
          <w:p>
            <w:pPr>
              <w:jc w:val="right"/>
              <w:ind w:right="30"/>
              <w:spacing w:after="0"/>
              <w:rPr>
                <w:sz w:val="20"/>
                <w:szCs w:val="20"/>
                <w:color w:val="auto"/>
              </w:rPr>
            </w:pPr>
            <w:r>
              <w:rPr>
                <w:rFonts w:ascii="Arial" w:cs="Arial" w:eastAsia="Arial" w:hAnsi="Arial"/>
                <w:sz w:val="18"/>
                <w:szCs w:val="18"/>
                <w:color w:val="auto"/>
                <w:w w:val="89"/>
              </w:rPr>
              <w:t>311,446,922</w:t>
            </w:r>
          </w:p>
        </w:tc>
        <w:tc>
          <w:tcPr>
            <w:tcW w:w="0" w:type="dxa"/>
            <w:vAlign w:val="bottom"/>
          </w:tcPr>
          <w:p>
            <w:pPr>
              <w:spacing w:after="0"/>
              <w:rPr>
                <w:sz w:val="1"/>
                <w:szCs w:val="1"/>
                <w:color w:val="auto"/>
              </w:rPr>
            </w:pPr>
          </w:p>
        </w:tc>
      </w:tr>
      <w:tr>
        <w:trPr>
          <w:trHeight w:val="217"/>
        </w:trPr>
        <w:tc>
          <w:tcPr>
            <w:tcW w:w="3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and diluted</w:t>
            </w:r>
          </w:p>
        </w:tc>
        <w:tc>
          <w:tcPr>
            <w:tcW w:w="3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vMerge w:val="continue"/>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vMerge w:val="continue"/>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vMerge w:val="continue"/>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60" w:type="dxa"/>
            <w:vAlign w:val="bottom"/>
          </w:tcPr>
          <w:p>
            <w:pPr>
              <w:ind w:left="20"/>
              <w:spacing w:after="0"/>
              <w:rPr>
                <w:sz w:val="20"/>
                <w:szCs w:val="20"/>
                <w:color w:val="auto"/>
              </w:rPr>
            </w:pPr>
            <w:r>
              <w:rPr>
                <w:rFonts w:ascii="Arial" w:cs="Arial" w:eastAsia="Arial" w:hAnsi="Arial"/>
                <w:sz w:val="18"/>
                <w:szCs w:val="18"/>
                <w:color w:val="auto"/>
              </w:rPr>
              <w:t>Loss per share - basic and diluted</w:t>
            </w: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(0.09 )</w:t>
            </w:r>
          </w:p>
        </w:tc>
        <w:tc>
          <w:tcPr>
            <w:tcW w:w="860" w:type="dxa"/>
            <w:vAlign w:val="bottom"/>
            <w:gridSpan w:val="2"/>
          </w:tcPr>
          <w:p>
            <w:pPr>
              <w:jc w:val="right"/>
              <w:ind w:right="5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(0.13 )</w:t>
            </w: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(0.30 )</w:t>
            </w:r>
          </w:p>
        </w:tc>
        <w:tc>
          <w:tcPr>
            <w:tcW w:w="840" w:type="dxa"/>
            <w:vAlign w:val="bottom"/>
            <w:gridSpan w:val="2"/>
          </w:tcPr>
          <w:p>
            <w:pPr>
              <w:jc w:val="right"/>
              <w:ind w:right="5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(0.29 )</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3609975</wp:posOffset>
            </wp:positionH>
            <wp:positionV relativeFrom="paragraph">
              <wp:posOffset>-864235</wp:posOffset>
            </wp:positionV>
            <wp:extent cx="85725" cy="1714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4817110</wp:posOffset>
            </wp:positionH>
            <wp:positionV relativeFrom="paragraph">
              <wp:posOffset>-864235</wp:posOffset>
            </wp:positionV>
            <wp:extent cx="76835" cy="1714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5938520</wp:posOffset>
            </wp:positionH>
            <wp:positionV relativeFrom="paragraph">
              <wp:posOffset>-864235</wp:posOffset>
            </wp:positionV>
            <wp:extent cx="76835" cy="1714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3609975</wp:posOffset>
            </wp:positionH>
            <wp:positionV relativeFrom="paragraph">
              <wp:posOffset>-170815</wp:posOffset>
            </wp:positionV>
            <wp:extent cx="85725" cy="1714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4817110</wp:posOffset>
            </wp:positionH>
            <wp:positionV relativeFrom="paragraph">
              <wp:posOffset>-170815</wp:posOffset>
            </wp:positionV>
            <wp:extent cx="76835" cy="1714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5938520</wp:posOffset>
            </wp:positionH>
            <wp:positionV relativeFrom="paragraph">
              <wp:posOffset>-170815</wp:posOffset>
            </wp:positionV>
            <wp:extent cx="76835" cy="1714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6835" cy="171450"/>
                    </a:xfrm>
                    <a:prstGeom prst="rect">
                      <a:avLst/>
                    </a:prstGeom>
                    <a:noFill/>
                  </pic:spPr>
                </pic:pic>
              </a:graphicData>
            </a:graphic>
          </wp:anchor>
        </w:drawing>
      </w:r>
    </w:p>
    <w:p>
      <w:pPr>
        <w:spacing w:after="0" w:line="168" w:lineRule="exact"/>
        <w:rPr>
          <w:sz w:val="20"/>
          <w:szCs w:val="20"/>
          <w:color w:val="auto"/>
        </w:rPr>
      </w:pPr>
    </w:p>
    <w:p>
      <w:pPr>
        <w:jc w:val="both"/>
        <w:ind w:left="380"/>
        <w:spacing w:after="0" w:line="261" w:lineRule="auto"/>
        <w:rPr>
          <w:sz w:val="20"/>
          <w:szCs w:val="20"/>
          <w:color w:val="auto"/>
        </w:rPr>
      </w:pPr>
      <w:r>
        <w:rPr>
          <w:rFonts w:ascii="Arial" w:cs="Arial" w:eastAsia="Arial" w:hAnsi="Arial"/>
          <w:sz w:val="18"/>
          <w:szCs w:val="18"/>
          <w:color w:val="auto"/>
        </w:rPr>
        <w:t>Certain share-based equity awards were excluded from the computation of dilutive loss per share because inclusion of these awards would have had an anti-dilutive effect.</w:t>
      </w:r>
    </w:p>
    <w:p>
      <w:pPr>
        <w:spacing w:after="0" w:line="139" w:lineRule="exact"/>
        <w:rPr>
          <w:sz w:val="20"/>
          <w:szCs w:val="20"/>
          <w:color w:val="auto"/>
        </w:rPr>
      </w:pPr>
    </w:p>
    <w:p>
      <w:pPr>
        <w:ind w:left="380" w:hanging="372"/>
        <w:spacing w:after="0"/>
        <w:tabs>
          <w:tab w:leader="none" w:pos="38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34" w:lineRule="exact"/>
        <w:rPr>
          <w:rFonts w:ascii="Arial" w:cs="Arial" w:eastAsia="Arial" w:hAnsi="Arial"/>
          <w:sz w:val="18"/>
          <w:szCs w:val="18"/>
          <w:b w:val="1"/>
          <w:bCs w:val="1"/>
          <w:color w:val="auto"/>
        </w:rPr>
      </w:pPr>
    </w:p>
    <w:p>
      <w:pPr>
        <w:jc w:val="both"/>
        <w:ind w:left="380"/>
        <w:spacing w:after="0" w:line="253" w:lineRule="auto"/>
        <w:rPr>
          <w:rFonts w:ascii="Arial" w:cs="Arial" w:eastAsia="Arial" w:hAnsi="Arial"/>
          <w:sz w:val="18"/>
          <w:szCs w:val="18"/>
          <w:b w:val="1"/>
          <w:bCs w:val="1"/>
          <w:color w:val="auto"/>
        </w:rPr>
      </w:pPr>
      <w:r>
        <w:rPr>
          <w:rFonts w:ascii="Arial" w:cs="Arial" w:eastAsia="Arial" w:hAnsi="Arial"/>
          <w:sz w:val="17"/>
          <w:szCs w:val="17"/>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and senior management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w:t>
      </w:r>
    </w:p>
    <w:p>
      <w:pPr>
        <w:spacing w:after="0" w:line="98" w:lineRule="exact"/>
        <w:rPr>
          <w:rFonts w:ascii="Arial" w:cs="Arial" w:eastAsia="Arial" w:hAnsi="Arial"/>
          <w:sz w:val="18"/>
          <w:szCs w:val="18"/>
          <w:b w:val="1"/>
          <w:bCs w:val="1"/>
          <w:color w:val="auto"/>
        </w:rPr>
      </w:pPr>
    </w:p>
    <w:p>
      <w:pPr>
        <w:jc w:val="both"/>
        <w:ind w:left="380"/>
        <w:spacing w:after="0" w:line="237" w:lineRule="auto"/>
        <w:rPr>
          <w:rFonts w:ascii="Arial" w:cs="Arial" w:eastAsia="Arial" w:hAnsi="Arial"/>
          <w:sz w:val="18"/>
          <w:szCs w:val="18"/>
          <w:b w:val="1"/>
          <w:bCs w:val="1"/>
          <w:color w:val="auto"/>
        </w:rPr>
      </w:pPr>
      <w:r>
        <w:rPr>
          <w:rFonts w:ascii="Arial" w:cs="Arial" w:eastAsia="Arial" w:hAnsi="Arial"/>
          <w:sz w:val="18"/>
          <w:szCs w:val="18"/>
          <w:color w:val="auto"/>
        </w:rPr>
        <w:t>Additionally, the Company may be contingently liable with respect to other claims incidental to the ordinary course of its operations. In the opinion of management, and based on management's consultation with legal counsel, the ultimate outcome of such other matters will not have a materially adverse effect on the Company. Accordingly, other than as delineated in Footnote 9 above, the Company has not accrued in its condensed interim consolidated financial statements any liabilities related to any pending claims or indemnification arrangements for losses, if any, which might result from the ultimate disposition of these matters should they arise.</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15" w:name="page16"/>
    <w:bookmarkEnd w:id="15"/>
    <w:p>
      <w:pPr>
        <w:ind w:left="380" w:right="5340" w:hanging="372"/>
        <w:spacing w:after="0" w:line="408" w:lineRule="auto"/>
        <w:tabs>
          <w:tab w:leader="none" w:pos="38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FINANCIAL INSTRUMENTS AND FAIR VALUE MEASUREMENTS </w:t>
      </w:r>
      <w:r>
        <w:rPr>
          <w:rFonts w:ascii="Arial" w:cs="Arial" w:eastAsia="Arial" w:hAnsi="Arial"/>
          <w:sz w:val="18"/>
          <w:szCs w:val="18"/>
          <w:i w:val="1"/>
          <w:iCs w:val="1"/>
          <w:u w:val="single" w:color="auto"/>
          <w:color w:val="auto"/>
        </w:rPr>
        <w:t>Fair Value Measurements</w:t>
      </w:r>
    </w:p>
    <w:p>
      <w:pPr>
        <w:spacing w:after="0" w:line="1"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presents the Company’s financial instruments that are measured at fair value on a recurring basis:</w:t>
      </w:r>
    </w:p>
    <w:p>
      <w:pPr>
        <w:spacing w:after="0" w:line="207"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558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1</w:t>
            </w:r>
          </w:p>
        </w:tc>
        <w:tc>
          <w:tcPr>
            <w:tcW w:w="3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2</w:t>
            </w:r>
          </w:p>
        </w:tc>
        <w:tc>
          <w:tcPr>
            <w:tcW w:w="3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Level 3</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Total</w:t>
            </w:r>
          </w:p>
        </w:tc>
      </w:tr>
      <w:tr>
        <w:trPr>
          <w:trHeight w:val="209"/>
        </w:trPr>
        <w:tc>
          <w:tcPr>
            <w:tcW w:w="55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September 30, 2022</w:t>
            </w:r>
          </w:p>
        </w:tc>
        <w:tc>
          <w:tcPr>
            <w:tcW w:w="9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r>
      <w:tr>
        <w:trPr>
          <w:trHeight w:val="216"/>
        </w:trPr>
        <w:tc>
          <w:tcPr>
            <w:tcW w:w="5580" w:type="dxa"/>
            <w:vAlign w:val="bottom"/>
          </w:tcPr>
          <w:p>
            <w:pPr>
              <w:ind w:left="20"/>
              <w:spacing w:after="0"/>
              <w:rPr>
                <w:sz w:val="20"/>
                <w:szCs w:val="20"/>
                <w:color w:val="auto"/>
              </w:rPr>
            </w:pPr>
            <w:r>
              <w:rPr>
                <w:rFonts w:ascii="Arial" w:cs="Arial" w:eastAsia="Arial" w:hAnsi="Arial"/>
                <w:sz w:val="18"/>
                <w:szCs w:val="18"/>
                <w:color w:val="auto"/>
              </w:rPr>
              <w:t>Derivative liability</w:t>
            </w:r>
          </w:p>
        </w:tc>
        <w:tc>
          <w:tcPr>
            <w:tcW w:w="940" w:type="dxa"/>
            <w:vAlign w:val="bottom"/>
          </w:tcPr>
          <w:p>
            <w:pPr>
              <w:jc w:val="right"/>
              <w:ind w:right="730"/>
              <w:spacing w:after="0"/>
              <w:rPr>
                <w:sz w:val="20"/>
                <w:szCs w:val="20"/>
                <w:color w:val="auto"/>
              </w:rPr>
            </w:pPr>
            <w:r>
              <w:rPr>
                <w:rFonts w:ascii="Arial" w:cs="Arial" w:eastAsia="Arial" w:hAnsi="Arial"/>
                <w:sz w:val="18"/>
                <w:szCs w:val="18"/>
                <w:color w:val="auto"/>
                <w:w w:val="99"/>
              </w:rPr>
              <w:t>$</w:t>
            </w:r>
          </w:p>
        </w:tc>
        <w:tc>
          <w:tcPr>
            <w:tcW w:w="380" w:type="dxa"/>
            <w:vAlign w:val="bottom"/>
          </w:tcPr>
          <w:p>
            <w:pPr>
              <w:ind w:left="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730"/>
              <w:spacing w:after="0"/>
              <w:rPr>
                <w:sz w:val="20"/>
                <w:szCs w:val="20"/>
                <w:color w:val="auto"/>
              </w:rPr>
            </w:pPr>
            <w:r>
              <w:rPr>
                <w:rFonts w:ascii="Arial" w:cs="Arial" w:eastAsia="Arial" w:hAnsi="Arial"/>
                <w:sz w:val="18"/>
                <w:szCs w:val="18"/>
                <w:color w:val="auto"/>
              </w:rPr>
              <w:t>$</w:t>
            </w:r>
          </w:p>
        </w:tc>
        <w:tc>
          <w:tcPr>
            <w:tcW w:w="360" w:type="dxa"/>
            <w:vAlign w:val="bottom"/>
          </w:tcPr>
          <w:p>
            <w:pPr>
              <w:ind w:left="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(855 )</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(855 )</w:t>
            </w:r>
          </w:p>
        </w:tc>
      </w:tr>
      <w:tr>
        <w:trPr>
          <w:trHeight w:val="216"/>
        </w:trPr>
        <w:tc>
          <w:tcPr>
            <w:tcW w:w="5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Contingent consideration</w:t>
            </w:r>
          </w:p>
        </w:tc>
        <w:tc>
          <w:tcPr>
            <w:tcW w:w="940" w:type="dxa"/>
            <w:vAlign w:val="bottom"/>
            <w:tcBorders>
              <w:bottom w:val="single" w:sz="8" w:color="auto"/>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09"/>
        </w:trPr>
        <w:tc>
          <w:tcPr>
            <w:tcW w:w="5580" w:type="dxa"/>
            <w:vAlign w:val="bottom"/>
          </w:tcPr>
          <w:p>
            <w:pPr>
              <w:spacing w:after="0"/>
              <w:rPr>
                <w:sz w:val="18"/>
                <w:szCs w:val="18"/>
                <w:color w:val="auto"/>
              </w:rPr>
            </w:pPr>
          </w:p>
        </w:tc>
        <w:tc>
          <w:tcPr>
            <w:tcW w:w="940" w:type="dxa"/>
            <w:vAlign w:val="bottom"/>
          </w:tcPr>
          <w:p>
            <w:pPr>
              <w:jc w:val="right"/>
              <w:ind w:right="730"/>
              <w:spacing w:after="0"/>
              <w:rPr>
                <w:sz w:val="20"/>
                <w:szCs w:val="20"/>
                <w:color w:val="auto"/>
              </w:rPr>
            </w:pPr>
            <w:r>
              <w:rPr>
                <w:rFonts w:ascii="Arial" w:cs="Arial" w:eastAsia="Arial" w:hAnsi="Arial"/>
                <w:sz w:val="18"/>
                <w:szCs w:val="18"/>
                <w:color w:val="auto"/>
                <w:w w:val="99"/>
              </w:rPr>
              <w:t>$</w:t>
            </w:r>
          </w:p>
        </w:tc>
        <w:tc>
          <w:tcPr>
            <w:tcW w:w="380" w:type="dxa"/>
            <w:vAlign w:val="bottom"/>
          </w:tcPr>
          <w:p>
            <w:pPr>
              <w:ind w:left="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730"/>
              <w:spacing w:after="0"/>
              <w:rPr>
                <w:sz w:val="20"/>
                <w:szCs w:val="20"/>
                <w:color w:val="auto"/>
              </w:rPr>
            </w:pPr>
            <w:r>
              <w:rPr>
                <w:rFonts w:ascii="Arial" w:cs="Arial" w:eastAsia="Arial" w:hAnsi="Arial"/>
                <w:sz w:val="18"/>
                <w:szCs w:val="18"/>
                <w:color w:val="auto"/>
              </w:rPr>
              <w:t>$</w:t>
            </w:r>
          </w:p>
        </w:tc>
        <w:tc>
          <w:tcPr>
            <w:tcW w:w="360" w:type="dxa"/>
            <w:vAlign w:val="bottom"/>
          </w:tcPr>
          <w:p>
            <w:pPr>
              <w:ind w:left="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(855 )</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(855 )</w:t>
            </w:r>
          </w:p>
        </w:tc>
      </w:tr>
      <w:tr>
        <w:trPr>
          <w:trHeight w:val="20"/>
        </w:trPr>
        <w:tc>
          <w:tcPr>
            <w:tcW w:w="55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55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r>
      <w:tr>
        <w:trPr>
          <w:trHeight w:val="216"/>
        </w:trPr>
        <w:tc>
          <w:tcPr>
            <w:tcW w:w="5580" w:type="dxa"/>
            <w:vAlign w:val="bottom"/>
          </w:tcPr>
          <w:p>
            <w:pPr>
              <w:ind w:left="20"/>
              <w:spacing w:after="0"/>
              <w:rPr>
                <w:sz w:val="20"/>
                <w:szCs w:val="20"/>
                <w:color w:val="auto"/>
              </w:rPr>
            </w:pPr>
            <w:r>
              <w:rPr>
                <w:rFonts w:ascii="Arial" w:cs="Arial" w:eastAsia="Arial" w:hAnsi="Arial"/>
                <w:sz w:val="18"/>
                <w:szCs w:val="18"/>
                <w:b w:val="1"/>
                <w:bCs w:val="1"/>
                <w:color w:val="auto"/>
              </w:rPr>
              <w:t>December 31, 2021</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5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Derivative liability</w:t>
            </w:r>
          </w:p>
        </w:tc>
        <w:tc>
          <w:tcPr>
            <w:tcW w:w="940" w:type="dxa"/>
            <w:vAlign w:val="bottom"/>
            <w:shd w:val="clear" w:color="auto" w:fill="CFF0FC"/>
          </w:tcPr>
          <w:p>
            <w:pPr>
              <w:jc w:val="right"/>
              <w:ind w:right="730"/>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73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(6,795 )</w:t>
            </w:r>
          </w:p>
        </w:tc>
        <w:tc>
          <w:tcPr>
            <w:tcW w:w="3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(6,795 )</w:t>
            </w:r>
          </w:p>
        </w:tc>
      </w:tr>
      <w:tr>
        <w:trPr>
          <w:trHeight w:val="216"/>
        </w:trPr>
        <w:tc>
          <w:tcPr>
            <w:tcW w:w="5580" w:type="dxa"/>
            <w:vAlign w:val="bottom"/>
          </w:tcPr>
          <w:p>
            <w:pPr>
              <w:ind w:left="20"/>
              <w:spacing w:after="0"/>
              <w:rPr>
                <w:sz w:val="20"/>
                <w:szCs w:val="20"/>
                <w:color w:val="auto"/>
              </w:rPr>
            </w:pPr>
            <w:r>
              <w:rPr>
                <w:rFonts w:ascii="Arial" w:cs="Arial" w:eastAsia="Arial" w:hAnsi="Arial"/>
                <w:sz w:val="18"/>
                <w:szCs w:val="18"/>
                <w:color w:val="auto"/>
              </w:rPr>
              <w:t>Contingent consideration</w:t>
            </w:r>
          </w:p>
        </w:tc>
        <w:tc>
          <w:tcPr>
            <w:tcW w:w="9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(40,941 )</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(40,941 )</w:t>
            </w:r>
          </w:p>
        </w:tc>
      </w:tr>
      <w:tr>
        <w:trPr>
          <w:trHeight w:val="249"/>
        </w:trPr>
        <w:tc>
          <w:tcPr>
            <w:tcW w:w="558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73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73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(47,736 )</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(47,736 )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4568825</wp:posOffset>
            </wp:positionH>
            <wp:positionV relativeFrom="paragraph">
              <wp:posOffset>-889635</wp:posOffset>
            </wp:positionV>
            <wp:extent cx="85725" cy="1714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-889635</wp:posOffset>
            </wp:positionV>
            <wp:extent cx="76835" cy="1714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6306820</wp:posOffset>
            </wp:positionH>
            <wp:positionV relativeFrom="paragraph">
              <wp:posOffset>-889635</wp:posOffset>
            </wp:positionV>
            <wp:extent cx="76835" cy="1714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4568825</wp:posOffset>
            </wp:positionH>
            <wp:positionV relativeFrom="paragraph">
              <wp:posOffset>-24765</wp:posOffset>
            </wp:positionV>
            <wp:extent cx="857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4568825</wp:posOffset>
            </wp:positionH>
            <wp:positionV relativeFrom="paragraph">
              <wp:posOffset>-7620</wp:posOffset>
            </wp:positionV>
            <wp:extent cx="857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-24765</wp:posOffset>
            </wp:positionV>
            <wp:extent cx="768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-7620</wp:posOffset>
            </wp:positionV>
            <wp:extent cx="768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6306820</wp:posOffset>
            </wp:positionH>
            <wp:positionV relativeFrom="paragraph">
              <wp:posOffset>-24765</wp:posOffset>
            </wp:positionV>
            <wp:extent cx="768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6306820</wp:posOffset>
            </wp:positionH>
            <wp:positionV relativeFrom="paragraph">
              <wp:posOffset>-7620</wp:posOffset>
            </wp:positionV>
            <wp:extent cx="768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6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During the period included in these financial statements, there were no transfers of amounts between levels.</w:t>
      </w:r>
    </w:p>
    <w:p>
      <w:pPr>
        <w:spacing w:after="0" w:line="14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summarizes the valuation techniques and key inputs used in the fair value measurement of Level 3 financial instruments:</w:t>
      </w:r>
    </w:p>
    <w:p>
      <w:pPr>
        <w:spacing w:after="0" w:line="217" w:lineRule="exact"/>
        <w:rPr>
          <w:sz w:val="20"/>
          <w:szCs w:val="20"/>
          <w:color w:val="auto"/>
        </w:rPr>
      </w:pPr>
    </w:p>
    <w:tbl>
      <w:tblPr>
        <w:tblLayout w:type="fixed"/>
        <w:tblInd w:w="430" w:type="dxa"/>
        <w:tblCellMar>
          <w:top w:w="0" w:type="dxa"/>
          <w:left w:w="0" w:type="dxa"/>
          <w:bottom w:w="0" w:type="dxa"/>
          <w:right w:w="0" w:type="dxa"/>
        </w:tblCellMar>
      </w:tblPr>
      <w:tr>
        <w:trPr>
          <w:trHeight w:val="184"/>
        </w:trPr>
        <w:tc>
          <w:tcPr>
            <w:tcW w:w="2880" w:type="dxa"/>
            <w:vAlign w:val="bottom"/>
            <w:tcBorders>
              <w:top w:val="single" w:sz="8" w:color="auto"/>
              <w:left w:val="single" w:sz="8" w:color="auto"/>
              <w:right w:val="single" w:sz="8" w:color="auto"/>
            </w:tcBorders>
          </w:tcPr>
          <w:p>
            <w:pPr>
              <w:ind w:left="100"/>
              <w:spacing w:after="0" w:line="184" w:lineRule="exact"/>
              <w:rPr>
                <w:sz w:val="20"/>
                <w:szCs w:val="20"/>
                <w:color w:val="auto"/>
              </w:rPr>
            </w:pPr>
            <w:r>
              <w:rPr>
                <w:rFonts w:ascii="Arial" w:cs="Arial" w:eastAsia="Arial" w:hAnsi="Arial"/>
                <w:sz w:val="18"/>
                <w:szCs w:val="18"/>
                <w:b w:val="1"/>
                <w:bCs w:val="1"/>
                <w:color w:val="auto"/>
              </w:rPr>
              <w:t>Financial asset/financial</w:t>
            </w:r>
          </w:p>
        </w:tc>
        <w:tc>
          <w:tcPr>
            <w:tcW w:w="2240" w:type="dxa"/>
            <w:vAlign w:val="bottom"/>
            <w:tcBorders>
              <w:top w:val="single" w:sz="8" w:color="auto"/>
              <w:right w:val="single" w:sz="8" w:color="auto"/>
            </w:tcBorders>
          </w:tcPr>
          <w:p>
            <w:pPr>
              <w:spacing w:after="0"/>
              <w:rPr>
                <w:sz w:val="15"/>
                <w:szCs w:val="15"/>
                <w:color w:val="auto"/>
              </w:rPr>
            </w:pPr>
          </w:p>
        </w:tc>
        <w:tc>
          <w:tcPr>
            <w:tcW w:w="2520" w:type="dxa"/>
            <w:vAlign w:val="bottom"/>
            <w:tcBorders>
              <w:top w:val="single" w:sz="8" w:color="auto"/>
              <w:right w:val="single" w:sz="8" w:color="auto"/>
            </w:tcBorders>
          </w:tcPr>
          <w:p>
            <w:pPr>
              <w:ind w:left="100"/>
              <w:spacing w:after="0" w:line="184" w:lineRule="exact"/>
              <w:rPr>
                <w:sz w:val="20"/>
                <w:szCs w:val="20"/>
                <w:color w:val="auto"/>
              </w:rPr>
            </w:pPr>
            <w:r>
              <w:rPr>
                <w:rFonts w:ascii="Arial" w:cs="Arial" w:eastAsia="Arial" w:hAnsi="Arial"/>
                <w:sz w:val="18"/>
                <w:szCs w:val="18"/>
                <w:b w:val="1"/>
                <w:bCs w:val="1"/>
                <w:color w:val="auto"/>
              </w:rPr>
              <w:t>Significant unobservable</w:t>
            </w:r>
          </w:p>
        </w:tc>
        <w:tc>
          <w:tcPr>
            <w:tcW w:w="3180" w:type="dxa"/>
            <w:vAlign w:val="bottom"/>
            <w:tcBorders>
              <w:top w:val="single" w:sz="8" w:color="auto"/>
              <w:right w:val="single" w:sz="8" w:color="auto"/>
            </w:tcBorders>
          </w:tcPr>
          <w:p>
            <w:pPr>
              <w:ind w:left="100"/>
              <w:spacing w:after="0" w:line="184" w:lineRule="exact"/>
              <w:rPr>
                <w:sz w:val="20"/>
                <w:szCs w:val="20"/>
                <w:color w:val="auto"/>
              </w:rPr>
            </w:pPr>
            <w:r>
              <w:rPr>
                <w:rFonts w:ascii="Arial" w:cs="Arial" w:eastAsia="Arial" w:hAnsi="Arial"/>
                <w:sz w:val="18"/>
                <w:szCs w:val="18"/>
                <w:b w:val="1"/>
                <w:bCs w:val="1"/>
                <w:color w:val="auto"/>
              </w:rPr>
              <w:t>Relationship of unobservable</w:t>
            </w:r>
          </w:p>
        </w:tc>
      </w:tr>
      <w:tr>
        <w:trPr>
          <w:trHeight w:val="234"/>
        </w:trPr>
        <w:tc>
          <w:tcPr>
            <w:tcW w:w="28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liability</w:t>
            </w:r>
          </w:p>
        </w:tc>
        <w:tc>
          <w:tcPr>
            <w:tcW w:w="22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Valuation techniques</w:t>
            </w:r>
          </w:p>
        </w:tc>
        <w:tc>
          <w:tcPr>
            <w:tcW w:w="2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inputs</w:t>
            </w:r>
          </w:p>
        </w:tc>
        <w:tc>
          <w:tcPr>
            <w:tcW w:w="31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inputs to fair value</w:t>
            </w:r>
          </w:p>
        </w:tc>
      </w:tr>
      <w:tr>
        <w:trPr>
          <w:trHeight w:val="168"/>
        </w:trPr>
        <w:tc>
          <w:tcPr>
            <w:tcW w:w="2880" w:type="dxa"/>
            <w:vAlign w:val="bottom"/>
            <w:tcBorders>
              <w:left w:val="single" w:sz="8" w:color="auto"/>
              <w:right w:val="single" w:sz="8" w:color="auto"/>
            </w:tcBorders>
            <w:shd w:val="clear" w:color="auto" w:fill="CFF0FC"/>
          </w:tcPr>
          <w:p>
            <w:pPr>
              <w:ind w:left="100"/>
              <w:spacing w:after="0" w:line="168" w:lineRule="exact"/>
              <w:rPr>
                <w:sz w:val="20"/>
                <w:szCs w:val="20"/>
                <w:color w:val="auto"/>
              </w:rPr>
            </w:pPr>
            <w:r>
              <w:rPr>
                <w:rFonts w:ascii="Arial" w:cs="Arial" w:eastAsia="Arial" w:hAnsi="Arial"/>
                <w:sz w:val="18"/>
                <w:szCs w:val="18"/>
                <w:color w:val="auto"/>
              </w:rPr>
              <w:t>Derivative liability</w:t>
            </w:r>
          </w:p>
        </w:tc>
        <w:tc>
          <w:tcPr>
            <w:tcW w:w="2240" w:type="dxa"/>
            <w:vAlign w:val="bottom"/>
            <w:tcBorders>
              <w:right w:val="single" w:sz="8" w:color="auto"/>
            </w:tcBorders>
            <w:shd w:val="clear" w:color="auto" w:fill="CFF0FC"/>
          </w:tcPr>
          <w:p>
            <w:pPr>
              <w:ind w:left="80"/>
              <w:spacing w:after="0" w:line="168" w:lineRule="exact"/>
              <w:rPr>
                <w:sz w:val="20"/>
                <w:szCs w:val="20"/>
                <w:color w:val="auto"/>
              </w:rPr>
            </w:pPr>
            <w:r>
              <w:rPr>
                <w:rFonts w:ascii="Arial" w:cs="Arial" w:eastAsia="Arial" w:hAnsi="Arial"/>
                <w:sz w:val="18"/>
                <w:szCs w:val="18"/>
                <w:color w:val="auto"/>
              </w:rPr>
              <w:t>Market approach</w:t>
            </w:r>
          </w:p>
        </w:tc>
        <w:tc>
          <w:tcPr>
            <w:tcW w:w="2520" w:type="dxa"/>
            <w:vAlign w:val="bottom"/>
            <w:tcBorders>
              <w:right w:val="single" w:sz="8" w:color="auto"/>
            </w:tcBorders>
            <w:shd w:val="clear" w:color="auto" w:fill="CFF0FC"/>
          </w:tcPr>
          <w:p>
            <w:pPr>
              <w:ind w:left="100"/>
              <w:spacing w:after="0" w:line="168" w:lineRule="exact"/>
              <w:rPr>
                <w:sz w:val="20"/>
                <w:szCs w:val="20"/>
                <w:color w:val="auto"/>
              </w:rPr>
            </w:pPr>
            <w:r>
              <w:rPr>
                <w:rFonts w:ascii="Arial" w:cs="Arial" w:eastAsia="Arial" w:hAnsi="Arial"/>
                <w:sz w:val="18"/>
                <w:szCs w:val="18"/>
                <w:color w:val="auto"/>
              </w:rPr>
              <w:t>Conversion Period</w:t>
            </w:r>
          </w:p>
        </w:tc>
        <w:tc>
          <w:tcPr>
            <w:tcW w:w="3180" w:type="dxa"/>
            <w:vAlign w:val="bottom"/>
            <w:tcBorders>
              <w:right w:val="single" w:sz="8" w:color="auto"/>
            </w:tcBorders>
            <w:shd w:val="clear" w:color="auto" w:fill="CFF0FC"/>
          </w:tcPr>
          <w:p>
            <w:pPr>
              <w:ind w:left="100"/>
              <w:spacing w:after="0" w:line="168" w:lineRule="exact"/>
              <w:rPr>
                <w:sz w:val="20"/>
                <w:szCs w:val="20"/>
                <w:color w:val="auto"/>
              </w:rPr>
            </w:pPr>
            <w:r>
              <w:rPr>
                <w:rFonts w:ascii="Arial" w:cs="Arial" w:eastAsia="Arial" w:hAnsi="Arial"/>
                <w:sz w:val="18"/>
                <w:szCs w:val="18"/>
                <w:color w:val="auto"/>
                <w:w w:val="90"/>
              </w:rPr>
              <w:t>Increase or decrease in conversion period</w:t>
            </w:r>
          </w:p>
        </w:tc>
      </w:tr>
      <w:tr>
        <w:trPr>
          <w:trHeight w:val="189"/>
        </w:trPr>
        <w:tc>
          <w:tcPr>
            <w:tcW w:w="2880" w:type="dxa"/>
            <w:vAlign w:val="bottom"/>
            <w:tcBorders>
              <w:left w:val="single" w:sz="8" w:color="auto"/>
              <w:right w:val="single" w:sz="8" w:color="auto"/>
            </w:tcBorders>
            <w:shd w:val="clear" w:color="auto" w:fill="CFF0FC"/>
          </w:tcPr>
          <w:p>
            <w:pPr>
              <w:spacing w:after="0"/>
              <w:rPr>
                <w:sz w:val="16"/>
                <w:szCs w:val="16"/>
                <w:color w:val="auto"/>
              </w:rPr>
            </w:pPr>
          </w:p>
        </w:tc>
        <w:tc>
          <w:tcPr>
            <w:tcW w:w="2240" w:type="dxa"/>
            <w:vAlign w:val="bottom"/>
            <w:tcBorders>
              <w:right w:val="single" w:sz="8" w:color="auto"/>
            </w:tcBorders>
            <w:shd w:val="clear" w:color="auto" w:fill="CFF0FC"/>
          </w:tcPr>
          <w:p>
            <w:pPr>
              <w:spacing w:after="0"/>
              <w:rPr>
                <w:sz w:val="16"/>
                <w:szCs w:val="16"/>
                <w:color w:val="auto"/>
              </w:rPr>
            </w:pPr>
          </w:p>
        </w:tc>
        <w:tc>
          <w:tcPr>
            <w:tcW w:w="2520" w:type="dxa"/>
            <w:vAlign w:val="bottom"/>
            <w:tcBorders>
              <w:right w:val="single" w:sz="8" w:color="auto"/>
            </w:tcBorders>
            <w:shd w:val="clear" w:color="auto" w:fill="CFF0FC"/>
          </w:tcPr>
          <w:p>
            <w:pPr>
              <w:spacing w:after="0"/>
              <w:rPr>
                <w:sz w:val="16"/>
                <w:szCs w:val="16"/>
                <w:color w:val="auto"/>
              </w:rPr>
            </w:pPr>
          </w:p>
        </w:tc>
        <w:tc>
          <w:tcPr>
            <w:tcW w:w="3180" w:type="dxa"/>
            <w:vAlign w:val="bottom"/>
            <w:tcBorders>
              <w:right w:val="single" w:sz="8" w:color="auto"/>
            </w:tcBorders>
            <w:shd w:val="clear" w:color="auto" w:fill="CFF0FC"/>
          </w:tcPr>
          <w:p>
            <w:pPr>
              <w:ind w:left="100"/>
              <w:spacing w:after="0" w:line="189" w:lineRule="exact"/>
              <w:rPr>
                <w:sz w:val="20"/>
                <w:szCs w:val="20"/>
                <w:color w:val="auto"/>
              </w:rPr>
            </w:pPr>
            <w:r>
              <w:rPr>
                <w:rFonts w:ascii="Arial" w:cs="Arial" w:eastAsia="Arial" w:hAnsi="Arial"/>
                <w:sz w:val="18"/>
                <w:szCs w:val="18"/>
                <w:color w:val="auto"/>
                <w:w w:val="98"/>
              </w:rPr>
              <w:t>will result in an increase or decrease in</w:t>
            </w:r>
          </w:p>
        </w:tc>
      </w:tr>
      <w:tr>
        <w:trPr>
          <w:trHeight w:val="230"/>
        </w:trPr>
        <w:tc>
          <w:tcPr>
            <w:tcW w:w="2880" w:type="dxa"/>
            <w:vAlign w:val="bottom"/>
            <w:tcBorders>
              <w:left w:val="single" w:sz="8" w:color="auto"/>
              <w:bottom w:val="single" w:sz="8" w:color="auto"/>
              <w:right w:val="single" w:sz="8" w:color="auto"/>
            </w:tcBorders>
            <w:shd w:val="clear" w:color="auto" w:fill="CFF0FC"/>
          </w:tcPr>
          <w:p>
            <w:pPr>
              <w:spacing w:after="0"/>
              <w:rPr>
                <w:sz w:val="20"/>
                <w:szCs w:val="20"/>
                <w:color w:val="auto"/>
              </w:rPr>
            </w:pPr>
          </w:p>
        </w:tc>
        <w:tc>
          <w:tcPr>
            <w:tcW w:w="2240" w:type="dxa"/>
            <w:vAlign w:val="bottom"/>
            <w:tcBorders>
              <w:bottom w:val="single" w:sz="8" w:color="auto"/>
              <w:right w:val="single" w:sz="8" w:color="auto"/>
            </w:tcBorders>
            <w:shd w:val="clear" w:color="auto" w:fill="CFF0FC"/>
          </w:tcPr>
          <w:p>
            <w:pPr>
              <w:spacing w:after="0"/>
              <w:rPr>
                <w:sz w:val="20"/>
                <w:szCs w:val="20"/>
                <w:color w:val="auto"/>
              </w:rPr>
            </w:pPr>
          </w:p>
        </w:tc>
        <w:tc>
          <w:tcPr>
            <w:tcW w:w="2520" w:type="dxa"/>
            <w:vAlign w:val="bottom"/>
            <w:tcBorders>
              <w:bottom w:val="single" w:sz="8" w:color="auto"/>
              <w:right w:val="single" w:sz="8" w:color="auto"/>
            </w:tcBorders>
            <w:shd w:val="clear" w:color="auto" w:fill="CFF0FC"/>
          </w:tcPr>
          <w:p>
            <w:pPr>
              <w:spacing w:after="0"/>
              <w:rPr>
                <w:sz w:val="20"/>
                <w:szCs w:val="20"/>
                <w:color w:val="auto"/>
              </w:rPr>
            </w:pPr>
          </w:p>
        </w:tc>
        <w:tc>
          <w:tcPr>
            <w:tcW w:w="3180" w:type="dxa"/>
            <w:vAlign w:val="bottom"/>
            <w:tcBorders>
              <w:bottom w:val="single" w:sz="8" w:color="auto"/>
              <w:right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rPr>
              <w:t>fair value</w:t>
            </w:r>
          </w:p>
        </w:tc>
      </w:tr>
      <w:tr>
        <w:trPr>
          <w:trHeight w:val="168"/>
        </w:trPr>
        <w:tc>
          <w:tcPr>
            <w:tcW w:w="2880" w:type="dxa"/>
            <w:vAlign w:val="bottom"/>
            <w:tcBorders>
              <w:left w:val="single" w:sz="8" w:color="auto"/>
              <w:right w:val="single" w:sz="8" w:color="auto"/>
            </w:tcBorders>
          </w:tcPr>
          <w:p>
            <w:pPr>
              <w:ind w:left="100"/>
              <w:spacing w:after="0" w:line="168" w:lineRule="exact"/>
              <w:rPr>
                <w:sz w:val="20"/>
                <w:szCs w:val="20"/>
                <w:color w:val="auto"/>
              </w:rPr>
            </w:pPr>
            <w:r>
              <w:rPr>
                <w:rFonts w:ascii="Arial" w:cs="Arial" w:eastAsia="Arial" w:hAnsi="Arial"/>
                <w:sz w:val="18"/>
                <w:szCs w:val="18"/>
                <w:color w:val="auto"/>
              </w:rPr>
              <w:t>Contingent Consideration</w:t>
            </w:r>
          </w:p>
        </w:tc>
        <w:tc>
          <w:tcPr>
            <w:tcW w:w="2240" w:type="dxa"/>
            <w:vAlign w:val="bottom"/>
            <w:tcBorders>
              <w:right w:val="single" w:sz="8" w:color="auto"/>
            </w:tcBorders>
          </w:tcPr>
          <w:p>
            <w:pPr>
              <w:ind w:left="80"/>
              <w:spacing w:after="0" w:line="168" w:lineRule="exact"/>
              <w:rPr>
                <w:sz w:val="20"/>
                <w:szCs w:val="20"/>
                <w:color w:val="auto"/>
              </w:rPr>
            </w:pPr>
            <w:r>
              <w:rPr>
                <w:rFonts w:ascii="Arial" w:cs="Arial" w:eastAsia="Arial" w:hAnsi="Arial"/>
                <w:sz w:val="18"/>
                <w:szCs w:val="18"/>
                <w:color w:val="auto"/>
              </w:rPr>
              <w:t>Discounted cash flow</w:t>
            </w:r>
          </w:p>
        </w:tc>
        <w:tc>
          <w:tcPr>
            <w:tcW w:w="2520" w:type="dxa"/>
            <w:vAlign w:val="bottom"/>
            <w:tcBorders>
              <w:right w:val="single" w:sz="8" w:color="auto"/>
            </w:tcBorders>
          </w:tcPr>
          <w:p>
            <w:pPr>
              <w:ind w:left="100"/>
              <w:spacing w:after="0" w:line="168" w:lineRule="exact"/>
              <w:rPr>
                <w:sz w:val="20"/>
                <w:szCs w:val="20"/>
                <w:color w:val="auto"/>
              </w:rPr>
            </w:pPr>
            <w:r>
              <w:rPr>
                <w:rFonts w:ascii="Arial" w:cs="Arial" w:eastAsia="Arial" w:hAnsi="Arial"/>
                <w:sz w:val="18"/>
                <w:szCs w:val="18"/>
                <w:color w:val="auto"/>
                <w:w w:val="94"/>
              </w:rPr>
              <w:t>Risk adjusted discount rate and</w:t>
            </w:r>
          </w:p>
        </w:tc>
        <w:tc>
          <w:tcPr>
            <w:tcW w:w="3180" w:type="dxa"/>
            <w:vAlign w:val="bottom"/>
            <w:tcBorders>
              <w:right w:val="single" w:sz="8" w:color="auto"/>
            </w:tcBorders>
          </w:tcPr>
          <w:p>
            <w:pPr>
              <w:ind w:left="100"/>
              <w:spacing w:after="0" w:line="168" w:lineRule="exact"/>
              <w:rPr>
                <w:sz w:val="20"/>
                <w:szCs w:val="20"/>
                <w:color w:val="auto"/>
              </w:rPr>
            </w:pPr>
            <w:r>
              <w:rPr>
                <w:rFonts w:ascii="Arial" w:cs="Arial" w:eastAsia="Arial" w:hAnsi="Arial"/>
                <w:sz w:val="18"/>
                <w:szCs w:val="18"/>
                <w:color w:val="auto"/>
              </w:rPr>
              <w:t>Increase or decrease in risk adjusted</w:t>
            </w:r>
          </w:p>
        </w:tc>
      </w:tr>
      <w:tr>
        <w:trPr>
          <w:trHeight w:val="189"/>
        </w:trPr>
        <w:tc>
          <w:tcPr>
            <w:tcW w:w="2880" w:type="dxa"/>
            <w:vAlign w:val="bottom"/>
            <w:tcBorders>
              <w:left w:val="single" w:sz="8" w:color="auto"/>
              <w:right w:val="single" w:sz="8" w:color="auto"/>
            </w:tcBorders>
          </w:tcPr>
          <w:p>
            <w:pPr>
              <w:spacing w:after="0"/>
              <w:rPr>
                <w:sz w:val="16"/>
                <w:szCs w:val="16"/>
                <w:color w:val="auto"/>
              </w:rPr>
            </w:pPr>
          </w:p>
        </w:tc>
        <w:tc>
          <w:tcPr>
            <w:tcW w:w="2240" w:type="dxa"/>
            <w:vAlign w:val="bottom"/>
            <w:tcBorders>
              <w:right w:val="single" w:sz="8" w:color="auto"/>
            </w:tcBorders>
          </w:tcPr>
          <w:p>
            <w:pPr>
              <w:ind w:left="80"/>
              <w:spacing w:after="0" w:line="189" w:lineRule="exact"/>
              <w:rPr>
                <w:sz w:val="20"/>
                <w:szCs w:val="20"/>
                <w:color w:val="auto"/>
              </w:rPr>
            </w:pPr>
            <w:r>
              <w:rPr>
                <w:rFonts w:ascii="Arial" w:cs="Arial" w:eastAsia="Arial" w:hAnsi="Arial"/>
                <w:sz w:val="18"/>
                <w:szCs w:val="18"/>
                <w:color w:val="auto"/>
              </w:rPr>
              <w:t>approach</w:t>
            </w:r>
          </w:p>
        </w:tc>
        <w:tc>
          <w:tcPr>
            <w:tcW w:w="2520" w:type="dxa"/>
            <w:vAlign w:val="bottom"/>
            <w:tcBorders>
              <w:right w:val="single" w:sz="8" w:color="auto"/>
            </w:tcBorders>
          </w:tcPr>
          <w:p>
            <w:pPr>
              <w:ind w:left="100"/>
              <w:spacing w:after="0" w:line="189" w:lineRule="exact"/>
              <w:rPr>
                <w:sz w:val="20"/>
                <w:szCs w:val="20"/>
                <w:color w:val="auto"/>
              </w:rPr>
            </w:pPr>
            <w:r>
              <w:rPr>
                <w:rFonts w:ascii="Arial" w:cs="Arial" w:eastAsia="Arial" w:hAnsi="Arial"/>
                <w:sz w:val="18"/>
                <w:szCs w:val="18"/>
                <w:color w:val="auto"/>
              </w:rPr>
              <w:t>forecasted EBITDA</w:t>
            </w:r>
          </w:p>
        </w:tc>
        <w:tc>
          <w:tcPr>
            <w:tcW w:w="3180" w:type="dxa"/>
            <w:vAlign w:val="bottom"/>
            <w:tcBorders>
              <w:right w:val="single" w:sz="8" w:color="auto"/>
            </w:tcBorders>
          </w:tcPr>
          <w:p>
            <w:pPr>
              <w:ind w:left="100"/>
              <w:spacing w:after="0" w:line="189" w:lineRule="exact"/>
              <w:rPr>
                <w:sz w:val="20"/>
                <w:szCs w:val="20"/>
                <w:color w:val="auto"/>
              </w:rPr>
            </w:pPr>
            <w:r>
              <w:rPr>
                <w:rFonts w:ascii="Arial" w:cs="Arial" w:eastAsia="Arial" w:hAnsi="Arial"/>
                <w:sz w:val="18"/>
                <w:szCs w:val="18"/>
                <w:color w:val="auto"/>
                <w:w w:val="92"/>
              </w:rPr>
              <w:t>discount rate and forecasted EBITDA will</w:t>
            </w:r>
          </w:p>
        </w:tc>
      </w:tr>
      <w:tr>
        <w:trPr>
          <w:trHeight w:val="189"/>
        </w:trPr>
        <w:tc>
          <w:tcPr>
            <w:tcW w:w="2880" w:type="dxa"/>
            <w:vAlign w:val="bottom"/>
            <w:tcBorders>
              <w:left w:val="single" w:sz="8" w:color="auto"/>
              <w:right w:val="single" w:sz="8" w:color="auto"/>
            </w:tcBorders>
          </w:tcPr>
          <w:p>
            <w:pPr>
              <w:spacing w:after="0"/>
              <w:rPr>
                <w:sz w:val="16"/>
                <w:szCs w:val="16"/>
                <w:color w:val="auto"/>
              </w:rPr>
            </w:pPr>
          </w:p>
        </w:tc>
        <w:tc>
          <w:tcPr>
            <w:tcW w:w="2240" w:type="dxa"/>
            <w:vAlign w:val="bottom"/>
            <w:tcBorders>
              <w:right w:val="single" w:sz="8" w:color="auto"/>
            </w:tcBorders>
          </w:tcPr>
          <w:p>
            <w:pPr>
              <w:spacing w:after="0"/>
              <w:rPr>
                <w:sz w:val="16"/>
                <w:szCs w:val="16"/>
                <w:color w:val="auto"/>
              </w:rPr>
            </w:pPr>
          </w:p>
        </w:tc>
        <w:tc>
          <w:tcPr>
            <w:tcW w:w="2520" w:type="dxa"/>
            <w:vAlign w:val="bottom"/>
            <w:tcBorders>
              <w:right w:val="single" w:sz="8" w:color="auto"/>
            </w:tcBorders>
          </w:tcPr>
          <w:p>
            <w:pPr>
              <w:spacing w:after="0"/>
              <w:rPr>
                <w:sz w:val="16"/>
                <w:szCs w:val="16"/>
                <w:color w:val="auto"/>
              </w:rPr>
            </w:pPr>
          </w:p>
        </w:tc>
        <w:tc>
          <w:tcPr>
            <w:tcW w:w="3180" w:type="dxa"/>
            <w:vAlign w:val="bottom"/>
            <w:tcBorders>
              <w:right w:val="single" w:sz="8" w:color="auto"/>
            </w:tcBorders>
          </w:tcPr>
          <w:p>
            <w:pPr>
              <w:ind w:left="100"/>
              <w:spacing w:after="0" w:line="189" w:lineRule="exact"/>
              <w:rPr>
                <w:sz w:val="20"/>
                <w:szCs w:val="20"/>
                <w:color w:val="auto"/>
              </w:rPr>
            </w:pPr>
            <w:r>
              <w:rPr>
                <w:rFonts w:ascii="Arial" w:cs="Arial" w:eastAsia="Arial" w:hAnsi="Arial"/>
                <w:sz w:val="18"/>
                <w:szCs w:val="18"/>
                <w:color w:val="auto"/>
                <w:w w:val="98"/>
              </w:rPr>
              <w:t>result in an increase or decrease in fair</w:t>
            </w:r>
          </w:p>
        </w:tc>
      </w:tr>
      <w:tr>
        <w:trPr>
          <w:trHeight w:val="230"/>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2520" w:type="dxa"/>
            <w:vAlign w:val="bottom"/>
            <w:tcBorders>
              <w:bottom w:val="single" w:sz="8" w:color="auto"/>
              <w:right w:val="single" w:sz="8" w:color="auto"/>
            </w:tcBorders>
          </w:tcPr>
          <w:p>
            <w:pPr>
              <w:spacing w:after="0"/>
              <w:rPr>
                <w:sz w:val="20"/>
                <w:szCs w:val="20"/>
                <w:color w:val="auto"/>
              </w:rPr>
            </w:pPr>
          </w:p>
        </w:tc>
        <w:tc>
          <w:tcPr>
            <w:tcW w:w="31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value</w:t>
            </w:r>
          </w:p>
        </w:tc>
      </w:tr>
    </w:tbl>
    <w:p>
      <w:pPr>
        <w:spacing w:after="0" w:line="188" w:lineRule="exact"/>
        <w:rPr>
          <w:sz w:val="20"/>
          <w:szCs w:val="20"/>
          <w:color w:val="auto"/>
        </w:rPr>
      </w:pPr>
    </w:p>
    <w:p>
      <w:pPr>
        <w:jc w:val="both"/>
        <w:ind w:left="380"/>
        <w:spacing w:after="0" w:line="289" w:lineRule="auto"/>
        <w:rPr>
          <w:sz w:val="20"/>
          <w:szCs w:val="20"/>
          <w:color w:val="auto"/>
        </w:rPr>
      </w:pPr>
      <w:r>
        <w:rPr>
          <w:rFonts w:ascii="Arial" w:cs="Arial" w:eastAsia="Arial" w:hAnsi="Arial"/>
          <w:sz w:val="16"/>
          <w:szCs w:val="16"/>
          <w:color w:val="auto"/>
        </w:rPr>
        <w:t>The carrying amounts of cash and restricted cash, accounts receivable, deposits and other current assets, accounts payable, accrued expenses, and other current liabilities, current portion of long-term debt and lease liability as of September 30, 2022 and December 31, 2021 approximate their fair values because of the short-term nature of these items and are not included in the table above. The Company’s notes receivable, other long-term payables, long-term debt and lease liabilities approximate fair value due to the market rate of interest used on initial recognition.</w:t>
      </w:r>
    </w:p>
    <w:p>
      <w:pPr>
        <w:spacing w:after="0" w:line="85" w:lineRule="exact"/>
        <w:rPr>
          <w:sz w:val="20"/>
          <w:szCs w:val="20"/>
          <w:color w:val="auto"/>
        </w:rPr>
      </w:pPr>
    </w:p>
    <w:p>
      <w:pPr>
        <w:jc w:val="both"/>
        <w:ind w:left="380"/>
        <w:spacing w:after="0" w:line="289" w:lineRule="auto"/>
        <w:rPr>
          <w:sz w:val="20"/>
          <w:szCs w:val="20"/>
          <w:color w:val="auto"/>
        </w:rPr>
      </w:pPr>
      <w:r>
        <w:rPr>
          <w:rFonts w:ascii="Arial" w:cs="Arial" w:eastAsia="Arial" w:hAnsi="Arial"/>
          <w:sz w:val="16"/>
          <w:szCs w:val="16"/>
          <w:color w:val="auto"/>
        </w:rPr>
        <w:t>In addition to the disclosures for assets and liabilities required to be measured at fair value at the balance sheet date, companies are required to disclose the estimated fair values of all financial instruments, even if they are not presented at their fair value on the consolidated balance sheet. The fair values of financial instruments are estimates based upon market conditions and perceived risks as of September 30, 2022 and December 31, 2021. These estimates require management's judgment and may not be indicative of the future fair values of the assets and liabilities.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4" w:right="339" w:bottom="1440" w:gutter="0" w:footer="0" w:header="0"/>
        </w:sectPr>
      </w:pPr>
    </w:p>
    <w:bookmarkStart w:id="16" w:name="page17"/>
    <w:bookmarkEnd w:id="16"/>
    <w:p>
      <w:pPr>
        <w:ind w:left="380" w:right="6840" w:hanging="372"/>
        <w:spacing w:after="0" w:line="463" w:lineRule="auto"/>
        <w:tabs>
          <w:tab w:leader="none" w:pos="380" w:val="left"/>
        </w:tabs>
        <w:numPr>
          <w:ilvl w:val="0"/>
          <w:numId w:val="1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GOODWILL AND INTANGIBLE ASSETS </w:t>
      </w:r>
      <w:r>
        <w:rPr>
          <w:rFonts w:ascii="Arial" w:cs="Arial" w:eastAsia="Arial" w:hAnsi="Arial"/>
          <w:sz w:val="17"/>
          <w:szCs w:val="17"/>
          <w:color w:val="auto"/>
        </w:rPr>
        <w:t>Goodwill and intangible assets consist of the following:</w:t>
      </w:r>
    </w:p>
    <w:p>
      <w:pPr>
        <w:spacing w:after="0" w:line="1" w:lineRule="exact"/>
        <w:rPr>
          <w:sz w:val="20"/>
          <w:szCs w:val="20"/>
          <w:color w:val="auto"/>
        </w:rPr>
      </w:pPr>
    </w:p>
    <w:tbl>
      <w:tblPr>
        <w:tblLayout w:type="fixed"/>
        <w:tblInd w:w="400" w:type="dxa"/>
        <w:tblCellMar>
          <w:top w:w="0" w:type="dxa"/>
          <w:left w:w="0" w:type="dxa"/>
          <w:bottom w:w="0" w:type="dxa"/>
          <w:right w:w="0" w:type="dxa"/>
        </w:tblCellMar>
      </w:tblPr>
      <w:tr>
        <w:trPr>
          <w:trHeight w:val="234"/>
        </w:trPr>
        <w:tc>
          <w:tcPr>
            <w:tcW w:w="65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1"/>
              </w:rPr>
              <w:t>September 30, 2022</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2"/>
              </w:rPr>
              <w:t>December 31, 2021</w:t>
            </w:r>
          </w:p>
        </w:tc>
      </w:tr>
      <w:tr>
        <w:trPr>
          <w:trHeight w:val="209"/>
        </w:trPr>
        <w:tc>
          <w:tcPr>
            <w:tcW w:w="6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262,245</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256,346</w:t>
            </w:r>
          </w:p>
        </w:tc>
      </w:tr>
      <w:tr>
        <w:trPr>
          <w:trHeight w:val="216"/>
        </w:trPr>
        <w:tc>
          <w:tcPr>
            <w:tcW w:w="6500" w:type="dxa"/>
            <w:vAlign w:val="bottom"/>
          </w:tcPr>
          <w:p>
            <w:pPr>
              <w:ind w:left="20"/>
              <w:spacing w:after="0"/>
              <w:rPr>
                <w:sz w:val="20"/>
                <w:szCs w:val="20"/>
                <w:color w:val="auto"/>
              </w:rPr>
            </w:pPr>
            <w:r>
              <w:rPr>
                <w:rFonts w:ascii="Arial" w:cs="Arial" w:eastAsia="Arial" w:hAnsi="Arial"/>
                <w:sz w:val="18"/>
                <w:szCs w:val="18"/>
                <w:color w:val="auto"/>
              </w:rPr>
              <w:t>Less: Accumulated impairment on goodwill</w:t>
            </w:r>
          </w:p>
        </w:tc>
        <w:tc>
          <w:tcPr>
            <w:tcW w:w="1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(72,328 )</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(72,328 )</w:t>
            </w:r>
          </w:p>
        </w:tc>
      </w:tr>
      <w:tr>
        <w:trPr>
          <w:trHeight w:val="249"/>
        </w:trPr>
        <w:tc>
          <w:tcPr>
            <w:tcW w:w="65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goodwill, net</w:t>
            </w:r>
          </w:p>
        </w:tc>
        <w:tc>
          <w:tcPr>
            <w:tcW w:w="180" w:type="dxa"/>
            <w:vAlign w:val="bottom"/>
            <w:tcBorders>
              <w:bottom w:val="single" w:sz="8" w:color="auto"/>
            </w:tcBorders>
            <w:shd w:val="clear" w:color="auto" w:fill="CFF0FC"/>
          </w:tcPr>
          <w:p>
            <w:pPr>
              <w:spacing w:after="0"/>
              <w:rPr>
                <w:sz w:val="21"/>
                <w:szCs w:val="21"/>
                <w:color w:val="auto"/>
              </w:rPr>
            </w:pPr>
          </w:p>
        </w:tc>
        <w:tc>
          <w:tcPr>
            <w:tcW w:w="1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189,917</w:t>
            </w:r>
          </w:p>
        </w:tc>
        <w:tc>
          <w:tcPr>
            <w:tcW w:w="1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8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184,018</w:t>
            </w:r>
          </w:p>
        </w:tc>
      </w:tr>
      <w:tr>
        <w:trPr>
          <w:trHeight w:val="210"/>
        </w:trPr>
        <w:tc>
          <w:tcPr>
            <w:tcW w:w="6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16"/>
        </w:trPr>
        <w:tc>
          <w:tcPr>
            <w:tcW w:w="6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Licenses</w:t>
            </w:r>
          </w:p>
        </w:tc>
        <w:tc>
          <w:tcPr>
            <w:tcW w:w="180" w:type="dxa"/>
            <w:vAlign w:val="bottom"/>
            <w:shd w:val="clear" w:color="auto" w:fill="CFF0FC"/>
          </w:tcPr>
          <w:p>
            <w:pPr>
              <w:spacing w:after="0"/>
              <w:rPr>
                <w:sz w:val="18"/>
                <w:szCs w:val="18"/>
                <w:color w:val="auto"/>
              </w:rPr>
            </w:pPr>
          </w:p>
        </w:tc>
        <w:tc>
          <w:tcPr>
            <w:tcW w:w="1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277,032</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285,854</w:t>
            </w:r>
          </w:p>
        </w:tc>
      </w:tr>
      <w:tr>
        <w:trPr>
          <w:trHeight w:val="216"/>
        </w:trPr>
        <w:tc>
          <w:tcPr>
            <w:tcW w:w="6500" w:type="dxa"/>
            <w:vAlign w:val="bottom"/>
          </w:tcPr>
          <w:p>
            <w:pPr>
              <w:ind w:left="20"/>
              <w:spacing w:after="0"/>
              <w:rPr>
                <w:sz w:val="20"/>
                <w:szCs w:val="20"/>
                <w:color w:val="auto"/>
              </w:rPr>
            </w:pPr>
            <w:r>
              <w:rPr>
                <w:rFonts w:ascii="Arial" w:cs="Arial" w:eastAsia="Arial" w:hAnsi="Arial"/>
                <w:sz w:val="18"/>
                <w:szCs w:val="18"/>
                <w:color w:val="auto"/>
              </w:rPr>
              <w:t>Trademarks</w:t>
            </w:r>
          </w:p>
        </w:tc>
        <w:tc>
          <w:tcPr>
            <w:tcW w:w="180" w:type="dxa"/>
            <w:vAlign w:val="bottom"/>
          </w:tcPr>
          <w:p>
            <w:pPr>
              <w:spacing w:after="0"/>
              <w:rPr>
                <w:sz w:val="18"/>
                <w:szCs w:val="18"/>
                <w:color w:val="auto"/>
              </w:rPr>
            </w:pPr>
          </w:p>
        </w:tc>
        <w:tc>
          <w:tcPr>
            <w:tcW w:w="1920" w:type="dxa"/>
            <w:vAlign w:val="bottom"/>
          </w:tcPr>
          <w:p>
            <w:pPr>
              <w:jc w:val="right"/>
              <w:ind w:right="30"/>
              <w:spacing w:after="0"/>
              <w:rPr>
                <w:sz w:val="20"/>
                <w:szCs w:val="20"/>
                <w:color w:val="auto"/>
              </w:rPr>
            </w:pPr>
            <w:r>
              <w:rPr>
                <w:rFonts w:ascii="Arial" w:cs="Arial" w:eastAsia="Arial" w:hAnsi="Arial"/>
                <w:sz w:val="18"/>
                <w:szCs w:val="18"/>
                <w:color w:val="auto"/>
              </w:rPr>
              <w:t>59,694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59,694</w:t>
            </w:r>
          </w:p>
        </w:tc>
      </w:tr>
      <w:tr>
        <w:trPr>
          <w:trHeight w:val="216"/>
        </w:trPr>
        <w:tc>
          <w:tcPr>
            <w:tcW w:w="65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Customer Relationships</w:t>
            </w:r>
          </w:p>
        </w:tc>
        <w:tc>
          <w:tcPr>
            <w:tcW w:w="180" w:type="dxa"/>
            <w:vAlign w:val="bottom"/>
            <w:tcBorders>
              <w:bottom w:val="single" w:sz="8" w:color="auto"/>
            </w:tcBorders>
            <w:shd w:val="clear" w:color="auto" w:fill="CFF0FC"/>
          </w:tcPr>
          <w:p>
            <w:pPr>
              <w:spacing w:after="0"/>
              <w:rPr>
                <w:sz w:val="18"/>
                <w:szCs w:val="18"/>
                <w:color w:val="auto"/>
              </w:rPr>
            </w:pPr>
          </w:p>
        </w:tc>
        <w:tc>
          <w:tcPr>
            <w:tcW w:w="1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52,500</w:t>
            </w:r>
          </w:p>
        </w:tc>
        <w:tc>
          <w:tcPr>
            <w:tcW w:w="1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8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52,500</w:t>
            </w:r>
          </w:p>
        </w:tc>
      </w:tr>
      <w:tr>
        <w:trPr>
          <w:trHeight w:val="223"/>
        </w:trPr>
        <w:tc>
          <w:tcPr>
            <w:tcW w:w="6500" w:type="dxa"/>
            <w:vAlign w:val="bottom"/>
          </w:tcPr>
          <w:p>
            <w:pPr>
              <w:ind w:left="20"/>
              <w:spacing w:after="0"/>
              <w:rPr>
                <w:sz w:val="20"/>
                <w:szCs w:val="20"/>
                <w:color w:val="auto"/>
              </w:rPr>
            </w:pPr>
            <w:r>
              <w:rPr>
                <w:rFonts w:ascii="Arial" w:cs="Arial" w:eastAsia="Arial" w:hAnsi="Arial"/>
                <w:sz w:val="18"/>
                <w:szCs w:val="18"/>
                <w:color w:val="auto"/>
              </w:rPr>
              <w:t>Total intangible assets</w:t>
            </w:r>
          </w:p>
        </w:tc>
        <w:tc>
          <w:tcPr>
            <w:tcW w:w="180" w:type="dxa"/>
            <w:vAlign w:val="bottom"/>
          </w:tcPr>
          <w:p>
            <w:pPr>
              <w:spacing w:after="0"/>
              <w:rPr>
                <w:sz w:val="19"/>
                <w:szCs w:val="19"/>
                <w:color w:val="auto"/>
              </w:rPr>
            </w:pPr>
          </w:p>
        </w:tc>
        <w:tc>
          <w:tcPr>
            <w:tcW w:w="1920" w:type="dxa"/>
            <w:vAlign w:val="bottom"/>
          </w:tcPr>
          <w:p>
            <w:pPr>
              <w:jc w:val="right"/>
              <w:ind w:right="30"/>
              <w:spacing w:after="0"/>
              <w:rPr>
                <w:sz w:val="20"/>
                <w:szCs w:val="20"/>
                <w:color w:val="auto"/>
              </w:rPr>
            </w:pPr>
            <w:r>
              <w:rPr>
                <w:rFonts w:ascii="Arial" w:cs="Arial" w:eastAsia="Arial" w:hAnsi="Arial"/>
                <w:sz w:val="18"/>
                <w:szCs w:val="18"/>
                <w:color w:val="auto"/>
              </w:rPr>
              <w:t>389,226</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398,048</w:t>
            </w:r>
          </w:p>
        </w:tc>
      </w:tr>
      <w:tr>
        <w:trPr>
          <w:trHeight w:val="216"/>
        </w:trPr>
        <w:tc>
          <w:tcPr>
            <w:tcW w:w="65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Less: Accumulated amortization</w:t>
            </w:r>
          </w:p>
        </w:tc>
        <w:tc>
          <w:tcPr>
            <w:tcW w:w="180" w:type="dxa"/>
            <w:vAlign w:val="bottom"/>
            <w:tcBorders>
              <w:bottom w:val="single" w:sz="8" w:color="auto"/>
            </w:tcBorders>
            <w:shd w:val="clear" w:color="auto" w:fill="CFF0FC"/>
          </w:tcPr>
          <w:p>
            <w:pPr>
              <w:spacing w:after="0"/>
              <w:rPr>
                <w:sz w:val="18"/>
                <w:szCs w:val="18"/>
                <w:color w:val="auto"/>
              </w:rPr>
            </w:pPr>
          </w:p>
        </w:tc>
        <w:tc>
          <w:tcPr>
            <w:tcW w:w="1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(63,546 )</w:t>
            </w:r>
          </w:p>
        </w:tc>
        <w:tc>
          <w:tcPr>
            <w:tcW w:w="1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(30,261 )</w:t>
            </w:r>
          </w:p>
        </w:tc>
      </w:tr>
      <w:tr>
        <w:trPr>
          <w:trHeight w:val="209"/>
        </w:trPr>
        <w:tc>
          <w:tcPr>
            <w:tcW w:w="6500" w:type="dxa"/>
            <w:vAlign w:val="bottom"/>
          </w:tcPr>
          <w:p>
            <w:pPr>
              <w:ind w:left="20"/>
              <w:spacing w:after="0"/>
              <w:rPr>
                <w:sz w:val="20"/>
                <w:szCs w:val="20"/>
                <w:color w:val="auto"/>
              </w:rPr>
            </w:pPr>
            <w:r>
              <w:rPr>
                <w:rFonts w:ascii="Arial" w:cs="Arial" w:eastAsia="Arial" w:hAnsi="Arial"/>
                <w:sz w:val="18"/>
                <w:szCs w:val="18"/>
                <w:color w:val="auto"/>
              </w:rPr>
              <w:t>Total intangible assets, net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20" w:type="dxa"/>
            <w:vAlign w:val="bottom"/>
          </w:tcPr>
          <w:p>
            <w:pPr>
              <w:jc w:val="right"/>
              <w:ind w:right="30"/>
              <w:spacing w:after="0"/>
              <w:rPr>
                <w:sz w:val="20"/>
                <w:szCs w:val="20"/>
                <w:color w:val="auto"/>
              </w:rPr>
            </w:pPr>
            <w:r>
              <w:rPr>
                <w:rFonts w:ascii="Arial" w:cs="Arial" w:eastAsia="Arial" w:hAnsi="Arial"/>
                <w:sz w:val="18"/>
                <w:szCs w:val="18"/>
                <w:color w:val="auto"/>
              </w:rPr>
              <w:t>325,680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367,787</w:t>
            </w:r>
          </w:p>
        </w:tc>
      </w:tr>
      <w:tr>
        <w:trPr>
          <w:trHeight w:val="20"/>
        </w:trPr>
        <w:tc>
          <w:tcPr>
            <w:tcW w:w="6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5716270</wp:posOffset>
            </wp:positionH>
            <wp:positionV relativeFrom="paragraph">
              <wp:posOffset>-1043940</wp:posOffset>
            </wp:positionV>
            <wp:extent cx="111125" cy="1714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11125" cy="171450"/>
                    </a:xfrm>
                    <a:prstGeom prst="rect">
                      <a:avLst/>
                    </a:prstGeom>
                    <a:noFill/>
                  </pic:spPr>
                </pic:pic>
              </a:graphicData>
            </a:graphic>
          </wp:anchor>
        </w:drawing>
        <w:drawing>
          <wp:anchor simplePos="0" relativeHeight="251657728" behindDoc="1" locked="0" layoutInCell="0" allowOverlap="1">
            <wp:simplePos x="0" y="0"/>
            <wp:positionH relativeFrom="column">
              <wp:posOffset>5716270</wp:posOffset>
            </wp:positionH>
            <wp:positionV relativeFrom="paragraph">
              <wp:posOffset>-461645</wp:posOffset>
            </wp:positionV>
            <wp:extent cx="111125" cy="1543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11125" cy="154305"/>
                    </a:xfrm>
                    <a:prstGeom prst="rect">
                      <a:avLst/>
                    </a:prstGeom>
                    <a:noFill/>
                  </pic:spPr>
                </pic:pic>
              </a:graphicData>
            </a:graphic>
          </wp:anchor>
        </w:drawing>
        <w:drawing>
          <wp:anchor simplePos="0" relativeHeight="251657728" behindDoc="1" locked="0" layoutInCell="0" allowOverlap="1">
            <wp:simplePos x="0" y="0"/>
            <wp:positionH relativeFrom="column">
              <wp:posOffset>5716270</wp:posOffset>
            </wp:positionH>
            <wp:positionV relativeFrom="paragraph">
              <wp:posOffset>-170815</wp:posOffset>
            </wp:positionV>
            <wp:extent cx="111125" cy="1714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11125" cy="171450"/>
                    </a:xfrm>
                    <a:prstGeom prst="rect">
                      <a:avLst/>
                    </a:prstGeom>
                    <a:noFill/>
                  </pic:spPr>
                </pic:pic>
              </a:graphicData>
            </a:graphic>
          </wp:anchor>
        </w:drawing>
      </w:r>
    </w:p>
    <w:p>
      <w:pPr>
        <w:spacing w:after="0" w:line="18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amortization expense for the three and nine months ended September 30, 2022 and 2021 are as follows:</w:t>
      </w:r>
    </w:p>
    <w:p>
      <w:pPr>
        <w:spacing w:after="0" w:line="194"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4"/>
          </w:tcPr>
          <w:p>
            <w:pPr>
              <w:jc w:val="right"/>
              <w:ind w:right="75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4"/>
          </w:tcPr>
          <w:p>
            <w:pPr>
              <w:jc w:val="right"/>
              <w:ind w:right="750"/>
              <w:spacing w:after="0"/>
              <w:rPr>
                <w:sz w:val="20"/>
                <w:szCs w:val="20"/>
                <w:color w:val="auto"/>
              </w:rPr>
            </w:pPr>
            <w:r>
              <w:rPr>
                <w:rFonts w:ascii="Arial" w:cs="Arial" w:eastAsia="Arial" w:hAnsi="Arial"/>
                <w:sz w:val="18"/>
                <w:szCs w:val="18"/>
                <w:b w:val="1"/>
                <w:bCs w:val="1"/>
                <w:color w:val="auto"/>
              </w:rPr>
              <w:t>Nine months ended</w:t>
            </w:r>
          </w:p>
        </w:tc>
      </w:tr>
      <w:tr>
        <w:trPr>
          <w:trHeight w:val="164"/>
        </w:trPr>
        <w:tc>
          <w:tcPr>
            <w:tcW w:w="4620" w:type="dxa"/>
            <w:vAlign w:val="bottom"/>
          </w:tcPr>
          <w:p>
            <w:pPr>
              <w:spacing w:after="0"/>
              <w:rPr>
                <w:sz w:val="14"/>
                <w:szCs w:val="14"/>
                <w:color w:val="auto"/>
              </w:rPr>
            </w:pPr>
          </w:p>
        </w:tc>
        <w:tc>
          <w:tcPr>
            <w:tcW w:w="1460" w:type="dxa"/>
            <w:vAlign w:val="bottom"/>
            <w:gridSpan w:val="2"/>
          </w:tcPr>
          <w:p>
            <w:pPr>
              <w:jc w:val="center"/>
              <w:ind w:right="70"/>
              <w:spacing w:after="0" w:line="164" w:lineRule="exact"/>
              <w:rPr>
                <w:sz w:val="20"/>
                <w:szCs w:val="20"/>
                <w:color w:val="auto"/>
              </w:rPr>
            </w:pPr>
            <w:r>
              <w:rPr>
                <w:rFonts w:ascii="Arial" w:cs="Arial" w:eastAsia="Arial" w:hAnsi="Arial"/>
                <w:sz w:val="18"/>
                <w:szCs w:val="18"/>
                <w:b w:val="1"/>
                <w:bCs w:val="1"/>
                <w:color w:val="auto"/>
                <w:w w:val="89"/>
              </w:rPr>
              <w:t>September 30,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center"/>
              <w:ind w:right="190"/>
              <w:spacing w:after="0" w:line="164" w:lineRule="exact"/>
              <w:rPr>
                <w:sz w:val="20"/>
                <w:szCs w:val="20"/>
                <w:color w:val="auto"/>
              </w:rPr>
            </w:pPr>
            <w:r>
              <w:rPr>
                <w:rFonts w:ascii="Arial" w:cs="Arial" w:eastAsia="Arial" w:hAnsi="Arial"/>
                <w:sz w:val="18"/>
                <w:szCs w:val="18"/>
                <w:b w:val="1"/>
                <w:bCs w:val="1"/>
                <w:color w:val="auto"/>
                <w:w w:val="87"/>
              </w:rPr>
              <w:t>September 30,</w:t>
            </w:r>
          </w:p>
        </w:tc>
        <w:tc>
          <w:tcPr>
            <w:tcW w:w="120" w:type="dxa"/>
            <w:vAlign w:val="bottom"/>
          </w:tcPr>
          <w:p>
            <w:pPr>
              <w:spacing w:after="0"/>
              <w:rPr>
                <w:sz w:val="14"/>
                <w:szCs w:val="14"/>
                <w:color w:val="auto"/>
              </w:rPr>
            </w:pPr>
          </w:p>
        </w:tc>
        <w:tc>
          <w:tcPr>
            <w:tcW w:w="1400" w:type="dxa"/>
            <w:vAlign w:val="bottom"/>
            <w:gridSpan w:val="2"/>
          </w:tcPr>
          <w:p>
            <w:pPr>
              <w:jc w:val="center"/>
              <w:ind w:right="50"/>
              <w:spacing w:after="0" w:line="164" w:lineRule="exact"/>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center"/>
              <w:ind w:right="170"/>
              <w:spacing w:after="0" w:line="164" w:lineRule="exact"/>
              <w:rPr>
                <w:sz w:val="20"/>
                <w:szCs w:val="20"/>
                <w:color w:val="auto"/>
              </w:rPr>
            </w:pPr>
            <w:r>
              <w:rPr>
                <w:rFonts w:ascii="Arial" w:cs="Arial" w:eastAsia="Arial" w:hAnsi="Arial"/>
                <w:sz w:val="18"/>
                <w:szCs w:val="18"/>
                <w:b w:val="1"/>
                <w:bCs w:val="1"/>
                <w:color w:val="auto"/>
                <w:w w:val="89"/>
              </w:rPr>
              <w:t>September 30,</w:t>
            </w:r>
          </w:p>
        </w:tc>
      </w:tr>
      <w:tr>
        <w:trPr>
          <w:trHeight w:val="234"/>
        </w:trPr>
        <w:tc>
          <w:tcPr>
            <w:tcW w:w="46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r>
      <w:tr>
        <w:trPr>
          <w:trHeight w:val="168"/>
        </w:trPr>
        <w:tc>
          <w:tcPr>
            <w:tcW w:w="4620" w:type="dxa"/>
            <w:vAlign w:val="bottom"/>
            <w:shd w:val="clear" w:color="auto" w:fill="CFF0FC"/>
          </w:tcPr>
          <w:p>
            <w:pPr>
              <w:spacing w:after="0" w:line="168" w:lineRule="exact"/>
              <w:rPr>
                <w:sz w:val="20"/>
                <w:szCs w:val="20"/>
                <w:color w:val="auto"/>
              </w:rPr>
            </w:pPr>
            <w:r>
              <w:rPr>
                <w:rFonts w:ascii="Arial" w:cs="Arial" w:eastAsia="Arial" w:hAnsi="Arial"/>
                <w:sz w:val="18"/>
                <w:szCs w:val="18"/>
                <w:color w:val="auto"/>
                <w:w w:val="99"/>
              </w:rPr>
              <w:t>Amortization for the period included in selling, general and</w:t>
            </w:r>
          </w:p>
        </w:tc>
        <w:tc>
          <w:tcPr>
            <w:tcW w:w="30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r>
      <w:tr>
        <w:trPr>
          <w:trHeight w:val="230"/>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administrative expenses</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10,936</w:t>
            </w:r>
          </w:p>
        </w:tc>
        <w:tc>
          <w:tcPr>
            <w:tcW w:w="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8,899</w:t>
            </w:r>
          </w:p>
        </w:tc>
        <w:tc>
          <w:tcPr>
            <w:tcW w:w="40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33,594</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14,826</w:t>
            </w:r>
          </w:p>
        </w:tc>
      </w:tr>
    </w:tbl>
    <w:p>
      <w:pPr>
        <w:spacing w:after="0" w:line="184" w:lineRule="exact"/>
        <w:rPr>
          <w:sz w:val="20"/>
          <w:szCs w:val="20"/>
          <w:color w:val="auto"/>
        </w:rPr>
      </w:pPr>
    </w:p>
    <w:p>
      <w:pPr>
        <w:ind w:left="380" w:hanging="372"/>
        <w:spacing w:after="0"/>
        <w:tabs>
          <w:tab w:leader="none" w:pos="38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SELLING, GENERAL AND ADMINISTRATIVE EXPENSES</w:t>
      </w:r>
    </w:p>
    <w:p>
      <w:pPr>
        <w:spacing w:after="0" w:line="215"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color w:val="auto"/>
        </w:rPr>
        <w:t>Selling, general and administrative expenses are summarized in the table below:</w:t>
      </w:r>
    </w:p>
    <w:p>
      <w:pPr>
        <w:spacing w:after="0" w:line="212" w:lineRule="exact"/>
        <w:rPr>
          <w:sz w:val="20"/>
          <w:szCs w:val="20"/>
          <w:color w:val="auto"/>
        </w:rPr>
      </w:pPr>
    </w:p>
    <w:tbl>
      <w:tblPr>
        <w:tblLayout w:type="fixed"/>
        <w:tblInd w:w="500" w:type="dxa"/>
        <w:tblCellMar>
          <w:top w:w="0" w:type="dxa"/>
          <w:left w:w="0" w:type="dxa"/>
          <w:bottom w:w="0" w:type="dxa"/>
          <w:right w:w="0" w:type="dxa"/>
        </w:tblCellMar>
      </w:tblPr>
      <w:tr>
        <w:trPr>
          <w:trHeight w:val="210"/>
        </w:trPr>
        <w:tc>
          <w:tcPr>
            <w:tcW w:w="47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4"/>
          </w:tcPr>
          <w:p>
            <w:pPr>
              <w:jc w:val="right"/>
              <w:ind w:right="719"/>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4"/>
          </w:tcPr>
          <w:p>
            <w:pPr>
              <w:jc w:val="right"/>
              <w:ind w:right="739"/>
              <w:spacing w:after="0"/>
              <w:rPr>
                <w:sz w:val="20"/>
                <w:szCs w:val="20"/>
                <w:color w:val="auto"/>
              </w:rPr>
            </w:pPr>
            <w:r>
              <w:rPr>
                <w:rFonts w:ascii="Arial" w:cs="Arial" w:eastAsia="Arial" w:hAnsi="Arial"/>
                <w:sz w:val="16"/>
                <w:szCs w:val="16"/>
                <w:b w:val="1"/>
                <w:bCs w:val="1"/>
                <w:color w:val="auto"/>
              </w:rPr>
              <w:t>Nine months ended</w:t>
            </w:r>
          </w:p>
        </w:tc>
      </w:tr>
      <w:tr>
        <w:trPr>
          <w:trHeight w:val="148"/>
        </w:trPr>
        <w:tc>
          <w:tcPr>
            <w:tcW w:w="4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jc w:val="right"/>
              <w:ind w:right="199"/>
              <w:spacing w:after="0" w:line="148" w:lineRule="exact"/>
              <w:rPr>
                <w:sz w:val="20"/>
                <w:szCs w:val="20"/>
                <w:color w:val="auto"/>
              </w:rPr>
            </w:pPr>
            <w:r>
              <w:rPr>
                <w:rFonts w:ascii="Arial" w:cs="Arial" w:eastAsia="Arial" w:hAnsi="Arial"/>
                <w:sz w:val="16"/>
                <w:szCs w:val="16"/>
                <w:b w:val="1"/>
                <w:bCs w:val="1"/>
                <w:color w:val="auto"/>
                <w:w w:val="89"/>
              </w:rPr>
              <w:t>September 30,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jc w:val="right"/>
              <w:ind w:right="199"/>
              <w:spacing w:after="0" w:line="148" w:lineRule="exact"/>
              <w:rPr>
                <w:sz w:val="20"/>
                <w:szCs w:val="20"/>
                <w:color w:val="auto"/>
              </w:rPr>
            </w:pPr>
            <w:r>
              <w:rPr>
                <w:rFonts w:ascii="Arial" w:cs="Arial" w:eastAsia="Arial" w:hAnsi="Arial"/>
                <w:sz w:val="16"/>
                <w:szCs w:val="16"/>
                <w:b w:val="1"/>
                <w:bCs w:val="1"/>
                <w:color w:val="auto"/>
                <w:w w:val="91"/>
              </w:rPr>
              <w:t>September 30,</w:t>
            </w:r>
          </w:p>
        </w:tc>
        <w:tc>
          <w:tcPr>
            <w:tcW w:w="200" w:type="dxa"/>
            <w:vAlign w:val="bottom"/>
          </w:tcPr>
          <w:p>
            <w:pPr>
              <w:spacing w:after="0"/>
              <w:rPr>
                <w:sz w:val="12"/>
                <w:szCs w:val="12"/>
                <w:color w:val="auto"/>
              </w:rPr>
            </w:pPr>
          </w:p>
        </w:tc>
        <w:tc>
          <w:tcPr>
            <w:tcW w:w="1320" w:type="dxa"/>
            <w:vAlign w:val="bottom"/>
            <w:gridSpan w:val="2"/>
          </w:tcPr>
          <w:p>
            <w:pPr>
              <w:jc w:val="right"/>
              <w:ind w:right="159"/>
              <w:spacing w:after="0" w:line="148" w:lineRule="exact"/>
              <w:rPr>
                <w:sz w:val="20"/>
                <w:szCs w:val="20"/>
                <w:color w:val="auto"/>
              </w:rPr>
            </w:pPr>
            <w:r>
              <w:rPr>
                <w:rFonts w:ascii="Arial" w:cs="Arial" w:eastAsia="Arial" w:hAnsi="Arial"/>
                <w:sz w:val="16"/>
                <w:szCs w:val="16"/>
                <w:b w:val="1"/>
                <w:bCs w:val="1"/>
                <w:color w:val="auto"/>
                <w:w w:val="96"/>
              </w:rPr>
              <w:t>September 30,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jc w:val="right"/>
              <w:ind w:right="219"/>
              <w:spacing w:after="0" w:line="148" w:lineRule="exact"/>
              <w:rPr>
                <w:sz w:val="20"/>
                <w:szCs w:val="20"/>
                <w:color w:val="auto"/>
              </w:rPr>
            </w:pPr>
            <w:r>
              <w:rPr>
                <w:rFonts w:ascii="Arial" w:cs="Arial" w:eastAsia="Arial" w:hAnsi="Arial"/>
                <w:sz w:val="16"/>
                <w:szCs w:val="16"/>
                <w:b w:val="1"/>
                <w:bCs w:val="1"/>
                <w:color w:val="auto"/>
                <w:w w:val="91"/>
              </w:rPr>
              <w:t>September 30,</w:t>
            </w:r>
          </w:p>
        </w:tc>
      </w:tr>
      <w:tr>
        <w:trPr>
          <w:trHeight w:val="213"/>
        </w:trPr>
        <w:tc>
          <w:tcPr>
            <w:tcW w:w="47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2021</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r>
      <w:tr>
        <w:trPr>
          <w:trHeight w:val="199"/>
        </w:trPr>
        <w:tc>
          <w:tcPr>
            <w:tcW w:w="4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Salaries and benefits</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32,651</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27,518</w:t>
            </w: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97,471</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76,163</w:t>
            </w:r>
          </w:p>
        </w:tc>
      </w:tr>
      <w:tr>
        <w:trPr>
          <w:trHeight w:val="202"/>
        </w:trPr>
        <w:tc>
          <w:tcPr>
            <w:tcW w:w="4740" w:type="dxa"/>
            <w:vAlign w:val="bottom"/>
          </w:tcPr>
          <w:p>
            <w:pPr>
              <w:ind w:left="20"/>
              <w:spacing w:after="0"/>
              <w:rPr>
                <w:sz w:val="20"/>
                <w:szCs w:val="20"/>
                <w:color w:val="auto"/>
              </w:rPr>
            </w:pPr>
            <w:r>
              <w:rPr>
                <w:rFonts w:ascii="Arial" w:cs="Arial" w:eastAsia="Arial" w:hAnsi="Arial"/>
                <w:sz w:val="16"/>
                <w:szCs w:val="16"/>
                <w:color w:val="auto"/>
              </w:rPr>
              <w:t>Professional fees</w:t>
            </w:r>
          </w:p>
        </w:tc>
        <w:tc>
          <w:tcPr>
            <w:tcW w:w="100" w:type="dxa"/>
            <w:vAlign w:val="bottom"/>
          </w:tcPr>
          <w:p>
            <w:pPr>
              <w:spacing w:after="0"/>
              <w:rPr>
                <w:sz w:val="17"/>
                <w:szCs w:val="17"/>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4,580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5,666</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16,254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16,731</w:t>
            </w:r>
          </w:p>
        </w:tc>
      </w:tr>
      <w:tr>
        <w:trPr>
          <w:trHeight w:val="202"/>
        </w:trPr>
        <w:tc>
          <w:tcPr>
            <w:tcW w:w="4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Depreciation and amortization</w:t>
            </w:r>
          </w:p>
        </w:tc>
        <w:tc>
          <w:tcPr>
            <w:tcW w:w="10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14,881</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11,718</w:t>
            </w: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44,809</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22,204</w:t>
            </w:r>
          </w:p>
        </w:tc>
      </w:tr>
      <w:tr>
        <w:trPr>
          <w:trHeight w:val="202"/>
        </w:trPr>
        <w:tc>
          <w:tcPr>
            <w:tcW w:w="4740" w:type="dxa"/>
            <w:vAlign w:val="bottom"/>
          </w:tcPr>
          <w:p>
            <w:pPr>
              <w:ind w:left="20"/>
              <w:spacing w:after="0"/>
              <w:rPr>
                <w:sz w:val="20"/>
                <w:szCs w:val="20"/>
                <w:color w:val="auto"/>
              </w:rPr>
            </w:pPr>
            <w:r>
              <w:rPr>
                <w:rFonts w:ascii="Arial" w:cs="Arial" w:eastAsia="Arial" w:hAnsi="Arial"/>
                <w:sz w:val="16"/>
                <w:szCs w:val="16"/>
                <w:color w:val="auto"/>
              </w:rPr>
              <w:t>Operating facilities costs</w:t>
            </w:r>
          </w:p>
        </w:tc>
        <w:tc>
          <w:tcPr>
            <w:tcW w:w="100" w:type="dxa"/>
            <w:vAlign w:val="bottom"/>
          </w:tcPr>
          <w:p>
            <w:pPr>
              <w:spacing w:after="0"/>
              <w:rPr>
                <w:sz w:val="17"/>
                <w:szCs w:val="17"/>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10,056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6,840</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31,151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20,490</w:t>
            </w:r>
          </w:p>
        </w:tc>
      </w:tr>
      <w:tr>
        <w:trPr>
          <w:trHeight w:val="202"/>
        </w:trPr>
        <w:tc>
          <w:tcPr>
            <w:tcW w:w="4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Operating office and general expenses</w:t>
            </w:r>
          </w:p>
        </w:tc>
        <w:tc>
          <w:tcPr>
            <w:tcW w:w="10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2,491</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5,248</w:t>
            </w: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8,124</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12,665</w:t>
            </w:r>
          </w:p>
        </w:tc>
      </w:tr>
      <w:tr>
        <w:trPr>
          <w:trHeight w:val="202"/>
        </w:trPr>
        <w:tc>
          <w:tcPr>
            <w:tcW w:w="4740" w:type="dxa"/>
            <w:vAlign w:val="bottom"/>
          </w:tcPr>
          <w:p>
            <w:pPr>
              <w:ind w:left="20"/>
              <w:spacing w:after="0"/>
              <w:rPr>
                <w:sz w:val="20"/>
                <w:szCs w:val="20"/>
                <w:color w:val="auto"/>
              </w:rPr>
            </w:pPr>
            <w:r>
              <w:rPr>
                <w:rFonts w:ascii="Arial" w:cs="Arial" w:eastAsia="Arial" w:hAnsi="Arial"/>
                <w:sz w:val="16"/>
                <w:szCs w:val="16"/>
                <w:color w:val="auto"/>
              </w:rPr>
              <w:t>Advertising and promotion</w:t>
            </w:r>
          </w:p>
        </w:tc>
        <w:tc>
          <w:tcPr>
            <w:tcW w:w="100" w:type="dxa"/>
            <w:vAlign w:val="bottom"/>
          </w:tcPr>
          <w:p>
            <w:pPr>
              <w:spacing w:after="0"/>
              <w:rPr>
                <w:sz w:val="17"/>
                <w:szCs w:val="17"/>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3,204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4,169</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11,566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10,421</w:t>
            </w:r>
          </w:p>
        </w:tc>
      </w:tr>
      <w:tr>
        <w:trPr>
          <w:trHeight w:val="202"/>
        </w:trPr>
        <w:tc>
          <w:tcPr>
            <w:tcW w:w="4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Other fees and expenses</w:t>
            </w:r>
          </w:p>
        </w:tc>
        <w:tc>
          <w:tcPr>
            <w:tcW w:w="10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2,982</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586</w:t>
            </w:r>
          </w:p>
        </w:tc>
        <w:tc>
          <w:tcPr>
            <w:tcW w:w="2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5,718</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3,608</w:t>
            </w:r>
          </w:p>
        </w:tc>
      </w:tr>
      <w:tr>
        <w:trPr>
          <w:trHeight w:val="196"/>
        </w:trPr>
        <w:tc>
          <w:tcPr>
            <w:tcW w:w="4740" w:type="dxa"/>
            <w:vAlign w:val="bottom"/>
          </w:tcPr>
          <w:p>
            <w:pPr>
              <w:ind w:left="20"/>
              <w:spacing w:after="0"/>
              <w:rPr>
                <w:sz w:val="20"/>
                <w:szCs w:val="20"/>
                <w:color w:val="auto"/>
              </w:rPr>
            </w:pPr>
            <w:r>
              <w:rPr>
                <w:rFonts w:ascii="Arial" w:cs="Arial" w:eastAsia="Arial" w:hAnsi="Arial"/>
                <w:sz w:val="16"/>
                <w:szCs w:val="16"/>
                <w:b w:val="1"/>
                <w:bCs w:val="1"/>
                <w:color w:val="auto"/>
              </w:rPr>
              <w:t>Total selling, general and administrative expenses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70,845</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61,745</w:t>
            </w:r>
          </w:p>
        </w:tc>
        <w:tc>
          <w:tcPr>
            <w:tcW w:w="48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215,093</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162,282</w:t>
            </w:r>
          </w:p>
        </w:tc>
      </w:tr>
      <w:tr>
        <w:trPr>
          <w:trHeight w:val="20"/>
        </w:trPr>
        <w:tc>
          <w:tcPr>
            <w:tcW w:w="4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4209415</wp:posOffset>
            </wp:positionH>
            <wp:positionV relativeFrom="paragraph">
              <wp:posOffset>-161925</wp:posOffset>
            </wp:positionV>
            <wp:extent cx="76835" cy="1625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5176520</wp:posOffset>
            </wp:positionH>
            <wp:positionV relativeFrom="paragraph">
              <wp:posOffset>-161925</wp:posOffset>
            </wp:positionV>
            <wp:extent cx="68580" cy="1625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6152515</wp:posOffset>
            </wp:positionH>
            <wp:positionV relativeFrom="paragraph">
              <wp:posOffset>-161925</wp:posOffset>
            </wp:positionV>
            <wp:extent cx="68580" cy="1625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162560"/>
                    </a:xfrm>
                    <a:prstGeom prst="rect">
                      <a:avLst/>
                    </a:prstGeom>
                    <a:noFill/>
                  </pic:spPr>
                </pic:pic>
              </a:graphicData>
            </a:graphic>
          </wp:anchor>
        </w:drawing>
      </w:r>
    </w:p>
    <w:p>
      <w:pPr>
        <w:spacing w:after="0" w:line="164" w:lineRule="exact"/>
        <w:rPr>
          <w:sz w:val="20"/>
          <w:szCs w:val="20"/>
          <w:color w:val="auto"/>
        </w:rPr>
      </w:pPr>
    </w:p>
    <w:p>
      <w:pPr>
        <w:ind w:left="380" w:hanging="372"/>
        <w:spacing w:after="0"/>
        <w:tabs>
          <w:tab w:leader="none" w:pos="38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OTHER EXPENSE, NET</w:t>
      </w:r>
    </w:p>
    <w:p>
      <w:pPr>
        <w:spacing w:after="0" w:line="147"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color w:val="auto"/>
        </w:rPr>
        <w:t>Other expense, net is summarized in the table below:</w:t>
      </w:r>
    </w:p>
    <w:p>
      <w:pPr>
        <w:spacing w:after="0" w:line="144" w:lineRule="exact"/>
        <w:rPr>
          <w:sz w:val="20"/>
          <w:szCs w:val="20"/>
          <w:color w:val="auto"/>
        </w:rPr>
      </w:pPr>
    </w:p>
    <w:tbl>
      <w:tblPr>
        <w:tblLayout w:type="fixed"/>
        <w:tblInd w:w="500" w:type="dxa"/>
        <w:tblCellMar>
          <w:top w:w="0" w:type="dxa"/>
          <w:left w:w="0" w:type="dxa"/>
          <w:bottom w:w="0" w:type="dxa"/>
          <w:right w:w="0" w:type="dxa"/>
        </w:tblCellMar>
      </w:tblPr>
      <w:tr>
        <w:trPr>
          <w:trHeight w:val="236"/>
        </w:trPr>
        <w:tc>
          <w:tcPr>
            <w:tcW w:w="47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4"/>
          </w:tcPr>
          <w:p>
            <w:pPr>
              <w:jc w:val="right"/>
              <w:ind w:right="719"/>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gridSpan w:val="4"/>
          </w:tcPr>
          <w:p>
            <w:pPr>
              <w:jc w:val="right"/>
              <w:ind w:right="759"/>
              <w:spacing w:after="0"/>
              <w:rPr>
                <w:sz w:val="20"/>
                <w:szCs w:val="20"/>
                <w:color w:val="auto"/>
              </w:rPr>
            </w:pPr>
            <w:r>
              <w:rPr>
                <w:rFonts w:ascii="Arial" w:cs="Arial" w:eastAsia="Arial" w:hAnsi="Arial"/>
                <w:sz w:val="16"/>
                <w:szCs w:val="16"/>
                <w:b w:val="1"/>
                <w:bCs w:val="1"/>
                <w:color w:val="auto"/>
              </w:rPr>
              <w:t>Nine months ended</w:t>
            </w:r>
          </w:p>
        </w:tc>
      </w:tr>
      <w:tr>
        <w:trPr>
          <w:trHeight w:val="148"/>
        </w:trPr>
        <w:tc>
          <w:tcPr>
            <w:tcW w:w="4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3"/>
          </w:tcPr>
          <w:p>
            <w:pPr>
              <w:jc w:val="right"/>
              <w:ind w:right="520"/>
              <w:spacing w:after="0" w:line="148" w:lineRule="exact"/>
              <w:rPr>
                <w:sz w:val="20"/>
                <w:szCs w:val="20"/>
                <w:color w:val="auto"/>
              </w:rPr>
            </w:pPr>
            <w:r>
              <w:rPr>
                <w:rFonts w:ascii="Arial" w:cs="Arial" w:eastAsia="Arial" w:hAnsi="Arial"/>
                <w:sz w:val="16"/>
                <w:szCs w:val="16"/>
                <w:b w:val="1"/>
                <w:bCs w:val="1"/>
                <w:color w:val="auto"/>
                <w:w w:val="91"/>
              </w:rPr>
              <w:t>September 30,</w:t>
            </w:r>
          </w:p>
        </w:tc>
        <w:tc>
          <w:tcPr>
            <w:tcW w:w="1280" w:type="dxa"/>
            <w:vAlign w:val="bottom"/>
          </w:tcPr>
          <w:p>
            <w:pPr>
              <w:jc w:val="right"/>
              <w:ind w:right="199"/>
              <w:spacing w:after="0" w:line="148" w:lineRule="exact"/>
              <w:rPr>
                <w:sz w:val="20"/>
                <w:szCs w:val="20"/>
                <w:color w:val="auto"/>
              </w:rPr>
            </w:pPr>
            <w:r>
              <w:rPr>
                <w:rFonts w:ascii="Arial" w:cs="Arial" w:eastAsia="Arial" w:hAnsi="Arial"/>
                <w:sz w:val="16"/>
                <w:szCs w:val="16"/>
                <w:b w:val="1"/>
                <w:bCs w:val="1"/>
                <w:color w:val="auto"/>
                <w:w w:val="89"/>
              </w:rPr>
              <w:t>September 30,</w:t>
            </w: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2"/>
          </w:tcPr>
          <w:p>
            <w:pPr>
              <w:spacing w:after="0" w:line="148" w:lineRule="exact"/>
              <w:rPr>
                <w:sz w:val="20"/>
                <w:szCs w:val="20"/>
                <w:color w:val="auto"/>
              </w:rPr>
            </w:pPr>
            <w:r>
              <w:rPr>
                <w:rFonts w:ascii="Arial" w:cs="Arial" w:eastAsia="Arial" w:hAnsi="Arial"/>
                <w:sz w:val="16"/>
                <w:szCs w:val="16"/>
                <w:b w:val="1"/>
                <w:bCs w:val="1"/>
                <w:color w:val="auto"/>
              </w:rPr>
              <w:t>September 30,</w:t>
            </w:r>
          </w:p>
        </w:tc>
        <w:tc>
          <w:tcPr>
            <w:tcW w:w="120" w:type="dxa"/>
            <w:vAlign w:val="bottom"/>
          </w:tcPr>
          <w:p>
            <w:pPr>
              <w:spacing w:after="0"/>
              <w:rPr>
                <w:sz w:val="12"/>
                <w:szCs w:val="12"/>
                <w:color w:val="auto"/>
              </w:rPr>
            </w:pPr>
          </w:p>
        </w:tc>
        <w:tc>
          <w:tcPr>
            <w:tcW w:w="1320" w:type="dxa"/>
            <w:vAlign w:val="bottom"/>
          </w:tcPr>
          <w:p>
            <w:pPr>
              <w:jc w:val="right"/>
              <w:ind w:right="219"/>
              <w:spacing w:after="0" w:line="148" w:lineRule="exact"/>
              <w:rPr>
                <w:sz w:val="20"/>
                <w:szCs w:val="20"/>
                <w:color w:val="auto"/>
              </w:rPr>
            </w:pPr>
            <w:r>
              <w:rPr>
                <w:rFonts w:ascii="Arial" w:cs="Arial" w:eastAsia="Arial" w:hAnsi="Arial"/>
                <w:sz w:val="16"/>
                <w:szCs w:val="16"/>
                <w:b w:val="1"/>
                <w:bCs w:val="1"/>
                <w:color w:val="auto"/>
                <w:w w:val="91"/>
              </w:rPr>
              <w:t>September 30,</w:t>
            </w:r>
          </w:p>
        </w:tc>
      </w:tr>
      <w:tr>
        <w:trPr>
          <w:trHeight w:val="203"/>
        </w:trPr>
        <w:tc>
          <w:tcPr>
            <w:tcW w:w="47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2021</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r>
      <w:tr>
        <w:trPr>
          <w:trHeight w:val="196"/>
        </w:trPr>
        <w:tc>
          <w:tcPr>
            <w:tcW w:w="4700" w:type="dxa"/>
            <w:vAlign w:val="bottom"/>
            <w:shd w:val="clear" w:color="auto" w:fill="CFF0FC"/>
          </w:tcPr>
          <w:p>
            <w:pPr>
              <w:spacing w:after="0"/>
              <w:rPr>
                <w:sz w:val="20"/>
                <w:szCs w:val="20"/>
                <w:color w:val="auto"/>
              </w:rPr>
            </w:pPr>
            <w:r>
              <w:rPr>
                <w:rFonts w:ascii="Arial" w:cs="Arial" w:eastAsia="Arial" w:hAnsi="Arial"/>
                <w:sz w:val="16"/>
                <w:szCs w:val="16"/>
                <w:color w:val="auto"/>
              </w:rPr>
              <w:t>Change in fair value of the derivative liability</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(243 )</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(4,847 )</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(5,940 )</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(6,760 )</w:t>
            </w:r>
          </w:p>
        </w:tc>
      </w:tr>
      <w:tr>
        <w:trPr>
          <w:trHeight w:val="202"/>
        </w:trPr>
        <w:tc>
          <w:tcPr>
            <w:tcW w:w="4700" w:type="dxa"/>
            <w:vAlign w:val="bottom"/>
          </w:tcPr>
          <w:p>
            <w:pPr>
              <w:spacing w:after="0"/>
              <w:rPr>
                <w:sz w:val="20"/>
                <w:szCs w:val="20"/>
                <w:color w:val="auto"/>
              </w:rPr>
            </w:pPr>
            <w:r>
              <w:rPr>
                <w:rFonts w:ascii="Arial" w:cs="Arial" w:eastAsia="Arial" w:hAnsi="Arial"/>
                <w:sz w:val="16"/>
                <w:szCs w:val="16"/>
                <w:color w:val="auto"/>
              </w:rPr>
              <w:t>Acquisition and settlement of pre-existing relationships</w:t>
            </w:r>
          </w:p>
        </w:tc>
        <w:tc>
          <w:tcPr>
            <w:tcW w:w="100" w:type="dxa"/>
            <w:vAlign w:val="bottom"/>
          </w:tcPr>
          <w:p>
            <w:pPr>
              <w:spacing w:after="0"/>
              <w:rPr>
                <w:sz w:val="17"/>
                <w:szCs w:val="17"/>
                <w:color w:val="auto"/>
              </w:rPr>
            </w:pPr>
          </w:p>
        </w:tc>
        <w:tc>
          <w:tcPr>
            <w:tcW w:w="1540" w:type="dxa"/>
            <w:vAlign w:val="bottom"/>
            <w:gridSpan w:val="3"/>
          </w:tcPr>
          <w:p>
            <w:pPr>
              <w:jc w:val="right"/>
              <w:ind w:right="38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75,308</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3"/>
          </w:tcPr>
          <w:p>
            <w:pPr>
              <w:jc w:val="right"/>
              <w:ind w:right="36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75,308</w:t>
            </w:r>
          </w:p>
        </w:tc>
      </w:tr>
      <w:tr>
        <w:trPr>
          <w:trHeight w:val="202"/>
        </w:trPr>
        <w:tc>
          <w:tcPr>
            <w:tcW w:w="4700" w:type="dxa"/>
            <w:vAlign w:val="bottom"/>
            <w:shd w:val="clear" w:color="auto" w:fill="CFF0FC"/>
          </w:tcPr>
          <w:p>
            <w:pPr>
              <w:spacing w:after="0"/>
              <w:rPr>
                <w:sz w:val="20"/>
                <w:szCs w:val="20"/>
                <w:color w:val="auto"/>
              </w:rPr>
            </w:pPr>
            <w:r>
              <w:rPr>
                <w:rFonts w:ascii="Arial" w:cs="Arial" w:eastAsia="Arial" w:hAnsi="Arial"/>
                <w:sz w:val="16"/>
                <w:szCs w:val="16"/>
                <w:color w:val="auto"/>
              </w:rPr>
              <w:t>Change in fair value of contingent consideration</w:t>
            </w:r>
          </w:p>
        </w:tc>
        <w:tc>
          <w:tcPr>
            <w:tcW w:w="10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(37,362 )</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(23,582 )</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(37,362 )</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(23,582 )</w:t>
            </w:r>
          </w:p>
        </w:tc>
      </w:tr>
      <w:tr>
        <w:trPr>
          <w:trHeight w:val="192"/>
        </w:trPr>
        <w:tc>
          <w:tcPr>
            <w:tcW w:w="4700" w:type="dxa"/>
            <w:vAlign w:val="bottom"/>
          </w:tcPr>
          <w:p>
            <w:pPr>
              <w:spacing w:after="0"/>
              <w:rPr>
                <w:sz w:val="20"/>
                <w:szCs w:val="20"/>
                <w:color w:val="auto"/>
              </w:rPr>
            </w:pPr>
            <w:r>
              <w:rPr>
                <w:rFonts w:ascii="Arial" w:cs="Arial" w:eastAsia="Arial" w:hAnsi="Arial"/>
                <w:sz w:val="16"/>
                <w:szCs w:val="16"/>
                <w:color w:val="auto"/>
              </w:rPr>
              <w:t>Loss on disposal group</w:t>
            </w:r>
          </w:p>
        </w:tc>
        <w:tc>
          <w:tcPr>
            <w:tcW w:w="100" w:type="dxa"/>
            <w:vAlign w:val="bottom"/>
          </w:tcPr>
          <w:p>
            <w:pPr>
              <w:spacing w:after="0"/>
              <w:rPr>
                <w:sz w:val="16"/>
                <w:szCs w:val="16"/>
                <w:color w:val="auto"/>
              </w:rPr>
            </w:pPr>
          </w:p>
        </w:tc>
        <w:tc>
          <w:tcPr>
            <w:tcW w:w="1540" w:type="dxa"/>
            <w:vAlign w:val="bottom"/>
            <w:gridSpan w:val="3"/>
          </w:tcPr>
          <w:p>
            <w:pPr>
              <w:jc w:val="right"/>
              <w:ind w:right="38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2,000</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3"/>
          </w:tcPr>
          <w:p>
            <w:pPr>
              <w:jc w:val="right"/>
              <w:ind w:right="36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2,000</w:t>
            </w:r>
          </w:p>
        </w:tc>
      </w:tr>
      <w:tr>
        <w:trPr>
          <w:trHeight w:val="209"/>
        </w:trPr>
        <w:tc>
          <w:tcPr>
            <w:tcW w:w="4700" w:type="dxa"/>
            <w:vAlign w:val="bottom"/>
          </w:tcPr>
          <w:p>
            <w:pPr>
              <w:spacing w:after="0"/>
              <w:rPr>
                <w:sz w:val="20"/>
                <w:szCs w:val="20"/>
                <w:color w:val="auto"/>
              </w:rPr>
            </w:pPr>
            <w:r>
              <w:rPr>
                <w:rFonts w:ascii="Arial" w:cs="Arial" w:eastAsia="Arial" w:hAnsi="Arial"/>
                <w:sz w:val="16"/>
                <w:szCs w:val="16"/>
                <w:color w:val="auto"/>
              </w:rPr>
              <w:t>Earnout adjustment</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(127 )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349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05"/>
        </w:trPr>
        <w:tc>
          <w:tcPr>
            <w:tcW w:w="4700" w:type="dxa"/>
            <w:vAlign w:val="bottom"/>
            <w:shd w:val="clear" w:color="auto" w:fill="CFF0FC"/>
          </w:tcPr>
          <w:p>
            <w:pPr>
              <w:spacing w:after="0"/>
              <w:rPr>
                <w:sz w:val="20"/>
                <w:szCs w:val="20"/>
                <w:color w:val="auto"/>
              </w:rPr>
            </w:pPr>
            <w:r>
              <w:rPr>
                <w:rFonts w:ascii="Arial" w:cs="Arial" w:eastAsia="Arial" w:hAnsi="Arial"/>
                <w:sz w:val="16"/>
                <w:szCs w:val="16"/>
                <w:color w:val="auto"/>
              </w:rPr>
              <w:t>Loss on conversion of Convertible Notes</w:t>
            </w:r>
          </w:p>
        </w:tc>
        <w:tc>
          <w:tcPr>
            <w:tcW w:w="100" w:type="dxa"/>
            <w:vAlign w:val="bottom"/>
            <w:shd w:val="clear" w:color="auto" w:fill="CFF0FC"/>
          </w:tcPr>
          <w:p>
            <w:pPr>
              <w:spacing w:after="0"/>
              <w:rPr>
                <w:sz w:val="17"/>
                <w:szCs w:val="17"/>
                <w:color w:val="auto"/>
              </w:rPr>
            </w:pPr>
          </w:p>
        </w:tc>
        <w:tc>
          <w:tcPr>
            <w:tcW w:w="1540" w:type="dxa"/>
            <w:vAlign w:val="bottom"/>
            <w:gridSpan w:val="3"/>
            <w:shd w:val="clear" w:color="auto" w:fill="CFF0FC"/>
          </w:tcPr>
          <w:p>
            <w:pPr>
              <w:jc w:val="right"/>
              <w:ind w:right="38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80" w:type="dxa"/>
            <w:vAlign w:val="bottom"/>
            <w:gridSpan w:val="3"/>
            <w:shd w:val="clear" w:color="auto" w:fill="CFF0FC"/>
          </w:tcPr>
          <w:p>
            <w:pPr>
              <w:jc w:val="right"/>
              <w:ind w:right="36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1,580</w:t>
            </w:r>
          </w:p>
        </w:tc>
      </w:tr>
      <w:tr>
        <w:trPr>
          <w:trHeight w:val="202"/>
        </w:trPr>
        <w:tc>
          <w:tcPr>
            <w:tcW w:w="4700" w:type="dxa"/>
            <w:vAlign w:val="bottom"/>
          </w:tcPr>
          <w:p>
            <w:pPr>
              <w:spacing w:after="0"/>
              <w:rPr>
                <w:sz w:val="20"/>
                <w:szCs w:val="20"/>
                <w:color w:val="auto"/>
              </w:rPr>
            </w:pPr>
            <w:r>
              <w:rPr>
                <w:rFonts w:ascii="Arial" w:cs="Arial" w:eastAsia="Arial" w:hAnsi="Arial"/>
                <w:sz w:val="16"/>
                <w:szCs w:val="16"/>
                <w:color w:val="auto"/>
              </w:rPr>
              <w:t>Other expense</w:t>
            </w:r>
          </w:p>
        </w:tc>
        <w:tc>
          <w:tcPr>
            <w:tcW w:w="100" w:type="dxa"/>
            <w:vAlign w:val="bottom"/>
          </w:tcPr>
          <w:p>
            <w:pPr>
              <w:spacing w:after="0"/>
              <w:rPr>
                <w:sz w:val="17"/>
                <w:szCs w:val="17"/>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37,369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55</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44,775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69</w:t>
            </w:r>
          </w:p>
        </w:tc>
      </w:tr>
      <w:tr>
        <w:trPr>
          <w:trHeight w:val="202"/>
        </w:trPr>
        <w:tc>
          <w:tcPr>
            <w:tcW w:w="4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Rental income</w:t>
            </w:r>
          </w:p>
        </w:tc>
        <w:tc>
          <w:tcPr>
            <w:tcW w:w="10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(958 )</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(2,613 )</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196"/>
        </w:trPr>
        <w:tc>
          <w:tcPr>
            <w:tcW w:w="4700" w:type="dxa"/>
            <w:vAlign w:val="bottom"/>
          </w:tcPr>
          <w:p>
            <w:pPr>
              <w:spacing w:after="0"/>
              <w:rPr>
                <w:sz w:val="20"/>
                <w:szCs w:val="20"/>
                <w:color w:val="auto"/>
              </w:rPr>
            </w:pPr>
            <w:r>
              <w:rPr>
                <w:rFonts w:ascii="Arial" w:cs="Arial" w:eastAsia="Arial" w:hAnsi="Arial"/>
                <w:sz w:val="16"/>
                <w:szCs w:val="16"/>
                <w:b w:val="1"/>
                <w:bCs w:val="1"/>
                <w:color w:val="auto"/>
              </w:rPr>
              <w:t>Total other expense, net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gridSpan w:val="3"/>
          </w:tcPr>
          <w:p>
            <w:pPr>
              <w:jc w:val="right"/>
              <w:ind w:right="20"/>
              <w:spacing w:after="0"/>
              <w:rPr>
                <w:sz w:val="20"/>
                <w:szCs w:val="20"/>
                <w:color w:val="auto"/>
              </w:rPr>
            </w:pPr>
            <w:r>
              <w:rPr>
                <w:rFonts w:ascii="Arial" w:cs="Arial" w:eastAsia="Arial" w:hAnsi="Arial"/>
                <w:sz w:val="16"/>
                <w:szCs w:val="16"/>
                <w:color w:val="auto"/>
              </w:rPr>
              <w:t>(1,321 )   $</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48,934</w:t>
            </w:r>
          </w:p>
        </w:tc>
        <w:tc>
          <w:tcPr>
            <w:tcW w:w="3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480" w:type="dxa"/>
            <w:vAlign w:val="bottom"/>
            <w:gridSpan w:val="3"/>
          </w:tcPr>
          <w:p>
            <w:pPr>
              <w:jc w:val="right"/>
              <w:ind w:right="20"/>
              <w:spacing w:after="0"/>
              <w:rPr>
                <w:sz w:val="20"/>
                <w:szCs w:val="20"/>
                <w:color w:val="auto"/>
              </w:rPr>
            </w:pPr>
            <w:r>
              <w:rPr>
                <w:rFonts w:ascii="Arial" w:cs="Arial" w:eastAsia="Arial" w:hAnsi="Arial"/>
                <w:sz w:val="16"/>
                <w:szCs w:val="16"/>
                <w:color w:val="auto"/>
              </w:rPr>
              <w:t>(791 )  $</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48,615</w:t>
            </w:r>
          </w:p>
        </w:tc>
      </w:tr>
      <w:tr>
        <w:trPr>
          <w:trHeight w:val="20"/>
        </w:trPr>
        <w:tc>
          <w:tcPr>
            <w:tcW w:w="4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4192270</wp:posOffset>
            </wp:positionH>
            <wp:positionV relativeFrom="paragraph">
              <wp:posOffset>-161925</wp:posOffset>
            </wp:positionV>
            <wp:extent cx="76835" cy="1625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5151120</wp:posOffset>
            </wp:positionH>
            <wp:positionV relativeFrom="paragraph">
              <wp:posOffset>-161925</wp:posOffset>
            </wp:positionV>
            <wp:extent cx="68580" cy="1625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6152515</wp:posOffset>
            </wp:positionH>
            <wp:positionV relativeFrom="paragraph">
              <wp:posOffset>-161925</wp:posOffset>
            </wp:positionV>
            <wp:extent cx="68580" cy="1625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162560"/>
                    </a:xfrm>
                    <a:prstGeom prst="rect">
                      <a:avLst/>
                    </a:prstGeom>
                    <a:noFill/>
                  </pic:spPr>
                </pic:pic>
              </a:graphicData>
            </a:graphic>
          </wp:anchor>
        </w:drawing>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17" w:name="page18"/>
    <w:bookmarkEnd w:id="17"/>
    <w:p>
      <w:pPr>
        <w:ind w:left="380" w:hanging="372"/>
        <w:spacing w:after="0"/>
        <w:tabs>
          <w:tab w:leader="none" w:pos="38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147" w:lineRule="exact"/>
        <w:rPr>
          <w:rFonts w:ascii="Arial" w:cs="Arial" w:eastAsia="Arial" w:hAnsi="Arial"/>
          <w:sz w:val="18"/>
          <w:szCs w:val="18"/>
          <w:b w:val="1"/>
          <w:bCs w:val="1"/>
          <w:color w:val="auto"/>
        </w:rPr>
      </w:pPr>
    </w:p>
    <w:p>
      <w:pPr>
        <w:jc w:val="both"/>
        <w:ind w:left="380"/>
        <w:spacing w:after="0" w:line="267" w:lineRule="auto"/>
        <w:rPr>
          <w:rFonts w:ascii="Arial" w:cs="Arial" w:eastAsia="Arial" w:hAnsi="Arial"/>
          <w:sz w:val="18"/>
          <w:szCs w:val="18"/>
          <w:b w:val="1"/>
          <w:bCs w:val="1"/>
          <w:color w:val="auto"/>
        </w:rPr>
      </w:pPr>
      <w:r>
        <w:rPr>
          <w:rFonts w:ascii="Arial" w:cs="Arial" w:eastAsia="Arial" w:hAnsi="Arial"/>
          <w:sz w:val="17"/>
          <w:szCs w:val="17"/>
          <w:color w:val="auto"/>
        </w:rPr>
        <w:t>On November 4, 2022, the Company and Cresco Labs (the “companies”) announced the signing of definitive agreements to divest certain New York, Illinois, and Massachusetts assets of the combined companies to an entity owned and controlled by Sean Combs (the “Combs Transaction”). The total consideration of the Combs Transaction is an amount up to $185,000. The divestiture of these and other assets are required for Cresco Labs to close its previously announced acquisition of the Company. The Combs Transaction and Cresco Labs’ acquisition of the Company are expected to close concurrently, currently anticipated around the end of the first quarter of 2023.</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48" w:lineRule="exact"/>
        <w:rPr>
          <w:sz w:val="20"/>
          <w:szCs w:val="20"/>
          <w:color w:val="auto"/>
        </w:rPr>
      </w:pPr>
    </w:p>
    <w:p>
      <w:pPr>
        <w:jc w:val="both"/>
        <w:spacing w:after="0" w:line="263" w:lineRule="auto"/>
        <w:rPr>
          <w:sz w:val="20"/>
          <w:szCs w:val="20"/>
          <w:color w:val="auto"/>
        </w:rPr>
      </w:pPr>
      <w:r>
        <w:rPr>
          <w:rFonts w:ascii="Arial" w:cs="Arial" w:eastAsia="Arial" w:hAnsi="Arial"/>
          <w:sz w:val="17"/>
          <w:szCs w:val="17"/>
          <w:i w:val="1"/>
          <w:iCs w:val="1"/>
          <w:color w:val="auto"/>
        </w:rPr>
        <w:t>This management’s discussion and analysis (“MD&amp;A”) of the financial condition and results of operations of Columbia Care Inc. (“Columbia Care”, the “Company”, “us”, “our” or “we”) is supplemental to, and should be read in conjunction with, Columbia Care’s unaudited condensed interim consolidated financial statements and the accompanying notes for the three and nine months ended September 30, 2022 and 2021. Except for historical information, the discussion in this section contains forward-looking statements that involve risks and uncertainties. Future results could differ materially from those discussed below for many reasons, including the risks described in “Disclosure Regarding Forward-Looking Statements,” “Item 1A-Risk Factors” and elsewhere in the Company’s 2021 Form 10-K filed with the SEC on March 31, 2022 and subsequent securities filings.</w:t>
      </w:r>
    </w:p>
    <w:p>
      <w:pPr>
        <w:spacing w:after="0" w:line="104" w:lineRule="exact"/>
        <w:rPr>
          <w:sz w:val="20"/>
          <w:szCs w:val="20"/>
          <w:color w:val="auto"/>
        </w:rPr>
      </w:pPr>
    </w:p>
    <w:p>
      <w:pPr>
        <w:jc w:val="both"/>
        <w:spacing w:after="0" w:line="290" w:lineRule="auto"/>
        <w:rPr>
          <w:sz w:val="20"/>
          <w:szCs w:val="20"/>
          <w:color w:val="auto"/>
        </w:rPr>
      </w:pPr>
      <w:r>
        <w:rPr>
          <w:rFonts w:ascii="Arial" w:cs="Arial" w:eastAsia="Arial" w:hAnsi="Arial"/>
          <w:sz w:val="17"/>
          <w:szCs w:val="17"/>
          <w:i w:val="1"/>
          <w:iCs w:val="1"/>
          <w:color w:val="auto"/>
        </w:rPr>
        <w:t>Columbia Care’s financial statements are prepared in accordance with generally accepted accounting principles in the United States of America (“US GAAP”). Financial information presented in this MD&amp;A is presented in thousands of United States dollars (“$” or “US$”), unless otherwise indicated.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COLUMBIA CARE</w:t>
      </w:r>
    </w:p>
    <w:p>
      <w:pPr>
        <w:spacing w:after="0" w:line="14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principal business activity is the production and sale of cannabis. We strive to be the premier provider of cannabis-related products in each of the markets in which we operate. Our mission is to improve lives by providing cannabis-based health and wellness solutions through community partnerships, research, education and the responsible use of our products as a natural means to improve the quality of life of our patients and customers.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COLUMBIA CARE OBJECTIVES AND FACTORS AFFECTING OUR PERFORMANCE</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As one of the largest fully integrated operators in the cannabis industry, our strategy to grow our business is comprised of the following key components:</w:t>
      </w:r>
    </w:p>
    <w:p>
      <w:pPr>
        <w:spacing w:after="0" w:line="153" w:lineRule="exact"/>
        <w:rPr>
          <w:sz w:val="20"/>
          <w:szCs w:val="20"/>
          <w:color w:val="auto"/>
        </w:rPr>
      </w:pPr>
    </w:p>
    <w:p>
      <w:pPr>
        <w:ind w:left="1140" w:hanging="758"/>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Expansion and development within and outside our current markets</w:t>
      </w:r>
    </w:p>
    <w:p>
      <w:pPr>
        <w:spacing w:after="0" w:line="130" w:lineRule="exact"/>
        <w:rPr>
          <w:rFonts w:ascii="Arial" w:cs="Arial" w:eastAsia="Arial" w:hAnsi="Arial"/>
          <w:sz w:val="18"/>
          <w:szCs w:val="18"/>
          <w:color w:val="auto"/>
        </w:rPr>
      </w:pPr>
    </w:p>
    <w:p>
      <w:pPr>
        <w:ind w:left="1140" w:hanging="758"/>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Patient-centric, provider-based model to leverage health and wellness focus</w:t>
      </w:r>
    </w:p>
    <w:p>
      <w:pPr>
        <w:spacing w:after="0" w:line="130" w:lineRule="exact"/>
        <w:rPr>
          <w:rFonts w:ascii="Arial" w:cs="Arial" w:eastAsia="Arial" w:hAnsi="Arial"/>
          <w:sz w:val="18"/>
          <w:szCs w:val="18"/>
          <w:color w:val="auto"/>
        </w:rPr>
      </w:pPr>
    </w:p>
    <w:p>
      <w:pPr>
        <w:ind w:left="1140" w:hanging="758"/>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Consistency of proprietary product portfolio comprised of branded consumer and patient products</w:t>
      </w:r>
    </w:p>
    <w:p>
      <w:pPr>
        <w:spacing w:after="0" w:line="143" w:lineRule="exact"/>
        <w:rPr>
          <w:rFonts w:ascii="Arial" w:cs="Arial" w:eastAsia="Arial" w:hAnsi="Arial"/>
          <w:sz w:val="18"/>
          <w:szCs w:val="18"/>
          <w:color w:val="auto"/>
        </w:rPr>
      </w:pPr>
    </w:p>
    <w:p>
      <w:pPr>
        <w:ind w:left="1140" w:hanging="758"/>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Intellectual property and data-driven innovation</w:t>
      </w:r>
    </w:p>
    <w:p>
      <w:pPr>
        <w:spacing w:after="0" w:line="130" w:lineRule="exact"/>
        <w:rPr>
          <w:sz w:val="20"/>
          <w:szCs w:val="20"/>
          <w:color w:val="auto"/>
        </w:rPr>
      </w:pPr>
    </w:p>
    <w:p>
      <w:pPr>
        <w:jc w:val="both"/>
        <w:ind w:right="20"/>
        <w:spacing w:after="0" w:line="245" w:lineRule="auto"/>
        <w:rPr>
          <w:sz w:val="20"/>
          <w:szCs w:val="20"/>
          <w:color w:val="auto"/>
        </w:rPr>
      </w:pPr>
      <w:r>
        <w:rPr>
          <w:rFonts w:ascii="Arial" w:cs="Arial" w:eastAsia="Arial" w:hAnsi="Arial"/>
          <w:sz w:val="18"/>
          <w:szCs w:val="18"/>
          <w:color w:val="auto"/>
        </w:rPr>
        <w:t>Our performance and future success are dependent on several factors. These factors are also subject to inherent risks and challenges, some of which are discussed below.</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Branding</w:t>
      </w:r>
    </w:p>
    <w:p>
      <w:pPr>
        <w:spacing w:after="0" w:line="14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have established a national branding strategy across each of the jurisdictions in which we operate. Maintaining and growing our brand appeal is critical to our continued success.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Regulation</w:t>
      </w:r>
    </w:p>
    <w:p>
      <w:pPr>
        <w:spacing w:after="0" w:line="211"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We are subject to the local and federal laws in the jurisdictions in which we operate. We hold all required licenses for the production and distribution of our products in the jurisdictions in which we operate and continuously monitor changes in laws, regulations, treaties and agreements. In recent years, a temporary federal legislative enactment that prohibits the Department of Justice from expending appropriated funds to enforce federal laws that interfere with a state's implementation of its own medical marijuana laws has been included in multiple Appropriations laws that have passed Congress. This budget rider is known as the Rohrbacher-Farr Amendment. The Rohrbacher-Farr Amendment has been included in successive appropriations legislation or resolutions since 2015. The Rohrabacher-Farr Amendment was extended most recently through December 16, 2022. Notably, the Rohrbacher-Farr Amendment has applied only to medical marijuana programs and has not provided the same protections to enforcement related to adult-use activities.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Product Innovation and Consumer Trends</w:t>
      </w:r>
    </w:p>
    <w:p>
      <w:pPr>
        <w:spacing w:after="0" w:line="14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Our business is subject to changing consumer trends and preferences, which is dependent, in part, on continued consumer interest in new products. The success of new product offerings, depends upon a number of factors, including our ability to (i) accurately anticipate customer needs; (ii) develop new products that meet these needs; (iii) successfully commercialize new products; (iv) price products competitively; (v) produce and deliver products in sufficient volumes and on a timely basis; and (vi) differentiate product offerings from those of competitors.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Growth Strategies</w:t>
      </w:r>
    </w:p>
    <w:p>
      <w:pPr>
        <w:spacing w:after="0" w:line="14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have a successful history of growing revenue and we believe we have a strong strategy aimed at continuing our history of expansion in both current and new markets. Our future depends, in part, on our ability to implement our growth strategy including (i) product</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19" w:name="page20"/>
    <w:bookmarkEnd w:id="19"/>
    <w:p>
      <w:pPr>
        <w:jc w:val="both"/>
        <w:ind w:right="40"/>
        <w:spacing w:after="0" w:line="263" w:lineRule="auto"/>
        <w:rPr>
          <w:sz w:val="20"/>
          <w:szCs w:val="20"/>
          <w:color w:val="auto"/>
        </w:rPr>
      </w:pPr>
      <w:r>
        <w:rPr>
          <w:rFonts w:ascii="Arial" w:cs="Arial" w:eastAsia="Arial" w:hAnsi="Arial"/>
          <w:sz w:val="17"/>
          <w:szCs w:val="17"/>
          <w:color w:val="auto"/>
        </w:rPr>
        <w:t>innovations; (ii) penetration of new markets; (iii) growth of wholesale revenue through third party retailers and distributors; (iv) future development and expansion of e-commerce and home delivery distribution capabilities; and (v) expansion of our cultivation and manufacturing capacity. Our ability to implement this growth strategy depends, among other things, on our ability to develop new products that appeal to consumers, maintain and expand brand loyalty, maintain and improve product quality and brand recognition, maintain and improve competitive position in our current markets, and identify and successfully enter and market products in new geographic areas and segments.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 Announcements</w:t>
      </w:r>
    </w:p>
    <w:p>
      <w:pPr>
        <w:spacing w:after="0" w:line="211" w:lineRule="exact"/>
        <w:rPr>
          <w:sz w:val="20"/>
          <w:szCs w:val="20"/>
          <w:color w:val="auto"/>
        </w:rPr>
      </w:pPr>
    </w:p>
    <w:p>
      <w:pPr>
        <w:jc w:val="both"/>
        <w:ind w:right="40"/>
        <w:spacing w:after="0" w:line="245" w:lineRule="auto"/>
        <w:rPr>
          <w:sz w:val="20"/>
          <w:szCs w:val="20"/>
          <w:color w:val="auto"/>
        </w:rPr>
      </w:pPr>
      <w:r>
        <w:rPr>
          <w:rFonts w:ascii="Arial" w:cs="Arial" w:eastAsia="Arial" w:hAnsi="Arial"/>
          <w:sz w:val="18"/>
          <w:szCs w:val="18"/>
          <w:color w:val="231F20"/>
        </w:rPr>
        <w:t xml:space="preserve">On November 4, 2022, the Company and Cresco Labs (the “companies”) announced the signing of definitive agreements to divest certain New York, Illinois, and Massachusetts assets of the combined companies to an entity owned and controlled by Sean Combs (the “Combs Transaction”). The total consideration of the Combs Transaction is an amount up to $185,000. The divestiture of these and other assets are required for Cresco Labs to close its previously announced acquisition of </w:t>
      </w:r>
      <w:r>
        <w:rPr>
          <w:rFonts w:ascii="Arial" w:cs="Arial" w:eastAsia="Arial" w:hAnsi="Arial"/>
          <w:sz w:val="18"/>
          <w:szCs w:val="18"/>
          <w:color w:val="000000"/>
        </w:rPr>
        <w:t>the Company</w:t>
      </w:r>
      <w:r>
        <w:rPr>
          <w:rFonts w:ascii="Arial" w:cs="Arial" w:eastAsia="Arial" w:hAnsi="Arial"/>
          <w:sz w:val="18"/>
          <w:szCs w:val="18"/>
          <w:color w:val="231F20"/>
        </w:rPr>
        <w:t>. The Combs Transaction and Cresco Labs’ acquisition of the Company are expected to close concurrently, currently anticipated around the end of the first quarter of 2023.</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FINANCIAL INFORMATION</w:t>
      </w:r>
    </w:p>
    <w:p>
      <w:pPr>
        <w:spacing w:after="0" w:line="148"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The following tables set forth selected consolidated financial information derived from our unaudited condensed interim consolidated financial statements and the respective accompanying notes prepared in accordance with U.S. GAAP.</w:t>
      </w:r>
    </w:p>
    <w:p>
      <w:pPr>
        <w:spacing w:after="0" w:line="89" w:lineRule="exact"/>
        <w:rPr>
          <w:sz w:val="20"/>
          <w:szCs w:val="20"/>
          <w:color w:val="auto"/>
        </w:rPr>
      </w:pPr>
    </w:p>
    <w:p>
      <w:pPr>
        <w:jc w:val="both"/>
        <w:ind w:right="40"/>
        <w:spacing w:after="0" w:line="261" w:lineRule="auto"/>
        <w:rPr>
          <w:sz w:val="20"/>
          <w:szCs w:val="20"/>
          <w:color w:val="auto"/>
        </w:rPr>
      </w:pPr>
      <w:r>
        <w:rPr>
          <w:rFonts w:ascii="Arial" w:cs="Arial" w:eastAsia="Arial" w:hAnsi="Arial"/>
          <w:sz w:val="18"/>
          <w:szCs w:val="18"/>
          <w:color w:val="auto"/>
        </w:rPr>
        <w:t>During the periods discussed herein, our accounting policies have remained consistent. The selected and summarized consolidated financial information below may not be indicative of our future performance.</w:t>
      </w:r>
    </w:p>
    <w:p>
      <w:pPr>
        <w:sectPr>
          <w:pgSz w:w="11900" w:h="16838" w:orient="portrait"/>
          <w:cols w:equalWidth="0" w:num="1">
            <w:col w:w="11280"/>
          </w:cols>
          <w:pgMar w:left="320" w:top="476" w:right="299" w:bottom="1440" w:gutter="0" w:footer="0" w:header="0"/>
        </w:sectPr>
      </w:pP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Statement of Operations: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0"/>
        <w:spacing w:after="0"/>
        <w:rPr>
          <w:sz w:val="20"/>
          <w:szCs w:val="20"/>
          <w:color w:val="auto"/>
        </w:rPr>
      </w:pPr>
      <w:r>
        <w:rPr>
          <w:rFonts w:ascii="Arial" w:cs="Arial" w:eastAsia="Arial" w:hAnsi="Arial"/>
          <w:sz w:val="11"/>
          <w:szCs w:val="11"/>
          <w:color w:val="auto"/>
        </w:rPr>
        <w:t>Revenues, net</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1"/>
          <w:szCs w:val="11"/>
          <w:color w:val="auto"/>
        </w:rPr>
        <w:t>Cost of sales related to inventory production</w:t>
      </w:r>
    </w:p>
    <w:p>
      <w:pPr>
        <w:spacing w:after="0" w:line="21" w:lineRule="exact"/>
        <w:rPr>
          <w:sz w:val="20"/>
          <w:szCs w:val="20"/>
          <w:color w:val="auto"/>
        </w:rPr>
      </w:pPr>
    </w:p>
    <w:p>
      <w:pPr>
        <w:ind w:left="20"/>
        <w:spacing w:after="0" w:line="268" w:lineRule="auto"/>
        <w:rPr>
          <w:sz w:val="20"/>
          <w:szCs w:val="20"/>
          <w:color w:val="auto"/>
        </w:rPr>
      </w:pPr>
      <w:r>
        <w:rPr>
          <w:rFonts w:ascii="Arial" w:cs="Arial" w:eastAsia="Arial" w:hAnsi="Arial"/>
          <w:sz w:val="11"/>
          <w:szCs w:val="11"/>
          <w:color w:val="auto"/>
        </w:rPr>
        <w:t>Cost of sales related to business combination fair value adjustments to inventories Gross profit</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1"/>
          <w:szCs w:val="11"/>
          <w:color w:val="auto"/>
        </w:rPr>
        <w:t>Selling, general and administrative expenses</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1"/>
          <w:szCs w:val="11"/>
          <w:color w:val="auto"/>
        </w:rPr>
        <w:t>Loss from operations</w:t>
      </w:r>
    </w:p>
    <w:p>
      <w:pPr>
        <w:spacing w:after="0" w:line="8" w:lineRule="exact"/>
        <w:rPr>
          <w:sz w:val="20"/>
          <w:szCs w:val="20"/>
          <w:color w:val="auto"/>
        </w:rPr>
      </w:pPr>
    </w:p>
    <w:p>
      <w:pPr>
        <w:ind w:left="20"/>
        <w:spacing w:after="0"/>
        <w:rPr>
          <w:sz w:val="20"/>
          <w:szCs w:val="20"/>
          <w:color w:val="auto"/>
        </w:rPr>
      </w:pPr>
      <w:r>
        <w:rPr>
          <w:rFonts w:ascii="Arial" w:cs="Arial" w:eastAsia="Arial" w:hAnsi="Arial"/>
          <w:sz w:val="11"/>
          <w:szCs w:val="11"/>
          <w:color w:val="auto"/>
        </w:rPr>
        <w:t>Other expense/ (income), net</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1"/>
          <w:szCs w:val="11"/>
          <w:color w:val="auto"/>
        </w:rPr>
        <w:t>Income tax benefit (expense)</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1"/>
          <w:szCs w:val="11"/>
          <w:color w:val="auto"/>
        </w:rPr>
        <w:t>Net loss</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1"/>
          <w:szCs w:val="11"/>
          <w:color w:val="auto"/>
        </w:rPr>
        <w:t>Net loss attributable to non-controlling interest</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1"/>
          <w:szCs w:val="11"/>
          <w:color w:val="auto"/>
        </w:rPr>
        <w:t>Net loss attributable to Columbia Care Inc.</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1"/>
          <w:szCs w:val="11"/>
          <w:color w:val="auto"/>
        </w:rPr>
        <w:t>Loss per share attributable to Columbia Care Inc. - based and diluted</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1"/>
          <w:szCs w:val="11"/>
          <w:color w:val="auto"/>
        </w:rPr>
        <w:t>Weighted average number of shares outstanding - basic and diluted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4"/>
        </w:trPr>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gridSpan w:val="4"/>
          </w:tcPr>
          <w:p>
            <w:pPr>
              <w:jc w:val="right"/>
              <w:ind w:right="306"/>
              <w:spacing w:after="0"/>
              <w:rPr>
                <w:sz w:val="20"/>
                <w:szCs w:val="20"/>
                <w:color w:val="auto"/>
              </w:rPr>
            </w:pPr>
            <w:r>
              <w:rPr>
                <w:rFonts w:ascii="Arial" w:cs="Arial" w:eastAsia="Arial" w:hAnsi="Arial"/>
                <w:sz w:val="11"/>
                <w:szCs w:val="11"/>
                <w:b w:val="1"/>
                <w:bCs w:val="1"/>
                <w:color w:val="auto"/>
              </w:rPr>
              <w:t>Three months ended</w:t>
            </w: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gridSpan w:val="4"/>
          </w:tcPr>
          <w:p>
            <w:pPr>
              <w:jc w:val="right"/>
              <w:ind w:right="306"/>
              <w:spacing w:after="0"/>
              <w:rPr>
                <w:sz w:val="20"/>
                <w:szCs w:val="20"/>
                <w:color w:val="auto"/>
              </w:rPr>
            </w:pPr>
            <w:r>
              <w:rPr>
                <w:rFonts w:ascii="Arial" w:cs="Arial" w:eastAsia="Arial" w:hAnsi="Arial"/>
                <w:sz w:val="11"/>
                <w:szCs w:val="11"/>
                <w:b w:val="1"/>
                <w:bCs w:val="1"/>
                <w:color w:val="auto"/>
              </w:rPr>
              <w:t>Nine months ended</w:t>
            </w: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92"/>
        </w:trPr>
        <w:tc>
          <w:tcPr>
            <w:tcW w:w="800" w:type="dxa"/>
            <w:vAlign w:val="bottom"/>
            <w:gridSpan w:val="2"/>
          </w:tcPr>
          <w:p>
            <w:pPr>
              <w:spacing w:after="0" w:line="92" w:lineRule="exact"/>
              <w:rPr>
                <w:sz w:val="20"/>
                <w:szCs w:val="20"/>
                <w:color w:val="auto"/>
              </w:rPr>
            </w:pPr>
            <w:r>
              <w:rPr>
                <w:rFonts w:ascii="Arial" w:cs="Arial" w:eastAsia="Arial" w:hAnsi="Arial"/>
                <w:sz w:val="10"/>
                <w:szCs w:val="10"/>
                <w:b w:val="1"/>
                <w:bCs w:val="1"/>
                <w:color w:val="auto"/>
              </w:rPr>
              <w:t>September 30,</w:t>
            </w:r>
          </w:p>
        </w:tc>
        <w:tc>
          <w:tcPr>
            <w:tcW w:w="120" w:type="dxa"/>
            <w:vAlign w:val="bottom"/>
          </w:tcPr>
          <w:p>
            <w:pPr>
              <w:spacing w:after="0"/>
              <w:rPr>
                <w:sz w:val="8"/>
                <w:szCs w:val="8"/>
                <w:color w:val="auto"/>
              </w:rPr>
            </w:pPr>
          </w:p>
        </w:tc>
        <w:tc>
          <w:tcPr>
            <w:tcW w:w="820" w:type="dxa"/>
            <w:vAlign w:val="bottom"/>
            <w:gridSpan w:val="2"/>
          </w:tcPr>
          <w:p>
            <w:pPr>
              <w:ind w:left="20"/>
              <w:spacing w:after="0" w:line="92" w:lineRule="exact"/>
              <w:rPr>
                <w:sz w:val="20"/>
                <w:szCs w:val="20"/>
                <w:color w:val="auto"/>
              </w:rPr>
            </w:pPr>
            <w:r>
              <w:rPr>
                <w:rFonts w:ascii="Arial" w:cs="Arial" w:eastAsia="Arial" w:hAnsi="Arial"/>
                <w:sz w:val="10"/>
                <w:szCs w:val="10"/>
                <w:b w:val="1"/>
                <w:bCs w:val="1"/>
                <w:color w:val="auto"/>
              </w:rPr>
              <w:t>September 30,</w:t>
            </w: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jc w:val="right"/>
              <w:ind w:right="148"/>
              <w:spacing w:after="0" w:line="92" w:lineRule="exact"/>
              <w:rPr>
                <w:sz w:val="20"/>
                <w:szCs w:val="20"/>
                <w:color w:val="auto"/>
              </w:rPr>
            </w:pPr>
            <w:r>
              <w:rPr>
                <w:rFonts w:ascii="Arial" w:cs="Arial" w:eastAsia="Arial" w:hAnsi="Arial"/>
                <w:sz w:val="10"/>
                <w:szCs w:val="10"/>
                <w:b w:val="1"/>
                <w:bCs w:val="1"/>
                <w:color w:val="auto"/>
                <w:w w:val="92"/>
              </w:rPr>
              <w:t>September</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jc w:val="right"/>
              <w:ind w:right="166"/>
              <w:spacing w:after="0" w:line="92" w:lineRule="exact"/>
              <w:rPr>
                <w:sz w:val="20"/>
                <w:szCs w:val="20"/>
                <w:color w:val="auto"/>
              </w:rPr>
            </w:pPr>
            <w:r>
              <w:rPr>
                <w:rFonts w:ascii="Arial" w:cs="Arial" w:eastAsia="Arial" w:hAnsi="Arial"/>
                <w:sz w:val="10"/>
                <w:szCs w:val="10"/>
                <w:b w:val="1"/>
                <w:bCs w:val="1"/>
                <w:color w:val="auto"/>
                <w:w w:val="92"/>
              </w:rPr>
              <w:t>September</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58"/>
        </w:trPr>
        <w:tc>
          <w:tcPr>
            <w:tcW w:w="100" w:type="dxa"/>
            <w:vAlign w:val="bottom"/>
          </w:tcPr>
          <w:p>
            <w:pPr>
              <w:spacing w:after="0"/>
              <w:rPr>
                <w:sz w:val="13"/>
                <w:szCs w:val="13"/>
                <w:color w:val="auto"/>
              </w:rPr>
            </w:pPr>
          </w:p>
        </w:tc>
        <w:tc>
          <w:tcPr>
            <w:tcW w:w="700" w:type="dxa"/>
            <w:vAlign w:val="bottom"/>
          </w:tcPr>
          <w:p>
            <w:pPr>
              <w:jc w:val="right"/>
              <w:ind w:right="306"/>
              <w:spacing w:after="0"/>
              <w:rPr>
                <w:sz w:val="20"/>
                <w:szCs w:val="20"/>
                <w:color w:val="auto"/>
              </w:rPr>
            </w:pPr>
            <w:r>
              <w:rPr>
                <w:rFonts w:ascii="Arial" w:cs="Arial" w:eastAsia="Arial" w:hAnsi="Arial"/>
                <w:sz w:val="11"/>
                <w:szCs w:val="11"/>
                <w:b w:val="1"/>
                <w:bCs w:val="1"/>
                <w:color w:val="auto"/>
              </w:rPr>
              <w:t>2022</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ind w:right="306"/>
              <w:spacing w:after="0"/>
              <w:rPr>
                <w:sz w:val="20"/>
                <w:szCs w:val="20"/>
                <w:color w:val="auto"/>
              </w:rPr>
            </w:pPr>
            <w:r>
              <w:rPr>
                <w:rFonts w:ascii="Arial" w:cs="Arial" w:eastAsia="Arial" w:hAnsi="Arial"/>
                <w:sz w:val="11"/>
                <w:szCs w:val="11"/>
                <w:b w:val="1"/>
                <w:bCs w:val="1"/>
                <w:color w:val="auto"/>
              </w:rPr>
              <w:t>2021</w:t>
            </w:r>
          </w:p>
        </w:tc>
        <w:tc>
          <w:tcPr>
            <w:tcW w:w="300" w:type="dxa"/>
            <w:vAlign w:val="bottom"/>
            <w:gridSpan w:val="2"/>
          </w:tcPr>
          <w:p>
            <w:pPr>
              <w:jc w:val="right"/>
              <w:spacing w:after="0"/>
              <w:rPr>
                <w:sz w:val="20"/>
                <w:szCs w:val="20"/>
                <w:color w:val="auto"/>
              </w:rPr>
            </w:pPr>
            <w:r>
              <w:rPr>
                <w:rFonts w:ascii="Arial" w:cs="Arial" w:eastAsia="Arial" w:hAnsi="Arial"/>
                <w:sz w:val="11"/>
                <w:szCs w:val="11"/>
                <w:b w:val="1"/>
                <w:bCs w:val="1"/>
                <w:color w:val="auto"/>
              </w:rPr>
              <w:t>$</w:t>
            </w:r>
          </w:p>
        </w:tc>
        <w:tc>
          <w:tcPr>
            <w:tcW w:w="600" w:type="dxa"/>
            <w:vAlign w:val="bottom"/>
          </w:tcPr>
          <w:p>
            <w:pPr>
              <w:jc w:val="right"/>
              <w:ind w:right="166"/>
              <w:spacing w:after="0"/>
              <w:rPr>
                <w:sz w:val="20"/>
                <w:szCs w:val="20"/>
                <w:color w:val="auto"/>
              </w:rPr>
            </w:pPr>
            <w:r>
              <w:rPr>
                <w:rFonts w:ascii="Arial" w:cs="Arial" w:eastAsia="Arial" w:hAnsi="Arial"/>
                <w:sz w:val="11"/>
                <w:szCs w:val="11"/>
                <w:b w:val="1"/>
                <w:bCs w:val="1"/>
                <w:color w:val="auto"/>
                <w:w w:val="89"/>
              </w:rPr>
              <w:t>Change</w:t>
            </w:r>
          </w:p>
        </w:tc>
        <w:tc>
          <w:tcPr>
            <w:tcW w:w="12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1"/>
                <w:szCs w:val="11"/>
                <w:b w:val="1"/>
                <w:bCs w:val="1"/>
                <w:color w:val="auto"/>
              </w:rPr>
              <w:t>% Change</w:t>
            </w:r>
          </w:p>
        </w:tc>
        <w:tc>
          <w:tcPr>
            <w:tcW w:w="60" w:type="dxa"/>
            <w:vAlign w:val="bottom"/>
          </w:tcPr>
          <w:p>
            <w:pPr>
              <w:spacing w:after="0"/>
              <w:rPr>
                <w:sz w:val="13"/>
                <w:szCs w:val="13"/>
                <w:color w:val="auto"/>
              </w:rPr>
            </w:pPr>
          </w:p>
        </w:tc>
        <w:tc>
          <w:tcPr>
            <w:tcW w:w="700" w:type="dxa"/>
            <w:vAlign w:val="bottom"/>
          </w:tcPr>
          <w:p>
            <w:pPr>
              <w:jc w:val="right"/>
              <w:ind w:right="188"/>
              <w:spacing w:after="0"/>
              <w:rPr>
                <w:sz w:val="20"/>
                <w:szCs w:val="20"/>
                <w:color w:val="auto"/>
              </w:rPr>
            </w:pPr>
            <w:r>
              <w:rPr>
                <w:rFonts w:ascii="Arial" w:cs="Arial" w:eastAsia="Arial" w:hAnsi="Arial"/>
                <w:sz w:val="11"/>
                <w:szCs w:val="11"/>
                <w:b w:val="1"/>
                <w:bCs w:val="1"/>
                <w:color w:val="auto"/>
              </w:rPr>
              <w:t>30, 2022</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jc w:val="right"/>
              <w:ind w:right="206"/>
              <w:spacing w:after="0"/>
              <w:rPr>
                <w:sz w:val="20"/>
                <w:szCs w:val="20"/>
                <w:color w:val="auto"/>
              </w:rPr>
            </w:pPr>
            <w:r>
              <w:rPr>
                <w:rFonts w:ascii="Arial" w:cs="Arial" w:eastAsia="Arial" w:hAnsi="Arial"/>
                <w:sz w:val="11"/>
                <w:szCs w:val="11"/>
                <w:b w:val="1"/>
                <w:bCs w:val="1"/>
                <w:color w:val="auto"/>
              </w:rPr>
              <w:t>30, 2021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ind w:right="166"/>
              <w:spacing w:after="0"/>
              <w:rPr>
                <w:sz w:val="20"/>
                <w:szCs w:val="20"/>
                <w:color w:val="auto"/>
              </w:rPr>
            </w:pPr>
            <w:r>
              <w:rPr>
                <w:rFonts w:ascii="Arial" w:cs="Arial" w:eastAsia="Arial" w:hAnsi="Arial"/>
                <w:sz w:val="11"/>
                <w:szCs w:val="11"/>
                <w:b w:val="1"/>
                <w:bCs w:val="1"/>
                <w:color w:val="auto"/>
                <w:w w:val="84"/>
              </w:rPr>
              <w:t>$ Change</w:t>
            </w:r>
          </w:p>
        </w:tc>
        <w:tc>
          <w:tcPr>
            <w:tcW w:w="100" w:type="dxa"/>
            <w:vAlign w:val="bottom"/>
          </w:tcPr>
          <w:p>
            <w:pPr>
              <w:spacing w:after="0"/>
              <w:rPr>
                <w:sz w:val="13"/>
                <w:szCs w:val="13"/>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1"/>
                <w:szCs w:val="11"/>
                <w:b w:val="1"/>
                <w:bCs w:val="1"/>
                <w:color w:val="auto"/>
              </w:rPr>
              <w:t>% Change</w:t>
            </w:r>
          </w:p>
        </w:tc>
      </w:tr>
      <w:tr>
        <w:trPr>
          <w:trHeight w:val="123"/>
        </w:trPr>
        <w:tc>
          <w:tcPr>
            <w:tcW w:w="100" w:type="dxa"/>
            <w:vAlign w:val="bottom"/>
            <w:tcBorders>
              <w:top w:val="single" w:sz="8" w:color="auto"/>
            </w:tcBorders>
          </w:tcPr>
          <w:p>
            <w:pPr>
              <w:spacing w:after="0" w:line="123" w:lineRule="exact"/>
              <w:rPr>
                <w:sz w:val="20"/>
                <w:szCs w:val="20"/>
                <w:color w:val="auto"/>
              </w:rPr>
            </w:pPr>
            <w:r>
              <w:rPr>
                <w:rFonts w:ascii="Arial" w:cs="Arial" w:eastAsia="Arial" w:hAnsi="Arial"/>
                <w:sz w:val="11"/>
                <w:szCs w:val="11"/>
                <w:color w:val="auto"/>
              </w:rPr>
              <w:t>$</w:t>
            </w:r>
          </w:p>
        </w:tc>
        <w:tc>
          <w:tcPr>
            <w:tcW w:w="700" w:type="dxa"/>
            <w:vAlign w:val="bottom"/>
            <w:tcBorders>
              <w:top w:val="single" w:sz="8" w:color="auto"/>
            </w:tcBorders>
          </w:tcPr>
          <w:p>
            <w:pPr>
              <w:jc w:val="right"/>
              <w:ind w:right="86"/>
              <w:spacing w:after="0" w:line="123" w:lineRule="exact"/>
              <w:rPr>
                <w:sz w:val="20"/>
                <w:szCs w:val="20"/>
                <w:color w:val="auto"/>
              </w:rPr>
            </w:pPr>
            <w:r>
              <w:rPr>
                <w:rFonts w:ascii="Arial" w:cs="Arial" w:eastAsia="Arial" w:hAnsi="Arial"/>
                <w:sz w:val="11"/>
                <w:szCs w:val="11"/>
                <w:color w:val="auto"/>
              </w:rPr>
              <w:t>132,733</w:t>
            </w:r>
          </w:p>
        </w:tc>
        <w:tc>
          <w:tcPr>
            <w:tcW w:w="120" w:type="dxa"/>
            <w:vAlign w:val="bottom"/>
          </w:tcPr>
          <w:p>
            <w:pPr>
              <w:spacing w:after="0"/>
              <w:rPr>
                <w:sz w:val="10"/>
                <w:szCs w:val="10"/>
                <w:color w:val="auto"/>
              </w:rPr>
            </w:pPr>
          </w:p>
        </w:tc>
        <w:tc>
          <w:tcPr>
            <w:tcW w:w="100" w:type="dxa"/>
            <w:vAlign w:val="bottom"/>
            <w:tcBorders>
              <w:top w:val="single" w:sz="8" w:color="auto"/>
            </w:tcBorders>
          </w:tcPr>
          <w:p>
            <w:pPr>
              <w:ind w:left="20"/>
              <w:spacing w:after="0" w:line="123" w:lineRule="exact"/>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tcBorders>
          </w:tcPr>
          <w:p>
            <w:pPr>
              <w:jc w:val="right"/>
              <w:ind w:right="86"/>
              <w:spacing w:after="0" w:line="123" w:lineRule="exact"/>
              <w:rPr>
                <w:sz w:val="20"/>
                <w:szCs w:val="20"/>
                <w:color w:val="auto"/>
              </w:rPr>
            </w:pPr>
            <w:r>
              <w:rPr>
                <w:rFonts w:ascii="Arial" w:cs="Arial" w:eastAsia="Arial" w:hAnsi="Arial"/>
                <w:sz w:val="11"/>
                <w:szCs w:val="11"/>
                <w:color w:val="auto"/>
              </w:rPr>
              <w:t>132,322</w:t>
            </w:r>
          </w:p>
        </w:tc>
        <w:tc>
          <w:tcPr>
            <w:tcW w:w="120" w:type="dxa"/>
            <w:vAlign w:val="bottom"/>
          </w:tcPr>
          <w:p>
            <w:pPr>
              <w:spacing w:after="0"/>
              <w:rPr>
                <w:sz w:val="10"/>
                <w:szCs w:val="10"/>
                <w:color w:val="auto"/>
              </w:rPr>
            </w:pPr>
          </w:p>
        </w:tc>
        <w:tc>
          <w:tcPr>
            <w:tcW w:w="180" w:type="dxa"/>
            <w:vAlign w:val="bottom"/>
            <w:tcBorders>
              <w:top w:val="single" w:sz="8" w:color="auto"/>
            </w:tcBorders>
          </w:tcPr>
          <w:p>
            <w:pPr>
              <w:jc w:val="right"/>
              <w:ind w:right="46"/>
              <w:spacing w:after="0" w:line="123" w:lineRule="exact"/>
              <w:rPr>
                <w:sz w:val="20"/>
                <w:szCs w:val="20"/>
                <w:color w:val="auto"/>
              </w:rPr>
            </w:pPr>
            <w:r>
              <w:rPr>
                <w:rFonts w:ascii="Arial" w:cs="Arial" w:eastAsia="Arial" w:hAnsi="Arial"/>
                <w:sz w:val="11"/>
                <w:szCs w:val="11"/>
                <w:color w:val="auto"/>
                <w:w w:val="97"/>
              </w:rPr>
              <w:t>$</w:t>
            </w:r>
          </w:p>
        </w:tc>
        <w:tc>
          <w:tcPr>
            <w:tcW w:w="600" w:type="dxa"/>
            <w:vAlign w:val="bottom"/>
            <w:tcBorders>
              <w:top w:val="single" w:sz="8" w:color="auto"/>
            </w:tcBorders>
          </w:tcPr>
          <w:p>
            <w:pPr>
              <w:jc w:val="right"/>
              <w:ind w:right="66"/>
              <w:spacing w:after="0" w:line="123" w:lineRule="exact"/>
              <w:rPr>
                <w:sz w:val="20"/>
                <w:szCs w:val="20"/>
                <w:color w:val="auto"/>
              </w:rPr>
            </w:pPr>
            <w:r>
              <w:rPr>
                <w:rFonts w:ascii="Arial" w:cs="Arial" w:eastAsia="Arial" w:hAnsi="Arial"/>
                <w:sz w:val="11"/>
                <w:szCs w:val="11"/>
                <w:color w:val="auto"/>
              </w:rPr>
              <w:t>411</w:t>
            </w:r>
          </w:p>
        </w:tc>
        <w:tc>
          <w:tcPr>
            <w:tcW w:w="120" w:type="dxa"/>
            <w:vAlign w:val="bottom"/>
          </w:tcPr>
          <w:p>
            <w:pPr>
              <w:spacing w:after="0"/>
              <w:rPr>
                <w:sz w:val="10"/>
                <w:szCs w:val="10"/>
                <w:color w:val="auto"/>
              </w:rPr>
            </w:pPr>
          </w:p>
        </w:tc>
        <w:tc>
          <w:tcPr>
            <w:tcW w:w="100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1"/>
                <w:szCs w:val="11"/>
                <w:color w:val="auto"/>
              </w:rPr>
              <w:t>0 %</w:t>
            </w:r>
          </w:p>
        </w:tc>
        <w:tc>
          <w:tcPr>
            <w:tcW w:w="100" w:type="dxa"/>
            <w:vAlign w:val="bottom"/>
          </w:tcPr>
          <w:p>
            <w:pPr>
              <w:spacing w:after="0"/>
              <w:rPr>
                <w:sz w:val="10"/>
                <w:szCs w:val="10"/>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tcPr>
          <w:p>
            <w:pPr>
              <w:jc w:val="right"/>
              <w:ind w:right="68"/>
              <w:spacing w:after="0" w:line="123" w:lineRule="exact"/>
              <w:rPr>
                <w:sz w:val="20"/>
                <w:szCs w:val="20"/>
                <w:color w:val="auto"/>
              </w:rPr>
            </w:pPr>
            <w:r>
              <w:rPr>
                <w:rFonts w:ascii="Arial" w:cs="Arial" w:eastAsia="Arial" w:hAnsi="Arial"/>
                <w:sz w:val="11"/>
                <w:szCs w:val="11"/>
                <w:color w:val="auto"/>
              </w:rPr>
              <w:t>385,391</w:t>
            </w:r>
          </w:p>
        </w:tc>
        <w:tc>
          <w:tcPr>
            <w:tcW w:w="120" w:type="dxa"/>
            <w:vAlign w:val="bottom"/>
          </w:tcPr>
          <w:p>
            <w:pPr>
              <w:spacing w:after="0"/>
              <w:rPr>
                <w:sz w:val="10"/>
                <w:szCs w:val="10"/>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tcPr>
          <w:p>
            <w:pPr>
              <w:jc w:val="right"/>
              <w:ind w:right="66"/>
              <w:spacing w:after="0" w:line="123" w:lineRule="exact"/>
              <w:rPr>
                <w:sz w:val="20"/>
                <w:szCs w:val="20"/>
                <w:color w:val="auto"/>
              </w:rPr>
            </w:pPr>
            <w:r>
              <w:rPr>
                <w:rFonts w:ascii="Arial" w:cs="Arial" w:eastAsia="Arial" w:hAnsi="Arial"/>
                <w:sz w:val="11"/>
                <w:szCs w:val="11"/>
                <w:color w:val="auto"/>
              </w:rPr>
              <w:t>320,804</w:t>
            </w:r>
          </w:p>
        </w:tc>
        <w:tc>
          <w:tcPr>
            <w:tcW w:w="100" w:type="dxa"/>
            <w:vAlign w:val="bottom"/>
          </w:tcPr>
          <w:p>
            <w:pPr>
              <w:spacing w:after="0"/>
              <w:rPr>
                <w:sz w:val="10"/>
                <w:szCs w:val="10"/>
                <w:color w:val="auto"/>
              </w:rPr>
            </w:pPr>
          </w:p>
        </w:tc>
        <w:tc>
          <w:tcPr>
            <w:tcW w:w="10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1"/>
                <w:szCs w:val="11"/>
                <w:color w:val="auto"/>
                <w:w w:val="97"/>
              </w:rPr>
              <w:t>$</w:t>
            </w:r>
          </w:p>
        </w:tc>
        <w:tc>
          <w:tcPr>
            <w:tcW w:w="660" w:type="dxa"/>
            <w:vAlign w:val="bottom"/>
            <w:tcBorders>
              <w:top w:val="single" w:sz="8" w:color="auto"/>
            </w:tcBorders>
          </w:tcPr>
          <w:p>
            <w:pPr>
              <w:jc w:val="right"/>
              <w:ind w:right="66"/>
              <w:spacing w:after="0" w:line="123" w:lineRule="exact"/>
              <w:rPr>
                <w:sz w:val="20"/>
                <w:szCs w:val="20"/>
                <w:color w:val="auto"/>
              </w:rPr>
            </w:pPr>
            <w:r>
              <w:rPr>
                <w:rFonts w:ascii="Arial" w:cs="Arial" w:eastAsia="Arial" w:hAnsi="Arial"/>
                <w:sz w:val="11"/>
                <w:szCs w:val="11"/>
                <w:color w:val="auto"/>
              </w:rPr>
              <w:t>64,587</w:t>
            </w:r>
          </w:p>
        </w:tc>
        <w:tc>
          <w:tcPr>
            <w:tcW w:w="100" w:type="dxa"/>
            <w:vAlign w:val="bottom"/>
          </w:tcPr>
          <w:p>
            <w:pPr>
              <w:spacing w:after="0"/>
              <w:rPr>
                <w:sz w:val="10"/>
                <w:szCs w:val="10"/>
                <w:color w:val="auto"/>
              </w:rPr>
            </w:pPr>
          </w:p>
        </w:tc>
        <w:tc>
          <w:tcPr>
            <w:tcW w:w="94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1"/>
                <w:szCs w:val="11"/>
                <w:color w:val="auto"/>
              </w:rPr>
              <w:t>20 %</w:t>
            </w:r>
          </w:p>
        </w:tc>
        <w:tc>
          <w:tcPr>
            <w:tcW w:w="40" w:type="dxa"/>
            <w:vAlign w:val="bottom"/>
          </w:tcPr>
          <w:p>
            <w:pPr>
              <w:spacing w:after="0"/>
              <w:rPr>
                <w:sz w:val="10"/>
                <w:szCs w:val="10"/>
                <w:color w:val="auto"/>
              </w:rPr>
            </w:pPr>
          </w:p>
        </w:tc>
      </w:tr>
      <w:tr>
        <w:trPr>
          <w:trHeight w:val="135"/>
        </w:trPr>
        <w:tc>
          <w:tcPr>
            <w:tcW w:w="100" w:type="dxa"/>
            <w:vAlign w:val="bottom"/>
          </w:tcPr>
          <w:p>
            <w:pPr>
              <w:spacing w:after="0"/>
              <w:rPr>
                <w:sz w:val="11"/>
                <w:szCs w:val="11"/>
                <w:color w:val="auto"/>
              </w:rPr>
            </w:pP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(80,462 )</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(69,525 )</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(10,937 )</w:t>
            </w:r>
          </w:p>
        </w:tc>
        <w:tc>
          <w:tcPr>
            <w:tcW w:w="1120" w:type="dxa"/>
            <w:vAlign w:val="bottom"/>
            <w:gridSpan w:val="2"/>
          </w:tcPr>
          <w:p>
            <w:pPr>
              <w:jc w:val="right"/>
              <w:spacing w:after="0"/>
              <w:rPr>
                <w:sz w:val="20"/>
                <w:szCs w:val="20"/>
                <w:color w:val="auto"/>
              </w:rPr>
            </w:pPr>
            <w:r>
              <w:rPr>
                <w:rFonts w:ascii="Arial" w:cs="Arial" w:eastAsia="Arial" w:hAnsi="Arial"/>
                <w:sz w:val="11"/>
                <w:szCs w:val="11"/>
                <w:color w:val="auto"/>
              </w:rPr>
              <w:t>16 %</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(225,645 )</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(181,120 )</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(44,525 )</w:t>
            </w:r>
          </w:p>
        </w:tc>
        <w:tc>
          <w:tcPr>
            <w:tcW w:w="1040" w:type="dxa"/>
            <w:vAlign w:val="bottom"/>
            <w:gridSpan w:val="2"/>
          </w:tcPr>
          <w:p>
            <w:pPr>
              <w:jc w:val="right"/>
              <w:spacing w:after="0"/>
              <w:rPr>
                <w:sz w:val="20"/>
                <w:szCs w:val="20"/>
                <w:color w:val="auto"/>
              </w:rPr>
            </w:pPr>
            <w:r>
              <w:rPr>
                <w:rFonts w:ascii="Arial" w:cs="Arial" w:eastAsia="Arial" w:hAnsi="Arial"/>
                <w:sz w:val="11"/>
                <w:szCs w:val="11"/>
                <w:color w:val="auto"/>
              </w:rPr>
              <w:t>25 %</w:t>
            </w:r>
          </w:p>
        </w:tc>
        <w:tc>
          <w:tcPr>
            <w:tcW w:w="40" w:type="dxa"/>
            <w:vAlign w:val="bottom"/>
          </w:tcPr>
          <w:p>
            <w:pPr>
              <w:spacing w:after="0"/>
              <w:rPr>
                <w:sz w:val="11"/>
                <w:szCs w:val="11"/>
                <w:color w:val="auto"/>
              </w:rPr>
            </w:pPr>
          </w:p>
        </w:tc>
      </w:tr>
      <w:tr>
        <w:trPr>
          <w:trHeight w:val="140"/>
        </w:trPr>
        <w:tc>
          <w:tcPr>
            <w:tcW w:w="100" w:type="dxa"/>
            <w:vAlign w:val="bottom"/>
          </w:tcPr>
          <w:p>
            <w:pPr>
              <w:spacing w:after="0"/>
              <w:rPr>
                <w:sz w:val="12"/>
                <w:szCs w:val="12"/>
                <w:color w:val="auto"/>
              </w:rPr>
            </w:pP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(136 )</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(1,430 )</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1,294</w:t>
            </w:r>
          </w:p>
        </w:tc>
        <w:tc>
          <w:tcPr>
            <w:tcW w:w="1220" w:type="dxa"/>
            <w:vAlign w:val="bottom"/>
            <w:gridSpan w:val="3"/>
          </w:tcPr>
          <w:p>
            <w:pPr>
              <w:jc w:val="right"/>
              <w:ind w:right="80"/>
              <w:spacing w:after="0"/>
              <w:rPr>
                <w:sz w:val="20"/>
                <w:szCs w:val="20"/>
                <w:color w:val="auto"/>
              </w:rPr>
            </w:pPr>
            <w:r>
              <w:rPr>
                <w:rFonts w:ascii="Arial" w:cs="Arial" w:eastAsia="Arial" w:hAnsi="Arial"/>
                <w:sz w:val="11"/>
                <w:szCs w:val="11"/>
                <w:color w:val="auto"/>
              </w:rPr>
              <w:t>(90 %)</w:t>
            </w: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(136 )</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(2,922 )</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2,786</w:t>
            </w:r>
          </w:p>
        </w:tc>
        <w:tc>
          <w:tcPr>
            <w:tcW w:w="1080" w:type="dxa"/>
            <w:vAlign w:val="bottom"/>
            <w:gridSpan w:val="3"/>
          </w:tcPr>
          <w:p>
            <w:pPr>
              <w:jc w:val="right"/>
              <w:spacing w:after="0"/>
              <w:rPr>
                <w:sz w:val="20"/>
                <w:szCs w:val="20"/>
                <w:color w:val="auto"/>
              </w:rPr>
            </w:pPr>
            <w:r>
              <w:rPr>
                <w:rFonts w:ascii="Arial" w:cs="Arial" w:eastAsia="Arial" w:hAnsi="Arial"/>
                <w:sz w:val="11"/>
                <w:szCs w:val="11"/>
                <w:color w:val="auto"/>
              </w:rPr>
              <w:t>(95 %)</w:t>
            </w:r>
          </w:p>
        </w:tc>
      </w:tr>
      <w:tr>
        <w:trPr>
          <w:trHeight w:val="123"/>
        </w:trPr>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right"/>
              <w:ind w:right="86"/>
              <w:spacing w:after="0" w:line="123" w:lineRule="exact"/>
              <w:rPr>
                <w:sz w:val="20"/>
                <w:szCs w:val="20"/>
                <w:color w:val="auto"/>
              </w:rPr>
            </w:pPr>
            <w:r>
              <w:rPr>
                <w:rFonts w:ascii="Arial" w:cs="Arial" w:eastAsia="Arial" w:hAnsi="Arial"/>
                <w:sz w:val="11"/>
                <w:szCs w:val="11"/>
                <w:color w:val="auto"/>
              </w:rPr>
              <w:t>52,135</w:t>
            </w: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ind w:right="86"/>
              <w:spacing w:after="0" w:line="123" w:lineRule="exact"/>
              <w:rPr>
                <w:sz w:val="20"/>
                <w:szCs w:val="20"/>
                <w:color w:val="auto"/>
              </w:rPr>
            </w:pPr>
            <w:r>
              <w:rPr>
                <w:rFonts w:ascii="Arial" w:cs="Arial" w:eastAsia="Arial" w:hAnsi="Arial"/>
                <w:sz w:val="11"/>
                <w:szCs w:val="11"/>
                <w:color w:val="auto"/>
              </w:rPr>
              <w:t>61,367</w:t>
            </w:r>
          </w:p>
        </w:tc>
        <w:tc>
          <w:tcPr>
            <w:tcW w:w="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right"/>
              <w:ind w:right="6"/>
              <w:spacing w:after="0" w:line="123" w:lineRule="exact"/>
              <w:rPr>
                <w:sz w:val="20"/>
                <w:szCs w:val="20"/>
                <w:color w:val="auto"/>
              </w:rPr>
            </w:pPr>
            <w:r>
              <w:rPr>
                <w:rFonts w:ascii="Arial" w:cs="Arial" w:eastAsia="Arial" w:hAnsi="Arial"/>
                <w:sz w:val="11"/>
                <w:szCs w:val="11"/>
                <w:color w:val="auto"/>
              </w:rPr>
              <w:t>(9,232 )</w:t>
            </w:r>
          </w:p>
        </w:tc>
        <w:tc>
          <w:tcPr>
            <w:tcW w:w="120" w:type="dxa"/>
            <w:vAlign w:val="bottom"/>
          </w:tcPr>
          <w:p>
            <w:pPr>
              <w:spacing w:after="0"/>
              <w:rPr>
                <w:sz w:val="10"/>
                <w:szCs w:val="10"/>
                <w:color w:val="auto"/>
              </w:rPr>
            </w:pPr>
          </w:p>
        </w:tc>
        <w:tc>
          <w:tcPr>
            <w:tcW w:w="100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1"/>
                <w:szCs w:val="11"/>
                <w:color w:val="auto"/>
              </w:rPr>
              <w:t>(15 %)</w:t>
            </w:r>
          </w:p>
        </w:tc>
        <w:tc>
          <w:tcPr>
            <w:tcW w:w="1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right"/>
              <w:ind w:right="68"/>
              <w:spacing w:after="0" w:line="123" w:lineRule="exact"/>
              <w:rPr>
                <w:sz w:val="20"/>
                <w:szCs w:val="20"/>
                <w:color w:val="auto"/>
              </w:rPr>
            </w:pPr>
            <w:r>
              <w:rPr>
                <w:rFonts w:ascii="Arial" w:cs="Arial" w:eastAsia="Arial" w:hAnsi="Arial"/>
                <w:sz w:val="11"/>
                <w:szCs w:val="11"/>
                <w:color w:val="auto"/>
              </w:rPr>
              <w:t>159,610</w:t>
            </w:r>
          </w:p>
        </w:tc>
        <w:tc>
          <w:tcPr>
            <w:tcW w:w="1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ind w:right="66"/>
              <w:spacing w:after="0" w:line="123" w:lineRule="exact"/>
              <w:rPr>
                <w:sz w:val="20"/>
                <w:szCs w:val="20"/>
                <w:color w:val="auto"/>
              </w:rPr>
            </w:pPr>
            <w:r>
              <w:rPr>
                <w:rFonts w:ascii="Arial" w:cs="Arial" w:eastAsia="Arial" w:hAnsi="Arial"/>
                <w:sz w:val="11"/>
                <w:szCs w:val="11"/>
                <w:color w:val="auto"/>
              </w:rPr>
              <w:t>136,762</w:t>
            </w: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ind w:right="66"/>
              <w:spacing w:after="0" w:line="123" w:lineRule="exact"/>
              <w:rPr>
                <w:sz w:val="20"/>
                <w:szCs w:val="20"/>
                <w:color w:val="auto"/>
              </w:rPr>
            </w:pPr>
            <w:r>
              <w:rPr>
                <w:rFonts w:ascii="Arial" w:cs="Arial" w:eastAsia="Arial" w:hAnsi="Arial"/>
                <w:sz w:val="11"/>
                <w:szCs w:val="11"/>
                <w:color w:val="auto"/>
              </w:rPr>
              <w:t>22,848</w:t>
            </w:r>
          </w:p>
        </w:tc>
        <w:tc>
          <w:tcPr>
            <w:tcW w:w="100" w:type="dxa"/>
            <w:vAlign w:val="bottom"/>
          </w:tcPr>
          <w:p>
            <w:pPr>
              <w:spacing w:after="0"/>
              <w:rPr>
                <w:sz w:val="10"/>
                <w:szCs w:val="10"/>
                <w:color w:val="auto"/>
              </w:rPr>
            </w:pPr>
          </w:p>
        </w:tc>
        <w:tc>
          <w:tcPr>
            <w:tcW w:w="94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1"/>
                <w:szCs w:val="11"/>
                <w:color w:val="auto"/>
              </w:rPr>
              <w:t>17 %</w:t>
            </w:r>
          </w:p>
        </w:tc>
        <w:tc>
          <w:tcPr>
            <w:tcW w:w="40" w:type="dxa"/>
            <w:vAlign w:val="bottom"/>
          </w:tcPr>
          <w:p>
            <w:pPr>
              <w:spacing w:after="0"/>
              <w:rPr>
                <w:sz w:val="10"/>
                <w:szCs w:val="10"/>
                <w:color w:val="auto"/>
              </w:rPr>
            </w:pPr>
          </w:p>
        </w:tc>
      </w:tr>
      <w:tr>
        <w:trPr>
          <w:trHeight w:val="140"/>
        </w:trPr>
        <w:tc>
          <w:tcPr>
            <w:tcW w:w="100" w:type="dxa"/>
            <w:vAlign w:val="bottom"/>
          </w:tcPr>
          <w:p>
            <w:pPr>
              <w:spacing w:after="0"/>
              <w:rPr>
                <w:sz w:val="12"/>
                <w:szCs w:val="12"/>
                <w:color w:val="auto"/>
              </w:rPr>
            </w:pP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(70,845 )</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(61,745 )</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(9,100 )</w:t>
            </w:r>
          </w:p>
        </w:tc>
        <w:tc>
          <w:tcPr>
            <w:tcW w:w="1120" w:type="dxa"/>
            <w:vAlign w:val="bottom"/>
            <w:gridSpan w:val="2"/>
          </w:tcPr>
          <w:p>
            <w:pPr>
              <w:jc w:val="right"/>
              <w:spacing w:after="0"/>
              <w:rPr>
                <w:sz w:val="20"/>
                <w:szCs w:val="20"/>
                <w:color w:val="auto"/>
              </w:rPr>
            </w:pPr>
            <w:r>
              <w:rPr>
                <w:rFonts w:ascii="Arial" w:cs="Arial" w:eastAsia="Arial" w:hAnsi="Arial"/>
                <w:sz w:val="11"/>
                <w:szCs w:val="11"/>
                <w:color w:val="auto"/>
              </w:rPr>
              <w:t>15 %</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(215,093 )</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(162,282 )</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(52,811 )</w:t>
            </w:r>
          </w:p>
        </w:tc>
        <w:tc>
          <w:tcPr>
            <w:tcW w:w="1040" w:type="dxa"/>
            <w:vAlign w:val="bottom"/>
            <w:gridSpan w:val="2"/>
          </w:tcPr>
          <w:p>
            <w:pPr>
              <w:jc w:val="right"/>
              <w:spacing w:after="0"/>
              <w:rPr>
                <w:sz w:val="20"/>
                <w:szCs w:val="20"/>
                <w:color w:val="auto"/>
              </w:rPr>
            </w:pPr>
            <w:r>
              <w:rPr>
                <w:rFonts w:ascii="Arial" w:cs="Arial" w:eastAsia="Arial" w:hAnsi="Arial"/>
                <w:sz w:val="11"/>
                <w:szCs w:val="11"/>
                <w:color w:val="auto"/>
              </w:rPr>
              <w:t>33 %</w:t>
            </w:r>
          </w:p>
        </w:tc>
        <w:tc>
          <w:tcPr>
            <w:tcW w:w="40" w:type="dxa"/>
            <w:vAlign w:val="bottom"/>
          </w:tcPr>
          <w:p>
            <w:pPr>
              <w:spacing w:after="0"/>
              <w:rPr>
                <w:sz w:val="12"/>
                <w:szCs w:val="12"/>
                <w:color w:val="auto"/>
              </w:rPr>
            </w:pPr>
          </w:p>
        </w:tc>
      </w:tr>
      <w:tr>
        <w:trPr>
          <w:trHeight w:val="123"/>
        </w:trPr>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right"/>
              <w:ind w:right="26"/>
              <w:spacing w:after="0" w:line="123" w:lineRule="exact"/>
              <w:rPr>
                <w:sz w:val="20"/>
                <w:szCs w:val="20"/>
                <w:color w:val="auto"/>
              </w:rPr>
            </w:pPr>
            <w:r>
              <w:rPr>
                <w:rFonts w:ascii="Arial" w:cs="Arial" w:eastAsia="Arial" w:hAnsi="Arial"/>
                <w:sz w:val="11"/>
                <w:szCs w:val="11"/>
                <w:color w:val="auto"/>
              </w:rPr>
              <w:t>(18,710 )</w:t>
            </w: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ind w:right="6"/>
              <w:spacing w:after="0" w:line="123" w:lineRule="exact"/>
              <w:rPr>
                <w:sz w:val="20"/>
                <w:szCs w:val="20"/>
                <w:color w:val="auto"/>
              </w:rPr>
            </w:pPr>
            <w:r>
              <w:rPr>
                <w:rFonts w:ascii="Arial" w:cs="Arial" w:eastAsia="Arial" w:hAnsi="Arial"/>
                <w:sz w:val="11"/>
                <w:szCs w:val="11"/>
                <w:color w:val="auto"/>
              </w:rPr>
              <w:t>(378 )</w:t>
            </w:r>
          </w:p>
        </w:tc>
        <w:tc>
          <w:tcPr>
            <w:tcW w:w="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right"/>
              <w:ind w:right="6"/>
              <w:spacing w:after="0" w:line="123" w:lineRule="exact"/>
              <w:rPr>
                <w:sz w:val="20"/>
                <w:szCs w:val="20"/>
                <w:color w:val="auto"/>
              </w:rPr>
            </w:pPr>
            <w:r>
              <w:rPr>
                <w:rFonts w:ascii="Arial" w:cs="Arial" w:eastAsia="Arial" w:hAnsi="Arial"/>
                <w:sz w:val="11"/>
                <w:szCs w:val="11"/>
                <w:color w:val="auto"/>
              </w:rPr>
              <w:t>(18,332 )</w:t>
            </w:r>
          </w:p>
        </w:tc>
        <w:tc>
          <w:tcPr>
            <w:tcW w:w="120" w:type="dxa"/>
            <w:vAlign w:val="bottom"/>
          </w:tcPr>
          <w:p>
            <w:pPr>
              <w:spacing w:after="0"/>
              <w:rPr>
                <w:sz w:val="10"/>
                <w:szCs w:val="10"/>
                <w:color w:val="auto"/>
              </w:rPr>
            </w:pPr>
          </w:p>
        </w:tc>
        <w:tc>
          <w:tcPr>
            <w:tcW w:w="100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1"/>
                <w:szCs w:val="11"/>
                <w:color w:val="auto"/>
              </w:rPr>
              <w:t>4850 %</w:t>
            </w:r>
          </w:p>
        </w:tc>
        <w:tc>
          <w:tcPr>
            <w:tcW w:w="1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1"/>
                <w:szCs w:val="11"/>
                <w:color w:val="auto"/>
              </w:rPr>
              <w:t>(55,483 )</w:t>
            </w:r>
          </w:p>
        </w:tc>
        <w:tc>
          <w:tcPr>
            <w:tcW w:w="1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ind w:right="6"/>
              <w:spacing w:after="0" w:line="123" w:lineRule="exact"/>
              <w:rPr>
                <w:sz w:val="20"/>
                <w:szCs w:val="20"/>
                <w:color w:val="auto"/>
              </w:rPr>
            </w:pPr>
            <w:r>
              <w:rPr>
                <w:rFonts w:ascii="Arial" w:cs="Arial" w:eastAsia="Arial" w:hAnsi="Arial"/>
                <w:sz w:val="11"/>
                <w:szCs w:val="11"/>
                <w:color w:val="auto"/>
              </w:rPr>
              <w:t>(25,520 )</w:t>
            </w: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ind w:right="6"/>
              <w:spacing w:after="0" w:line="123" w:lineRule="exact"/>
              <w:rPr>
                <w:sz w:val="20"/>
                <w:szCs w:val="20"/>
                <w:color w:val="auto"/>
              </w:rPr>
            </w:pPr>
            <w:r>
              <w:rPr>
                <w:rFonts w:ascii="Arial" w:cs="Arial" w:eastAsia="Arial" w:hAnsi="Arial"/>
                <w:sz w:val="11"/>
                <w:szCs w:val="11"/>
                <w:color w:val="auto"/>
              </w:rPr>
              <w:t>(29,963 )</w:t>
            </w:r>
          </w:p>
        </w:tc>
        <w:tc>
          <w:tcPr>
            <w:tcW w:w="100" w:type="dxa"/>
            <w:vAlign w:val="bottom"/>
          </w:tcPr>
          <w:p>
            <w:pPr>
              <w:spacing w:after="0"/>
              <w:rPr>
                <w:sz w:val="10"/>
                <w:szCs w:val="10"/>
                <w:color w:val="auto"/>
              </w:rPr>
            </w:pPr>
          </w:p>
        </w:tc>
        <w:tc>
          <w:tcPr>
            <w:tcW w:w="94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1"/>
                <w:szCs w:val="11"/>
                <w:color w:val="auto"/>
              </w:rPr>
              <w:t>117 %</w:t>
            </w:r>
          </w:p>
        </w:tc>
        <w:tc>
          <w:tcPr>
            <w:tcW w:w="40" w:type="dxa"/>
            <w:vAlign w:val="bottom"/>
          </w:tcPr>
          <w:p>
            <w:pPr>
              <w:spacing w:after="0"/>
              <w:rPr>
                <w:sz w:val="10"/>
                <w:szCs w:val="10"/>
                <w:color w:val="auto"/>
              </w:rPr>
            </w:pPr>
          </w:p>
        </w:tc>
      </w:tr>
      <w:tr>
        <w:trPr>
          <w:trHeight w:val="135"/>
        </w:trPr>
        <w:tc>
          <w:tcPr>
            <w:tcW w:w="100" w:type="dxa"/>
            <w:vAlign w:val="bottom"/>
          </w:tcPr>
          <w:p>
            <w:pPr>
              <w:spacing w:after="0"/>
              <w:rPr>
                <w:sz w:val="11"/>
                <w:szCs w:val="11"/>
                <w:color w:val="auto"/>
              </w:rPr>
            </w:pP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(13,018 )</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(56,991 )</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43,973</w:t>
            </w:r>
          </w:p>
        </w:tc>
        <w:tc>
          <w:tcPr>
            <w:tcW w:w="1220" w:type="dxa"/>
            <w:vAlign w:val="bottom"/>
            <w:gridSpan w:val="3"/>
          </w:tcPr>
          <w:p>
            <w:pPr>
              <w:jc w:val="right"/>
              <w:ind w:right="80"/>
              <w:spacing w:after="0"/>
              <w:rPr>
                <w:sz w:val="20"/>
                <w:szCs w:val="20"/>
                <w:color w:val="auto"/>
              </w:rPr>
            </w:pPr>
            <w:r>
              <w:rPr>
                <w:rFonts w:ascii="Arial" w:cs="Arial" w:eastAsia="Arial" w:hAnsi="Arial"/>
                <w:sz w:val="11"/>
                <w:szCs w:val="11"/>
                <w:color w:val="auto"/>
              </w:rPr>
              <w:t>(77 %)</w:t>
            </w: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(39,072 )</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(67,301 )</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28,229</w:t>
            </w:r>
          </w:p>
        </w:tc>
        <w:tc>
          <w:tcPr>
            <w:tcW w:w="1080" w:type="dxa"/>
            <w:vAlign w:val="bottom"/>
            <w:gridSpan w:val="3"/>
          </w:tcPr>
          <w:p>
            <w:pPr>
              <w:jc w:val="right"/>
              <w:spacing w:after="0"/>
              <w:rPr>
                <w:sz w:val="20"/>
                <w:szCs w:val="20"/>
                <w:color w:val="auto"/>
              </w:rPr>
            </w:pPr>
            <w:r>
              <w:rPr>
                <w:rFonts w:ascii="Arial" w:cs="Arial" w:eastAsia="Arial" w:hAnsi="Arial"/>
                <w:sz w:val="11"/>
                <w:szCs w:val="11"/>
                <w:color w:val="auto"/>
              </w:rPr>
              <w:t>(42 %)</w:t>
            </w:r>
          </w:p>
        </w:tc>
      </w:tr>
      <w:tr>
        <w:trPr>
          <w:trHeight w:val="140"/>
        </w:trPr>
        <w:tc>
          <w:tcPr>
            <w:tcW w:w="100" w:type="dxa"/>
            <w:vAlign w:val="bottom"/>
          </w:tcPr>
          <w:p>
            <w:pPr>
              <w:spacing w:after="0"/>
              <w:rPr>
                <w:sz w:val="12"/>
                <w:szCs w:val="12"/>
                <w:color w:val="auto"/>
              </w:rPr>
            </w:pP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(6,575 )</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86"/>
              <w:spacing w:after="0"/>
              <w:rPr>
                <w:sz w:val="20"/>
                <w:szCs w:val="20"/>
                <w:color w:val="auto"/>
              </w:rPr>
            </w:pPr>
            <w:r>
              <w:rPr>
                <w:rFonts w:ascii="Arial" w:cs="Arial" w:eastAsia="Arial" w:hAnsi="Arial"/>
                <w:sz w:val="11"/>
                <w:szCs w:val="11"/>
                <w:color w:val="auto"/>
              </w:rPr>
              <w:t>12,999</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(19,574 )</w:t>
            </w:r>
          </w:p>
        </w:tc>
        <w:tc>
          <w:tcPr>
            <w:tcW w:w="1220" w:type="dxa"/>
            <w:vAlign w:val="bottom"/>
            <w:gridSpan w:val="3"/>
          </w:tcPr>
          <w:p>
            <w:pPr>
              <w:jc w:val="right"/>
              <w:ind w:right="80"/>
              <w:spacing w:after="0"/>
              <w:rPr>
                <w:sz w:val="20"/>
                <w:szCs w:val="20"/>
                <w:color w:val="auto"/>
              </w:rPr>
            </w:pPr>
            <w:r>
              <w:rPr>
                <w:rFonts w:ascii="Arial" w:cs="Arial" w:eastAsia="Arial" w:hAnsi="Arial"/>
                <w:sz w:val="11"/>
                <w:szCs w:val="11"/>
                <w:color w:val="auto"/>
              </w:rPr>
              <w:t>(151 %)</w:t>
            </w: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(25,909 )</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631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(26,540 )</w:t>
            </w:r>
          </w:p>
        </w:tc>
        <w:tc>
          <w:tcPr>
            <w:tcW w:w="1080" w:type="dxa"/>
            <w:vAlign w:val="bottom"/>
            <w:gridSpan w:val="3"/>
          </w:tcPr>
          <w:p>
            <w:pPr>
              <w:jc w:val="right"/>
              <w:spacing w:after="0"/>
              <w:rPr>
                <w:sz w:val="20"/>
                <w:szCs w:val="20"/>
                <w:color w:val="auto"/>
              </w:rPr>
            </w:pPr>
            <w:r>
              <w:rPr>
                <w:rFonts w:ascii="Arial" w:cs="Arial" w:eastAsia="Arial" w:hAnsi="Arial"/>
                <w:sz w:val="11"/>
                <w:szCs w:val="11"/>
                <w:color w:val="auto"/>
              </w:rPr>
              <w:t>(4,206 %)</w:t>
            </w:r>
          </w:p>
        </w:tc>
      </w:tr>
      <w:tr>
        <w:trPr>
          <w:trHeight w:val="123"/>
        </w:trPr>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right"/>
              <w:ind w:right="26"/>
              <w:spacing w:after="0" w:line="123" w:lineRule="exact"/>
              <w:rPr>
                <w:sz w:val="20"/>
                <w:szCs w:val="20"/>
                <w:color w:val="auto"/>
              </w:rPr>
            </w:pPr>
            <w:r>
              <w:rPr>
                <w:rFonts w:ascii="Arial" w:cs="Arial" w:eastAsia="Arial" w:hAnsi="Arial"/>
                <w:sz w:val="11"/>
                <w:szCs w:val="11"/>
                <w:color w:val="auto"/>
              </w:rPr>
              <w:t>(38,303 )</w:t>
            </w: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ind w:right="6"/>
              <w:spacing w:after="0" w:line="123" w:lineRule="exact"/>
              <w:rPr>
                <w:sz w:val="20"/>
                <w:szCs w:val="20"/>
                <w:color w:val="auto"/>
              </w:rPr>
            </w:pPr>
            <w:r>
              <w:rPr>
                <w:rFonts w:ascii="Arial" w:cs="Arial" w:eastAsia="Arial" w:hAnsi="Arial"/>
                <w:sz w:val="11"/>
                <w:szCs w:val="11"/>
                <w:color w:val="auto"/>
              </w:rPr>
              <w:t>(44,370 )</w:t>
            </w:r>
          </w:p>
        </w:tc>
        <w:tc>
          <w:tcPr>
            <w:tcW w:w="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right"/>
              <w:ind w:right="66"/>
              <w:spacing w:after="0" w:line="123" w:lineRule="exact"/>
              <w:rPr>
                <w:sz w:val="20"/>
                <w:szCs w:val="20"/>
                <w:color w:val="auto"/>
              </w:rPr>
            </w:pPr>
            <w:r>
              <w:rPr>
                <w:rFonts w:ascii="Arial" w:cs="Arial" w:eastAsia="Arial" w:hAnsi="Arial"/>
                <w:sz w:val="11"/>
                <w:szCs w:val="11"/>
                <w:color w:val="auto"/>
              </w:rPr>
              <w:t>6,067</w:t>
            </w:r>
          </w:p>
        </w:tc>
        <w:tc>
          <w:tcPr>
            <w:tcW w:w="120" w:type="dxa"/>
            <w:vAlign w:val="bottom"/>
          </w:tcPr>
          <w:p>
            <w:pPr>
              <w:spacing w:after="0"/>
              <w:rPr>
                <w:sz w:val="10"/>
                <w:szCs w:val="10"/>
                <w:color w:val="auto"/>
              </w:rPr>
            </w:pPr>
          </w:p>
        </w:tc>
        <w:tc>
          <w:tcPr>
            <w:tcW w:w="100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1"/>
                <w:szCs w:val="11"/>
                <w:color w:val="auto"/>
              </w:rPr>
              <w:t>(14 %)</w:t>
            </w:r>
          </w:p>
        </w:tc>
        <w:tc>
          <w:tcPr>
            <w:tcW w:w="1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1"/>
                <w:szCs w:val="11"/>
                <w:color w:val="auto"/>
              </w:rPr>
              <w:t>(120,464 )</w:t>
            </w:r>
          </w:p>
        </w:tc>
        <w:tc>
          <w:tcPr>
            <w:tcW w:w="1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ind w:right="6"/>
              <w:spacing w:after="0" w:line="123" w:lineRule="exact"/>
              <w:rPr>
                <w:sz w:val="20"/>
                <w:szCs w:val="20"/>
                <w:color w:val="auto"/>
              </w:rPr>
            </w:pPr>
            <w:r>
              <w:rPr>
                <w:rFonts w:ascii="Arial" w:cs="Arial" w:eastAsia="Arial" w:hAnsi="Arial"/>
                <w:sz w:val="11"/>
                <w:szCs w:val="11"/>
                <w:color w:val="auto"/>
              </w:rPr>
              <w:t>(92,190 )</w:t>
            </w: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ind w:right="6"/>
              <w:spacing w:after="0" w:line="123" w:lineRule="exact"/>
              <w:rPr>
                <w:sz w:val="20"/>
                <w:szCs w:val="20"/>
                <w:color w:val="auto"/>
              </w:rPr>
            </w:pPr>
            <w:r>
              <w:rPr>
                <w:rFonts w:ascii="Arial" w:cs="Arial" w:eastAsia="Arial" w:hAnsi="Arial"/>
                <w:sz w:val="11"/>
                <w:szCs w:val="11"/>
                <w:color w:val="auto"/>
              </w:rPr>
              <w:t>(28,274 )</w:t>
            </w:r>
          </w:p>
        </w:tc>
        <w:tc>
          <w:tcPr>
            <w:tcW w:w="100" w:type="dxa"/>
            <w:vAlign w:val="bottom"/>
          </w:tcPr>
          <w:p>
            <w:pPr>
              <w:spacing w:after="0"/>
              <w:rPr>
                <w:sz w:val="10"/>
                <w:szCs w:val="10"/>
                <w:color w:val="auto"/>
              </w:rPr>
            </w:pPr>
          </w:p>
        </w:tc>
        <w:tc>
          <w:tcPr>
            <w:tcW w:w="94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1"/>
                <w:szCs w:val="11"/>
                <w:color w:val="auto"/>
              </w:rPr>
              <w:t>31 %</w:t>
            </w:r>
          </w:p>
        </w:tc>
        <w:tc>
          <w:tcPr>
            <w:tcW w:w="40" w:type="dxa"/>
            <w:vAlign w:val="bottom"/>
          </w:tcPr>
          <w:p>
            <w:pPr>
              <w:spacing w:after="0"/>
              <w:rPr>
                <w:sz w:val="10"/>
                <w:szCs w:val="10"/>
                <w:color w:val="auto"/>
              </w:rPr>
            </w:pPr>
          </w:p>
        </w:tc>
      </w:tr>
      <w:tr>
        <w:trPr>
          <w:trHeight w:val="140"/>
        </w:trPr>
        <w:tc>
          <w:tcPr>
            <w:tcW w:w="100" w:type="dxa"/>
            <w:vAlign w:val="bottom"/>
          </w:tcPr>
          <w:p>
            <w:pPr>
              <w:spacing w:after="0"/>
              <w:rPr>
                <w:sz w:val="12"/>
                <w:szCs w:val="12"/>
                <w:color w:val="auto"/>
              </w:rPr>
            </w:pP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(2,872 )</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(1,474 )</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(1,398 )</w:t>
            </w:r>
          </w:p>
        </w:tc>
        <w:tc>
          <w:tcPr>
            <w:tcW w:w="1120" w:type="dxa"/>
            <w:vAlign w:val="bottom"/>
            <w:gridSpan w:val="2"/>
          </w:tcPr>
          <w:p>
            <w:pPr>
              <w:jc w:val="right"/>
              <w:spacing w:after="0"/>
              <w:rPr>
                <w:sz w:val="20"/>
                <w:szCs w:val="20"/>
                <w:color w:val="auto"/>
              </w:rPr>
            </w:pPr>
            <w:r>
              <w:rPr>
                <w:rFonts w:ascii="Arial" w:cs="Arial" w:eastAsia="Arial" w:hAnsi="Arial"/>
                <w:sz w:val="11"/>
                <w:szCs w:val="11"/>
                <w:color w:val="auto"/>
              </w:rPr>
              <w:t>95 %</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(4,569 )</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(2,368 )</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(2,201 )</w:t>
            </w:r>
          </w:p>
        </w:tc>
        <w:tc>
          <w:tcPr>
            <w:tcW w:w="1040" w:type="dxa"/>
            <w:vAlign w:val="bottom"/>
            <w:gridSpan w:val="2"/>
          </w:tcPr>
          <w:p>
            <w:pPr>
              <w:jc w:val="right"/>
              <w:spacing w:after="0"/>
              <w:rPr>
                <w:sz w:val="20"/>
                <w:szCs w:val="20"/>
                <w:color w:val="auto"/>
              </w:rPr>
            </w:pPr>
            <w:r>
              <w:rPr>
                <w:rFonts w:ascii="Arial" w:cs="Arial" w:eastAsia="Arial" w:hAnsi="Arial"/>
                <w:sz w:val="11"/>
                <w:szCs w:val="11"/>
                <w:color w:val="auto"/>
              </w:rPr>
              <w:t>93 %</w:t>
            </w:r>
          </w:p>
        </w:tc>
        <w:tc>
          <w:tcPr>
            <w:tcW w:w="40" w:type="dxa"/>
            <w:vAlign w:val="bottom"/>
          </w:tcPr>
          <w:p>
            <w:pPr>
              <w:spacing w:after="0"/>
              <w:rPr>
                <w:sz w:val="12"/>
                <w:szCs w:val="12"/>
                <w:color w:val="auto"/>
              </w:rPr>
            </w:pPr>
          </w:p>
        </w:tc>
      </w:tr>
      <w:tr>
        <w:trPr>
          <w:trHeight w:val="133"/>
        </w:trPr>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1"/>
                <w:szCs w:val="11"/>
                <w:color w:val="auto"/>
              </w:rPr>
              <w:t>$</w:t>
            </w:r>
          </w:p>
        </w:tc>
        <w:tc>
          <w:tcPr>
            <w:tcW w:w="70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1"/>
                <w:szCs w:val="11"/>
                <w:color w:val="auto"/>
              </w:rPr>
              <w:t>(35,431 )</w:t>
            </w:r>
          </w:p>
        </w:tc>
        <w:tc>
          <w:tcPr>
            <w:tcW w:w="120" w:type="dxa"/>
            <w:vAlign w:val="bottom"/>
          </w:tcPr>
          <w:p>
            <w:pPr>
              <w:spacing w:after="0"/>
              <w:rPr>
                <w:sz w:val="11"/>
                <w:szCs w:val="11"/>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(42,896 )</w:t>
            </w:r>
          </w:p>
        </w:tc>
        <w:tc>
          <w:tcPr>
            <w:tcW w:w="120" w:type="dxa"/>
            <w:vAlign w:val="bottom"/>
          </w:tcPr>
          <w:p>
            <w:pPr>
              <w:spacing w:after="0"/>
              <w:rPr>
                <w:sz w:val="11"/>
                <w:szCs w:val="11"/>
                <w:color w:val="auto"/>
              </w:rPr>
            </w:pPr>
          </w:p>
        </w:tc>
        <w:tc>
          <w:tcPr>
            <w:tcW w:w="18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w w:val="97"/>
              </w:rPr>
              <w:t>$</w:t>
            </w:r>
          </w:p>
        </w:tc>
        <w:tc>
          <w:tcPr>
            <w:tcW w:w="60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7,465</w:t>
            </w:r>
          </w:p>
        </w:tc>
        <w:tc>
          <w:tcPr>
            <w:tcW w:w="120" w:type="dxa"/>
            <w:vAlign w:val="bottom"/>
          </w:tcPr>
          <w:p>
            <w:pPr>
              <w:spacing w:after="0"/>
              <w:rPr>
                <w:sz w:val="11"/>
                <w:szCs w:val="1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-17 %</w:t>
            </w:r>
          </w:p>
        </w:tc>
        <w:tc>
          <w:tcPr>
            <w:tcW w:w="10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(115,895 )</w:t>
            </w:r>
          </w:p>
        </w:tc>
        <w:tc>
          <w:tcPr>
            <w:tcW w:w="12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(89,822 )</w:t>
            </w:r>
          </w:p>
        </w:tc>
        <w:tc>
          <w:tcPr>
            <w:tcW w:w="10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(26,073 )</w:t>
            </w:r>
          </w:p>
        </w:tc>
        <w:tc>
          <w:tcPr>
            <w:tcW w:w="100" w:type="dxa"/>
            <w:vAlign w:val="bottom"/>
          </w:tcPr>
          <w:p>
            <w:pPr>
              <w:spacing w:after="0"/>
              <w:rPr>
                <w:sz w:val="11"/>
                <w:szCs w:val="1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29 %</w:t>
            </w:r>
          </w:p>
        </w:tc>
        <w:tc>
          <w:tcPr>
            <w:tcW w:w="40" w:type="dxa"/>
            <w:vAlign w:val="bottom"/>
          </w:tcPr>
          <w:p>
            <w:pPr>
              <w:spacing w:after="0"/>
              <w:rPr>
                <w:sz w:val="11"/>
                <w:szCs w:val="11"/>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29"/>
        </w:trPr>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(0.09 )</w:t>
            </w:r>
          </w:p>
        </w:tc>
        <w:tc>
          <w:tcPr>
            <w:tcW w:w="120" w:type="dxa"/>
            <w:vAlign w:val="bottom"/>
          </w:tcPr>
          <w:p>
            <w:pPr>
              <w:spacing w:after="0"/>
              <w:rPr>
                <w:sz w:val="11"/>
                <w:szCs w:val="11"/>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(0.13 )</w:t>
            </w:r>
          </w:p>
        </w:tc>
        <w:tc>
          <w:tcPr>
            <w:tcW w:w="1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0.04</w:t>
            </w:r>
          </w:p>
        </w:tc>
        <w:tc>
          <w:tcPr>
            <w:tcW w:w="120" w:type="dxa"/>
            <w:vAlign w:val="bottom"/>
          </w:tcPr>
          <w:p>
            <w:pPr>
              <w:spacing w:after="0"/>
              <w:rPr>
                <w:sz w:val="11"/>
                <w:szCs w:val="1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(33 %)</w:t>
            </w:r>
          </w:p>
        </w:tc>
        <w:tc>
          <w:tcPr>
            <w:tcW w:w="100" w:type="dxa"/>
            <w:vAlign w:val="bottom"/>
          </w:tcPr>
          <w:p>
            <w:pPr>
              <w:spacing w:after="0"/>
              <w:rPr>
                <w:sz w:val="11"/>
                <w:szCs w:val="11"/>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(0.30 )</w:t>
            </w:r>
          </w:p>
        </w:tc>
        <w:tc>
          <w:tcPr>
            <w:tcW w:w="120" w:type="dxa"/>
            <w:vAlign w:val="bottom"/>
          </w:tcPr>
          <w:p>
            <w:pPr>
              <w:spacing w:after="0"/>
              <w:rPr>
                <w:sz w:val="11"/>
                <w:szCs w:val="11"/>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(0.29 )</w:t>
            </w:r>
          </w:p>
        </w:tc>
        <w:tc>
          <w:tcPr>
            <w:tcW w:w="2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(0.01 )</w:t>
            </w:r>
          </w:p>
        </w:tc>
        <w:tc>
          <w:tcPr>
            <w:tcW w:w="1040" w:type="dxa"/>
            <w:vAlign w:val="bottom"/>
            <w:gridSpan w:val="2"/>
          </w:tcPr>
          <w:p>
            <w:pPr>
              <w:jc w:val="right"/>
              <w:spacing w:after="0"/>
              <w:rPr>
                <w:sz w:val="20"/>
                <w:szCs w:val="20"/>
                <w:color w:val="auto"/>
              </w:rPr>
            </w:pPr>
            <w:r>
              <w:rPr>
                <w:rFonts w:ascii="Arial" w:cs="Arial" w:eastAsia="Arial" w:hAnsi="Arial"/>
                <w:sz w:val="11"/>
                <w:szCs w:val="11"/>
                <w:color w:val="auto"/>
              </w:rPr>
              <w:t>3 %</w:t>
            </w:r>
          </w:p>
        </w:tc>
        <w:tc>
          <w:tcPr>
            <w:tcW w:w="40" w:type="dxa"/>
            <w:vAlign w:val="bottom"/>
          </w:tcPr>
          <w:p>
            <w:pPr>
              <w:spacing w:after="0"/>
              <w:rPr>
                <w:sz w:val="11"/>
                <w:szCs w:val="11"/>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65"/>
        </w:trPr>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jc w:val="right"/>
              <w:ind w:right="68"/>
              <w:spacing w:after="0" w:line="65" w:lineRule="exact"/>
              <w:rPr>
                <w:sz w:val="20"/>
                <w:szCs w:val="20"/>
                <w:color w:val="auto"/>
              </w:rPr>
            </w:pPr>
            <w:r>
              <w:rPr>
                <w:rFonts w:ascii="Arial" w:cs="Arial" w:eastAsia="Arial" w:hAnsi="Arial"/>
                <w:sz w:val="6"/>
                <w:szCs w:val="6"/>
                <w:color w:val="auto"/>
              </w:rPr>
              <w:t>389,966,40</w:t>
            </w: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40" w:type="dxa"/>
            <w:vAlign w:val="bottom"/>
          </w:tcPr>
          <w:p>
            <w:pPr>
              <w:spacing w:after="0"/>
              <w:rPr>
                <w:sz w:val="5"/>
                <w:szCs w:val="5"/>
                <w:color w:val="auto"/>
              </w:rPr>
            </w:pPr>
          </w:p>
        </w:tc>
      </w:tr>
      <w:tr>
        <w:trPr>
          <w:trHeight w:val="154"/>
        </w:trPr>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w w:val="88"/>
              </w:rPr>
              <w:t>399,227,935</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w w:val="91"/>
              </w:rPr>
              <w:t>325,416,684</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1"/>
                <w:szCs w:val="11"/>
                <w:color w:val="auto"/>
              </w:rPr>
              <w:t>8</w:t>
            </w:r>
          </w:p>
        </w:tc>
        <w:tc>
          <w:tcPr>
            <w:tcW w:w="1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w w:val="94"/>
              </w:rPr>
              <w:t>311,446,922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-2419985</wp:posOffset>
            </wp:positionH>
            <wp:positionV relativeFrom="paragraph">
              <wp:posOffset>-1301115</wp:posOffset>
            </wp:positionV>
            <wp:extent cx="7132320" cy="8572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-1129665</wp:posOffset>
            </wp:positionV>
            <wp:extent cx="7132320" cy="4451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445135"/>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-589915</wp:posOffset>
            </wp:positionV>
            <wp:extent cx="7132320" cy="8572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-410210</wp:posOffset>
            </wp:positionV>
            <wp:extent cx="7132320" cy="410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410845"/>
                    </a:xfrm>
                    <a:prstGeom prst="rect">
                      <a:avLst/>
                    </a:prstGeom>
                    <a:noFill/>
                  </pic:spPr>
                </pic:pic>
              </a:graphicData>
            </a:graphic>
          </wp:anchor>
        </w:drawing>
      </w:r>
    </w:p>
    <w:p>
      <w:pPr>
        <w:spacing w:after="0" w:line="188" w:lineRule="exact"/>
        <w:rPr>
          <w:sz w:val="20"/>
          <w:szCs w:val="20"/>
          <w:color w:val="auto"/>
        </w:rPr>
      </w:pPr>
    </w:p>
    <w:p>
      <w:pPr>
        <w:sectPr>
          <w:pgSz w:w="11900" w:h="16838" w:orient="portrait"/>
          <w:cols w:equalWidth="0" w:num="2">
            <w:col w:w="3560" w:space="260"/>
            <w:col w:w="7460"/>
          </w:cols>
          <w:pgMar w:left="320" w:top="476" w:right="29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Summary of Balance Sheet items:</w:t>
            </w:r>
          </w:p>
        </w:tc>
        <w:tc>
          <w:tcPr>
            <w:tcW w:w="2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418"/>
        </w:trPr>
        <w:tc>
          <w:tcPr>
            <w:tcW w:w="40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1"/>
              </w:rPr>
              <w:t>September 30, 2022</w:t>
            </w:r>
          </w:p>
        </w:tc>
        <w:tc>
          <w:tcPr>
            <w:tcW w:w="1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2"/>
              </w:rPr>
              <w:t>December 31, 2021</w:t>
            </w:r>
          </w:p>
        </w:tc>
        <w:tc>
          <w:tcPr>
            <w:tcW w:w="460" w:type="dxa"/>
            <w:vAlign w:val="bottom"/>
          </w:tcPr>
          <w:p>
            <w:pPr>
              <w:spacing w:after="0"/>
              <w:rPr>
                <w:sz w:val="24"/>
                <w:szCs w:val="24"/>
                <w:color w:val="auto"/>
              </w:rPr>
            </w:pPr>
          </w:p>
        </w:tc>
      </w:tr>
      <w:tr>
        <w:trPr>
          <w:trHeight w:val="209"/>
        </w:trPr>
        <w:tc>
          <w:tcPr>
            <w:tcW w:w="4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Assets</w:t>
            </w:r>
          </w:p>
        </w:tc>
        <w:tc>
          <w:tcPr>
            <w:tcW w:w="250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1,371,578</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1,376,512</w:t>
            </w:r>
          </w:p>
        </w:tc>
        <w:tc>
          <w:tcPr>
            <w:tcW w:w="460" w:type="dxa"/>
            <w:vAlign w:val="bottom"/>
          </w:tcPr>
          <w:p>
            <w:pPr>
              <w:spacing w:after="0"/>
              <w:rPr>
                <w:sz w:val="18"/>
                <w:szCs w:val="18"/>
                <w:color w:val="auto"/>
              </w:rPr>
            </w:pPr>
          </w:p>
        </w:tc>
      </w:tr>
      <w:tr>
        <w:trPr>
          <w:trHeight w:val="216"/>
        </w:trPr>
        <w:tc>
          <w:tcPr>
            <w:tcW w:w="400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00" w:type="dxa"/>
            <w:vAlign w:val="bottom"/>
          </w:tcPr>
          <w:p>
            <w:pPr>
              <w:jc w:val="right"/>
              <w:ind w:right="30"/>
              <w:spacing w:after="0"/>
              <w:rPr>
                <w:sz w:val="20"/>
                <w:szCs w:val="20"/>
                <w:color w:val="auto"/>
              </w:rPr>
            </w:pPr>
            <w:r>
              <w:rPr>
                <w:rFonts w:ascii="Arial" w:cs="Arial" w:eastAsia="Arial" w:hAnsi="Arial"/>
                <w:sz w:val="18"/>
                <w:szCs w:val="18"/>
                <w:color w:val="auto"/>
              </w:rPr>
              <w:t>870,701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825,689</w:t>
            </w:r>
          </w:p>
        </w:tc>
        <w:tc>
          <w:tcPr>
            <w:tcW w:w="460" w:type="dxa"/>
            <w:vAlign w:val="bottom"/>
          </w:tcPr>
          <w:p>
            <w:pPr>
              <w:spacing w:after="0"/>
              <w:rPr>
                <w:sz w:val="18"/>
                <w:szCs w:val="18"/>
                <w:color w:val="auto"/>
              </w:rPr>
            </w:pPr>
          </w:p>
        </w:tc>
      </w:tr>
      <w:tr>
        <w:trPr>
          <w:trHeight w:val="216"/>
        </w:trPr>
        <w:tc>
          <w:tcPr>
            <w:tcW w:w="4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Long-Term Liabilities</w:t>
            </w:r>
          </w:p>
        </w:tc>
        <w:tc>
          <w:tcPr>
            <w:tcW w:w="2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692,686</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581,692</w:t>
            </w:r>
          </w:p>
        </w:tc>
        <w:tc>
          <w:tcPr>
            <w:tcW w:w="460" w:type="dxa"/>
            <w:vAlign w:val="bottom"/>
          </w:tcPr>
          <w:p>
            <w:pPr>
              <w:spacing w:after="0"/>
              <w:rPr>
                <w:sz w:val="18"/>
                <w:szCs w:val="18"/>
                <w:color w:val="auto"/>
              </w:rPr>
            </w:pP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color w:val="auto"/>
              </w:rPr>
              <w:t>Total Equity</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00" w:type="dxa"/>
            <w:vAlign w:val="bottom"/>
          </w:tcPr>
          <w:p>
            <w:pPr>
              <w:jc w:val="right"/>
              <w:ind w:right="30"/>
              <w:spacing w:after="0"/>
              <w:rPr>
                <w:sz w:val="20"/>
                <w:szCs w:val="20"/>
                <w:color w:val="auto"/>
              </w:rPr>
            </w:pPr>
            <w:r>
              <w:rPr>
                <w:rFonts w:ascii="Arial" w:cs="Arial" w:eastAsia="Arial" w:hAnsi="Arial"/>
                <w:sz w:val="18"/>
                <w:szCs w:val="18"/>
                <w:color w:val="auto"/>
              </w:rPr>
              <w:t>500,877</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550,823</w:t>
            </w:r>
          </w:p>
        </w:tc>
        <w:tc>
          <w:tcPr>
            <w:tcW w:w="460" w:type="dxa"/>
            <w:vAlign w:val="bottom"/>
          </w:tcPr>
          <w:p>
            <w:pPr>
              <w:spacing w:after="0"/>
              <w:rPr>
                <w:sz w:val="20"/>
                <w:szCs w:val="20"/>
                <w:color w:val="auto"/>
              </w:rPr>
            </w:pPr>
          </w:p>
        </w:tc>
      </w:tr>
      <w:tr>
        <w:trPr>
          <w:trHeight w:val="619"/>
        </w:trPr>
        <w:tc>
          <w:tcPr>
            <w:tcW w:w="4000" w:type="dxa"/>
            <w:vAlign w:val="bottom"/>
          </w:tcPr>
          <w:p>
            <w:pPr>
              <w:spacing w:after="0"/>
              <w:rPr>
                <w:sz w:val="24"/>
                <w:szCs w:val="24"/>
                <w:color w:val="auto"/>
              </w:rPr>
            </w:pPr>
          </w:p>
        </w:tc>
        <w:tc>
          <w:tcPr>
            <w:tcW w:w="2500" w:type="dxa"/>
            <w:vAlign w:val="bottom"/>
          </w:tcPr>
          <w:p>
            <w:pPr>
              <w:jc w:val="right"/>
              <w:ind w:right="690"/>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15"/>
        </w:trPr>
        <w:tc>
          <w:tcPr>
            <w:tcW w:w="4000" w:type="dxa"/>
            <w:vAlign w:val="bottom"/>
            <w:tcBorders>
              <w:bottom w:val="single" w:sz="8" w:color="9A9A9A"/>
            </w:tcBorders>
          </w:tcPr>
          <w:p>
            <w:pPr>
              <w:spacing w:after="0"/>
              <w:rPr>
                <w:sz w:val="9"/>
                <w:szCs w:val="9"/>
                <w:color w:val="auto"/>
              </w:rPr>
            </w:pPr>
          </w:p>
        </w:tc>
        <w:tc>
          <w:tcPr>
            <w:tcW w:w="25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9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86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80"/>
          </w:cols>
          <w:pgMar w:left="320" w:top="476" w:right="29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RESULTS OF OPERATIONS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and nine months ended September 30, 2022 and 2021</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summarizes our results of operations for the three months ended September 30, 2022 and 2021:</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4"/>
              </w:rPr>
              <w:t>Three Months Ended</w:t>
            </w: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4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ind w:right="450"/>
              <w:spacing w:after="0" w:line="164" w:lineRule="exact"/>
              <w:rPr>
                <w:sz w:val="20"/>
                <w:szCs w:val="20"/>
                <w:color w:val="auto"/>
              </w:rPr>
            </w:pPr>
            <w:r>
              <w:rPr>
                <w:rFonts w:ascii="Arial" w:cs="Arial" w:eastAsia="Arial" w:hAnsi="Arial"/>
                <w:sz w:val="18"/>
                <w:szCs w:val="18"/>
                <w:b w:val="1"/>
                <w:bCs w:val="1"/>
                <w:color w:val="auto"/>
              </w:rPr>
              <w:t>$</w:t>
            </w:r>
          </w:p>
        </w:tc>
        <w:tc>
          <w:tcPr>
            <w:tcW w:w="1180" w:type="dxa"/>
            <w:vAlign w:val="bottom"/>
            <w:gridSpan w:val="2"/>
          </w:tcPr>
          <w:p>
            <w:pPr>
              <w:jc w:val="right"/>
              <w:ind w:right="390"/>
              <w:spacing w:after="0" w:line="164" w:lineRule="exact"/>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4920" w:type="dxa"/>
            <w:vAlign w:val="bottom"/>
            <w:vMerge w:val="restart"/>
          </w:tcPr>
          <w:p>
            <w:pPr>
              <w:ind w:left="20"/>
              <w:spacing w:after="0"/>
              <w:rPr>
                <w:sz w:val="20"/>
                <w:szCs w:val="20"/>
                <w:color w:val="auto"/>
              </w:rPr>
            </w:pPr>
            <w:r>
              <w:rPr>
                <w:rFonts w:ascii="Arial" w:cs="Arial" w:eastAsia="Arial" w:hAnsi="Arial"/>
                <w:sz w:val="18"/>
                <w:szCs w:val="18"/>
                <w:color w:val="auto"/>
              </w:rPr>
              <w:t>Revenue</w:t>
            </w:r>
          </w:p>
        </w:tc>
        <w:tc>
          <w:tcPr>
            <w:tcW w:w="16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6"/>
              </w:rPr>
              <w:t>September 30, 2022</w:t>
            </w:r>
          </w:p>
        </w:tc>
        <w:tc>
          <w:tcPr>
            <w:tcW w:w="160" w:type="dxa"/>
            <w:vAlign w:val="bottom"/>
          </w:tcPr>
          <w:p>
            <w:pPr>
              <w:spacing w:after="0"/>
              <w:rPr>
                <w:sz w:val="20"/>
                <w:szCs w:val="20"/>
                <w:color w:val="auto"/>
              </w:rPr>
            </w:pPr>
          </w:p>
        </w:tc>
        <w:tc>
          <w:tcPr>
            <w:tcW w:w="16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6"/>
              </w:rPr>
              <w:t>September 30, 2021</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0"/>
              </w:rPr>
              <w:t>Change</w:t>
            </w:r>
          </w:p>
        </w:tc>
        <w:tc>
          <w:tcPr>
            <w:tcW w:w="120" w:type="dxa"/>
            <w:vAlign w:val="bottom"/>
          </w:tcPr>
          <w:p>
            <w:pPr>
              <w:spacing w:after="0"/>
              <w:rPr>
                <w:sz w:val="20"/>
                <w:szCs w:val="20"/>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Change</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920" w:type="dxa"/>
            <w:vAlign w:val="bottom"/>
            <w:vMerge w:val="continue"/>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132,733</w:t>
            </w:r>
          </w:p>
        </w:tc>
        <w:tc>
          <w:tcPr>
            <w:tcW w:w="16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132,322</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411</w:t>
            </w:r>
          </w:p>
        </w:tc>
        <w:tc>
          <w:tcPr>
            <w:tcW w:w="1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0 %</w:t>
            </w:r>
          </w:p>
        </w:tc>
        <w:tc>
          <w:tcPr>
            <w:tcW w:w="0" w:type="dxa"/>
            <w:vAlign w:val="bottom"/>
          </w:tcPr>
          <w:p>
            <w:pPr>
              <w:spacing w:after="0"/>
              <w:rPr>
                <w:sz w:val="1"/>
                <w:szCs w:val="1"/>
                <w:color w:val="auto"/>
              </w:rPr>
            </w:pPr>
          </w:p>
        </w:tc>
      </w:tr>
      <w:tr>
        <w:trPr>
          <w:trHeight w:val="216"/>
        </w:trPr>
        <w:tc>
          <w:tcPr>
            <w:tcW w:w="4920" w:type="dxa"/>
            <w:vAlign w:val="bottom"/>
          </w:tcPr>
          <w:p>
            <w:pPr>
              <w:ind w:left="20"/>
              <w:spacing w:after="0"/>
              <w:rPr>
                <w:sz w:val="20"/>
                <w:szCs w:val="20"/>
                <w:color w:val="auto"/>
              </w:rPr>
            </w:pPr>
            <w:r>
              <w:rPr>
                <w:rFonts w:ascii="Arial" w:cs="Arial" w:eastAsia="Arial" w:hAnsi="Arial"/>
                <w:sz w:val="18"/>
                <w:szCs w:val="18"/>
                <w:color w:val="auto"/>
              </w:rPr>
              <w:t>Cost of sales related to inventory production</w:t>
            </w:r>
          </w:p>
        </w:tc>
        <w:tc>
          <w:tcPr>
            <w:tcW w:w="5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(80,462 )</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(69,525 )</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(10,937 )</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174"/>
        </w:trPr>
        <w:tc>
          <w:tcPr>
            <w:tcW w:w="4920" w:type="dxa"/>
            <w:vAlign w:val="bottom"/>
          </w:tcPr>
          <w:p>
            <w:pPr>
              <w:ind w:left="20"/>
              <w:spacing w:after="0" w:line="175" w:lineRule="exact"/>
              <w:rPr>
                <w:sz w:val="20"/>
                <w:szCs w:val="20"/>
                <w:color w:val="auto"/>
              </w:rPr>
            </w:pPr>
            <w:r>
              <w:rPr>
                <w:rFonts w:ascii="Arial" w:cs="Arial" w:eastAsia="Arial" w:hAnsi="Arial"/>
                <w:sz w:val="18"/>
                <w:szCs w:val="18"/>
                <w:color w:val="auto"/>
              </w:rPr>
              <w:t>Cost of sales related to business combination fair value</w:t>
            </w:r>
          </w:p>
        </w:tc>
        <w:tc>
          <w:tcPr>
            <w:tcW w:w="5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(136 )</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(1,430 )</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vMerge w:val="restart"/>
          </w:tcPr>
          <w:p>
            <w:pPr>
              <w:jc w:val="right"/>
              <w:ind w:right="30"/>
              <w:spacing w:after="0"/>
              <w:rPr>
                <w:sz w:val="20"/>
                <w:szCs w:val="20"/>
                <w:color w:val="auto"/>
              </w:rPr>
            </w:pPr>
            <w:r>
              <w:rPr>
                <w:rFonts w:ascii="Arial" w:cs="Arial" w:eastAsia="Arial" w:hAnsi="Arial"/>
                <w:sz w:val="18"/>
                <w:szCs w:val="18"/>
                <w:color w:val="auto"/>
              </w:rPr>
              <w:t>1,294</w:t>
            </w:r>
          </w:p>
        </w:tc>
        <w:tc>
          <w:tcPr>
            <w:tcW w:w="120" w:type="dxa"/>
            <w:vAlign w:val="bottom"/>
            <w:vMerge w:val="restart"/>
          </w:tcPr>
          <w:p>
            <w:pPr>
              <w:spacing w:after="0"/>
              <w:rPr>
                <w:sz w:val="15"/>
                <w:szCs w:val="15"/>
                <w:color w:val="auto"/>
              </w:rPr>
            </w:pPr>
          </w:p>
        </w:tc>
        <w:tc>
          <w:tcPr>
            <w:tcW w:w="1200" w:type="dxa"/>
            <w:vAlign w:val="bottom"/>
            <w:gridSpan w:val="2"/>
            <w:vMerge w:val="restart"/>
          </w:tcPr>
          <w:p>
            <w:pPr>
              <w:jc w:val="right"/>
              <w:spacing w:after="0"/>
              <w:rPr>
                <w:sz w:val="20"/>
                <w:szCs w:val="20"/>
                <w:color w:val="auto"/>
              </w:rPr>
            </w:pPr>
            <w:r>
              <w:rPr>
                <w:rFonts w:ascii="Arial" w:cs="Arial" w:eastAsia="Arial" w:hAnsi="Arial"/>
                <w:sz w:val="18"/>
                <w:szCs w:val="18"/>
                <w:color w:val="auto"/>
              </w:rPr>
              <w:t>(90 %)</w:t>
            </w:r>
          </w:p>
        </w:tc>
        <w:tc>
          <w:tcPr>
            <w:tcW w:w="0" w:type="dxa"/>
            <w:vAlign w:val="bottom"/>
          </w:tcPr>
          <w:p>
            <w:pPr>
              <w:spacing w:after="0"/>
              <w:rPr>
                <w:sz w:val="1"/>
                <w:szCs w:val="1"/>
                <w:color w:val="auto"/>
              </w:rPr>
            </w:pPr>
          </w:p>
        </w:tc>
      </w:tr>
      <w:tr>
        <w:trPr>
          <w:trHeight w:val="217"/>
        </w:trPr>
        <w:tc>
          <w:tcPr>
            <w:tcW w:w="4920" w:type="dxa"/>
            <w:vAlign w:val="bottom"/>
          </w:tcPr>
          <w:p>
            <w:pPr>
              <w:ind w:left="20"/>
              <w:spacing w:after="0"/>
              <w:rPr>
                <w:sz w:val="20"/>
                <w:szCs w:val="20"/>
                <w:color w:val="auto"/>
              </w:rPr>
            </w:pPr>
            <w:r>
              <w:rPr>
                <w:rFonts w:ascii="Arial" w:cs="Arial" w:eastAsia="Arial" w:hAnsi="Arial"/>
                <w:sz w:val="18"/>
                <w:szCs w:val="18"/>
                <w:color w:val="auto"/>
              </w:rPr>
              <w:t>adjustments to inventory</w:t>
            </w:r>
          </w:p>
        </w:tc>
        <w:tc>
          <w:tcPr>
            <w:tcW w:w="5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vMerge w:val="restart"/>
          </w:tcPr>
          <w:p>
            <w:pPr>
              <w:ind w:left="20"/>
              <w:spacing w:after="0"/>
              <w:rPr>
                <w:sz w:val="20"/>
                <w:szCs w:val="20"/>
                <w:color w:val="auto"/>
              </w:rPr>
            </w:pPr>
            <w:r>
              <w:rPr>
                <w:rFonts w:ascii="Arial" w:cs="Arial" w:eastAsia="Arial" w:hAnsi="Arial"/>
                <w:sz w:val="18"/>
                <w:szCs w:val="18"/>
                <w:color w:val="auto"/>
              </w:rPr>
              <w:t>Gross profit</w:t>
            </w:r>
          </w:p>
        </w:tc>
        <w:tc>
          <w:tcPr>
            <w:tcW w:w="5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92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52,135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61,367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(9,232 )</w:t>
            </w:r>
          </w:p>
        </w:tc>
        <w:tc>
          <w:tcPr>
            <w:tcW w:w="12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16"/>
        </w:trPr>
        <w:tc>
          <w:tcPr>
            <w:tcW w:w="49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5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(70,845 )</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(61,745 )</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(9,100 )</w:t>
            </w:r>
          </w:p>
        </w:tc>
        <w:tc>
          <w:tcPr>
            <w:tcW w:w="1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0"/>
        </w:trPr>
        <w:tc>
          <w:tcPr>
            <w:tcW w:w="4920" w:type="dxa"/>
            <w:vAlign w:val="bottom"/>
            <w:vMerge w:val="restart"/>
          </w:tcPr>
          <w:p>
            <w:pPr>
              <w:ind w:left="20"/>
              <w:spacing w:after="0"/>
              <w:rPr>
                <w:sz w:val="20"/>
                <w:szCs w:val="20"/>
                <w:color w:val="auto"/>
              </w:rPr>
            </w:pPr>
            <w:r>
              <w:rPr>
                <w:rFonts w:ascii="Arial" w:cs="Arial" w:eastAsia="Arial" w:hAnsi="Arial"/>
                <w:sz w:val="18"/>
                <w:szCs w:val="18"/>
                <w:color w:val="auto"/>
              </w:rPr>
              <w:t>Loss from operations</w:t>
            </w:r>
          </w:p>
        </w:tc>
        <w:tc>
          <w:tcPr>
            <w:tcW w:w="5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92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(18,710 )</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(378 )</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(18,332 )</w:t>
            </w:r>
          </w:p>
        </w:tc>
        <w:tc>
          <w:tcPr>
            <w:tcW w:w="1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4,850 %</w:t>
            </w:r>
          </w:p>
        </w:tc>
        <w:tc>
          <w:tcPr>
            <w:tcW w:w="0" w:type="dxa"/>
            <w:vAlign w:val="bottom"/>
          </w:tcPr>
          <w:p>
            <w:pPr>
              <w:spacing w:after="0"/>
              <w:rPr>
                <w:sz w:val="1"/>
                <w:szCs w:val="1"/>
                <w:color w:val="auto"/>
              </w:rPr>
            </w:pPr>
          </w:p>
        </w:tc>
      </w:tr>
      <w:tr>
        <w:trPr>
          <w:trHeight w:val="216"/>
        </w:trPr>
        <w:tc>
          <w:tcPr>
            <w:tcW w:w="4920" w:type="dxa"/>
            <w:vAlign w:val="bottom"/>
          </w:tcPr>
          <w:p>
            <w:pPr>
              <w:ind w:left="20"/>
              <w:spacing w:after="0"/>
              <w:rPr>
                <w:sz w:val="20"/>
                <w:szCs w:val="20"/>
                <w:color w:val="auto"/>
              </w:rPr>
            </w:pPr>
            <w:r>
              <w:rPr>
                <w:rFonts w:ascii="Arial" w:cs="Arial" w:eastAsia="Arial" w:hAnsi="Arial"/>
                <w:sz w:val="18"/>
                <w:szCs w:val="18"/>
                <w:color w:val="auto"/>
              </w:rPr>
              <w:t>Other expense/ (income), net</w:t>
            </w:r>
          </w:p>
        </w:tc>
        <w:tc>
          <w:tcPr>
            <w:tcW w:w="5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(13,018 )</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(56,991 )</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43,973</w:t>
            </w:r>
          </w:p>
        </w:tc>
        <w:tc>
          <w:tcPr>
            <w:tcW w:w="12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(77 %)</w:t>
            </w:r>
          </w:p>
        </w:tc>
        <w:tc>
          <w:tcPr>
            <w:tcW w:w="0" w:type="dxa"/>
            <w:vAlign w:val="bottom"/>
          </w:tcPr>
          <w:p>
            <w:pPr>
              <w:spacing w:after="0"/>
              <w:rPr>
                <w:sz w:val="1"/>
                <w:szCs w:val="1"/>
                <w:color w:val="auto"/>
              </w:rPr>
            </w:pPr>
          </w:p>
        </w:tc>
      </w:tr>
      <w:tr>
        <w:trPr>
          <w:trHeight w:val="20"/>
        </w:trPr>
        <w:tc>
          <w:tcPr>
            <w:tcW w:w="4920" w:type="dxa"/>
            <w:vAlign w:val="bottom"/>
            <w:vMerge w:val="restart"/>
          </w:tcPr>
          <w:p>
            <w:pPr>
              <w:ind w:left="20"/>
              <w:spacing w:after="0"/>
              <w:rPr>
                <w:sz w:val="20"/>
                <w:szCs w:val="20"/>
                <w:color w:val="auto"/>
              </w:rPr>
            </w:pPr>
            <w:r>
              <w:rPr>
                <w:rFonts w:ascii="Arial" w:cs="Arial" w:eastAsia="Arial" w:hAnsi="Arial"/>
                <w:sz w:val="18"/>
                <w:szCs w:val="18"/>
                <w:color w:val="auto"/>
              </w:rPr>
              <w:t>Loss before provision for income taxes</w:t>
            </w:r>
          </w:p>
        </w:tc>
        <w:tc>
          <w:tcPr>
            <w:tcW w:w="5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92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(31,728 )</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(57,369 )</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25,641</w:t>
            </w:r>
          </w:p>
        </w:tc>
        <w:tc>
          <w:tcPr>
            <w:tcW w:w="12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(45 %)</w:t>
            </w:r>
          </w:p>
        </w:tc>
        <w:tc>
          <w:tcPr>
            <w:tcW w:w="0" w:type="dxa"/>
            <w:vAlign w:val="bottom"/>
          </w:tcPr>
          <w:p>
            <w:pPr>
              <w:spacing w:after="0"/>
              <w:rPr>
                <w:sz w:val="1"/>
                <w:szCs w:val="1"/>
                <w:color w:val="auto"/>
              </w:rPr>
            </w:pPr>
          </w:p>
        </w:tc>
      </w:tr>
      <w:tr>
        <w:trPr>
          <w:trHeight w:val="216"/>
        </w:trPr>
        <w:tc>
          <w:tcPr>
            <w:tcW w:w="4920" w:type="dxa"/>
            <w:vAlign w:val="bottom"/>
          </w:tcPr>
          <w:p>
            <w:pPr>
              <w:ind w:left="20"/>
              <w:spacing w:after="0"/>
              <w:rPr>
                <w:sz w:val="20"/>
                <w:szCs w:val="20"/>
                <w:color w:val="auto"/>
              </w:rPr>
            </w:pPr>
            <w:r>
              <w:rPr>
                <w:rFonts w:ascii="Arial" w:cs="Arial" w:eastAsia="Arial" w:hAnsi="Arial"/>
                <w:sz w:val="18"/>
                <w:szCs w:val="18"/>
                <w:color w:val="auto"/>
              </w:rPr>
              <w:t>Income tax benefit (expense)</w:t>
            </w:r>
          </w:p>
        </w:tc>
        <w:tc>
          <w:tcPr>
            <w:tcW w:w="5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(6,575 )</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12,999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(19,574 )</w:t>
            </w:r>
          </w:p>
        </w:tc>
        <w:tc>
          <w:tcPr>
            <w:tcW w:w="12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(151 %)</w:t>
            </w:r>
          </w:p>
        </w:tc>
        <w:tc>
          <w:tcPr>
            <w:tcW w:w="0" w:type="dxa"/>
            <w:vAlign w:val="bottom"/>
          </w:tcPr>
          <w:p>
            <w:pPr>
              <w:spacing w:after="0"/>
              <w:rPr>
                <w:sz w:val="1"/>
                <w:szCs w:val="1"/>
                <w:color w:val="auto"/>
              </w:rPr>
            </w:pPr>
          </w:p>
        </w:tc>
      </w:tr>
      <w:tr>
        <w:trPr>
          <w:trHeight w:val="20"/>
        </w:trPr>
        <w:tc>
          <w:tcPr>
            <w:tcW w:w="4920" w:type="dxa"/>
            <w:vAlign w:val="bottom"/>
            <w:vMerge w:val="restart"/>
          </w:tcPr>
          <w:p>
            <w:pPr>
              <w:ind w:left="20"/>
              <w:spacing w:after="0"/>
              <w:rPr>
                <w:sz w:val="20"/>
                <w:szCs w:val="20"/>
                <w:color w:val="auto"/>
              </w:rPr>
            </w:pPr>
            <w:r>
              <w:rPr>
                <w:rFonts w:ascii="Arial" w:cs="Arial" w:eastAsia="Arial" w:hAnsi="Arial"/>
                <w:sz w:val="18"/>
                <w:szCs w:val="18"/>
                <w:color w:val="auto"/>
              </w:rPr>
              <w:t>Net loss</w:t>
            </w:r>
          </w:p>
        </w:tc>
        <w:tc>
          <w:tcPr>
            <w:tcW w:w="5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92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(38,303 )</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(44,370 )</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6,067</w:t>
            </w:r>
          </w:p>
        </w:tc>
        <w:tc>
          <w:tcPr>
            <w:tcW w:w="12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16"/>
        </w:trPr>
        <w:tc>
          <w:tcPr>
            <w:tcW w:w="4920" w:type="dxa"/>
            <w:vAlign w:val="bottom"/>
          </w:tcPr>
          <w:p>
            <w:pPr>
              <w:ind w:left="20"/>
              <w:spacing w:after="0"/>
              <w:rPr>
                <w:sz w:val="20"/>
                <w:szCs w:val="20"/>
                <w:color w:val="auto"/>
              </w:rPr>
            </w:pPr>
            <w:r>
              <w:rPr>
                <w:rFonts w:ascii="Arial" w:cs="Arial" w:eastAsia="Arial" w:hAnsi="Arial"/>
                <w:sz w:val="18"/>
                <w:szCs w:val="18"/>
                <w:color w:val="auto"/>
              </w:rPr>
              <w:t>Net loss attributable to non-controlling interests</w:t>
            </w:r>
          </w:p>
        </w:tc>
        <w:tc>
          <w:tcPr>
            <w:tcW w:w="5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(2,872 )</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(1,474 )</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(1,398 )</w:t>
            </w:r>
          </w:p>
        </w:tc>
        <w:tc>
          <w:tcPr>
            <w:tcW w:w="1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95 %</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920" w:type="dxa"/>
            <w:vAlign w:val="bottom"/>
          </w:tcPr>
          <w:p>
            <w:pPr>
              <w:ind w:left="20"/>
              <w:spacing w:after="0"/>
              <w:rPr>
                <w:sz w:val="20"/>
                <w:szCs w:val="20"/>
                <w:color w:val="auto"/>
              </w:rPr>
            </w:pPr>
            <w:r>
              <w:rPr>
                <w:rFonts w:ascii="Arial" w:cs="Arial" w:eastAsia="Arial" w:hAnsi="Arial"/>
                <w:sz w:val="18"/>
                <w:szCs w:val="18"/>
                <w:color w:val="auto"/>
              </w:rPr>
              <w:t>Net loss attributable to Columbia Care Inc.</w:t>
            </w:r>
          </w:p>
        </w:tc>
        <w:tc>
          <w:tcPr>
            <w:tcW w:w="54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(35,431 )</w:t>
            </w:r>
          </w:p>
        </w:tc>
        <w:tc>
          <w:tcPr>
            <w:tcW w:w="16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(42,896 )</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7,465</w:t>
            </w:r>
          </w:p>
        </w:tc>
        <w:tc>
          <w:tcPr>
            <w:tcW w:w="12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-1823085</wp:posOffset>
            </wp:positionV>
            <wp:extent cx="6841490" cy="1371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4149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-1549400</wp:posOffset>
            </wp:positionV>
            <wp:extent cx="6841490" cy="1550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41490" cy="1550035"/>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increase in revenue of $411 for the three months ended September 30, 2022, as compared to the prior year period, was driven by the expansion of new wholesale and retail facilities which contributed to a revenue growth of $4,341 as compared to the prior period and our acquisition of Medicine Man which contributed an additional $7,454 of revenue during the three months ended September 30, 2022, as compared to the prior period. This was offset by a net decline in revenue of $11,384 in our Legacy Columbia Care network, our 2020 acquisitions of The Green Solution and Project Cannabis, and our 2021 acquisitions of The Healing Center, Corsa Verde, Cannascend and gLeaf.</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Sales</w:t>
      </w:r>
    </w:p>
    <w:p>
      <w:pPr>
        <w:spacing w:after="0" w:line="144"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The increase in cost of sales of $9,643 for the three months ended September 30, 2022, as compared to the prior year period, was driven by a cost of sales increase of $3,449 in our Legacy Columbia Care network, our 2020 acquisitions of The Green Solution and Project Cannabis, and our 2021 acquisitions of The Healing Center, Corsa Verde, Cannascend and gLeaf. The expansion of new wholesale and retail facilities contributed to a cost of sales growth of $1,066 as compared to the prior period and our acquisition of Medicine Man contributed to an additional $5,128 of cost of sales during the three months ended September 30, 2022, as compared to the prior period.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44"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The decrease in gross profit of $9,232 for the three months ended September 30, 2022, as compared to the prior year period, was primarily driven by a gross profit decrease of $12,480 in our Legacy Columbia Care network, our 2020 acquisitions of The Green Solution and Project Cannabis, and our 2021 acquisitions of The Healing Center, Corsa Verde, Cannascend and gLeaf. This was offset by an expansion of new wholesale and retail facilities contributing gross profit growth of $923 as compared to the prior period and our acquisition of Medicine Man that contributed an additional $2,325 of gross profit during the three months ended September 30, 2022, as compared to the prior period.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14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increase of $9,100 in operating expenses for the three months ended September 30, 2022, as compared to the prior year period, was primarily attributable to an increase in salary and benefits expenses of $5,133, depreciation and amortization of $3,163, operating facility costs of $3,216, and other fees and expenses of $1,431. This was offset by a decrease in operating office and general expenses of $2,757 and a decrease in professional fees of $1,086 as we managed expenses in the size and scope of our administrative functions.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 Net</w:t>
      </w:r>
    </w:p>
    <w:p>
      <w:pPr>
        <w:spacing w:after="0" w:line="14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decrease in other expense, net of $43,973 for the three months ended September 30, 2022, as compared to the prior year period, was primarily due to a decrease in acquisition cost of $75,308 and loss on disposal of assets of $2,000. This was partially offset by an increase in interest expense of $6,282, change in fair valuation of the derivative liability of $4,604, a decrease in income due to change in fair value of contingent consideration of $13,780, and an increase in rental income of $958.</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color w:val="auto"/>
        </w:rPr>
        <w:t>Provisions for Income Taxes</w:t>
      </w:r>
    </w:p>
    <w:p>
      <w:pPr>
        <w:spacing w:after="0" w:line="144" w:lineRule="exact"/>
        <w:rPr>
          <w:sz w:val="20"/>
          <w:szCs w:val="20"/>
          <w:color w:val="auto"/>
        </w:rPr>
      </w:pPr>
    </w:p>
    <w:p>
      <w:pPr>
        <w:jc w:val="both"/>
        <w:ind w:right="100"/>
        <w:spacing w:after="0" w:line="261" w:lineRule="auto"/>
        <w:rPr>
          <w:sz w:val="20"/>
          <w:szCs w:val="20"/>
          <w:color w:val="auto"/>
        </w:rPr>
      </w:pPr>
      <w:r>
        <w:rPr>
          <w:rFonts w:ascii="Arial" w:cs="Arial" w:eastAsia="Arial" w:hAnsi="Arial"/>
          <w:sz w:val="18"/>
          <w:szCs w:val="18"/>
          <w:color w:val="auto"/>
        </w:rPr>
        <w:t>The Company recorded income tax expense of $6,575 for the three months ended September 30, 2022, as compared to an income tax benefit of $12,999 for the three months ended September 30, 2021.</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summarizes our results of operations for the nine months ended September 30, 2022 and 2021:</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w w:val="89"/>
              </w:rPr>
              <w:t>Nine months ended</w:t>
            </w: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5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ind w:right="490"/>
              <w:spacing w:after="0" w:line="164" w:lineRule="exact"/>
              <w:rPr>
                <w:sz w:val="20"/>
                <w:szCs w:val="20"/>
                <w:color w:val="auto"/>
              </w:rPr>
            </w:pPr>
            <w:r>
              <w:rPr>
                <w:rFonts w:ascii="Arial" w:cs="Arial" w:eastAsia="Arial" w:hAnsi="Arial"/>
                <w:sz w:val="18"/>
                <w:szCs w:val="18"/>
                <w:b w:val="1"/>
                <w:bCs w:val="1"/>
                <w:color w:val="auto"/>
              </w:rPr>
              <w:t>$</w:t>
            </w:r>
          </w:p>
        </w:tc>
        <w:tc>
          <w:tcPr>
            <w:tcW w:w="1220" w:type="dxa"/>
            <w:vAlign w:val="bottom"/>
            <w:gridSpan w:val="2"/>
          </w:tcPr>
          <w:p>
            <w:pPr>
              <w:jc w:val="right"/>
              <w:ind w:right="430"/>
              <w:spacing w:after="0" w:line="164"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5140" w:type="dxa"/>
            <w:vAlign w:val="bottom"/>
            <w:vMerge w:val="restart"/>
          </w:tcPr>
          <w:p>
            <w:pPr>
              <w:ind w:left="20"/>
              <w:spacing w:after="0"/>
              <w:rPr>
                <w:sz w:val="20"/>
                <w:szCs w:val="20"/>
                <w:color w:val="auto"/>
              </w:rPr>
            </w:pPr>
            <w:r>
              <w:rPr>
                <w:rFonts w:ascii="Arial" w:cs="Arial" w:eastAsia="Arial" w:hAnsi="Arial"/>
                <w:sz w:val="18"/>
                <w:szCs w:val="18"/>
                <w:color w:val="auto"/>
              </w:rPr>
              <w:t>Revenue</w:t>
            </w:r>
          </w:p>
        </w:tc>
        <w:tc>
          <w:tcPr>
            <w:tcW w:w="176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b w:val="1"/>
                <w:bCs w:val="1"/>
                <w:color w:val="auto"/>
                <w:w w:val="92"/>
              </w:rPr>
              <w:t>September 30, 2022</w:t>
            </w:r>
          </w:p>
        </w:tc>
        <w:tc>
          <w:tcPr>
            <w:tcW w:w="160" w:type="dxa"/>
            <w:vAlign w:val="bottom"/>
          </w:tcPr>
          <w:p>
            <w:pPr>
              <w:spacing w:after="0"/>
              <w:rPr>
                <w:sz w:val="20"/>
                <w:szCs w:val="20"/>
                <w:color w:val="auto"/>
              </w:rPr>
            </w:pPr>
          </w:p>
        </w:tc>
        <w:tc>
          <w:tcPr>
            <w:tcW w:w="172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w w:val="91"/>
              </w:rPr>
              <w:t>September 30, 2021</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0"/>
              </w:rPr>
              <w:t>Change</w:t>
            </w:r>
          </w:p>
        </w:tc>
        <w:tc>
          <w:tcPr>
            <w:tcW w:w="120" w:type="dxa"/>
            <w:vAlign w:val="bottom"/>
          </w:tcPr>
          <w:p>
            <w:pPr>
              <w:spacing w:after="0"/>
              <w:rPr>
                <w:sz w:val="20"/>
                <w:szCs w:val="20"/>
                <w:color w:val="auto"/>
              </w:rPr>
            </w:pPr>
          </w:p>
        </w:tc>
        <w:tc>
          <w:tcPr>
            <w:tcW w:w="11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0"/>
              </w:rPr>
              <w:t>Change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140" w:type="dxa"/>
            <w:vAlign w:val="bottom"/>
            <w:vMerge w:val="continue"/>
          </w:tcPr>
          <w:p>
            <w:pPr>
              <w:spacing w:after="0"/>
              <w:rPr>
                <w:sz w:val="18"/>
                <w:szCs w:val="18"/>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385,391</w:t>
            </w:r>
          </w:p>
        </w:tc>
        <w:tc>
          <w:tcPr>
            <w:tcW w:w="16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320,804</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64,587</w:t>
            </w:r>
          </w:p>
        </w:tc>
        <w:tc>
          <w:tcPr>
            <w:tcW w:w="1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16"/>
        </w:trPr>
        <w:tc>
          <w:tcPr>
            <w:tcW w:w="5140" w:type="dxa"/>
            <w:vAlign w:val="bottom"/>
          </w:tcPr>
          <w:p>
            <w:pPr>
              <w:ind w:left="20"/>
              <w:spacing w:after="0"/>
              <w:rPr>
                <w:sz w:val="20"/>
                <w:szCs w:val="20"/>
                <w:color w:val="auto"/>
              </w:rPr>
            </w:pPr>
            <w:r>
              <w:rPr>
                <w:rFonts w:ascii="Arial" w:cs="Arial" w:eastAsia="Arial" w:hAnsi="Arial"/>
                <w:sz w:val="18"/>
                <w:szCs w:val="18"/>
                <w:color w:val="auto"/>
              </w:rPr>
              <w:t>Cost of sales related to inventory production</w:t>
            </w:r>
          </w:p>
        </w:tc>
        <w:tc>
          <w:tcPr>
            <w:tcW w:w="5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(225,645 )</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(181,120 )</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(44,525 )</w:t>
            </w: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174"/>
        </w:trPr>
        <w:tc>
          <w:tcPr>
            <w:tcW w:w="5140" w:type="dxa"/>
            <w:vAlign w:val="bottom"/>
          </w:tcPr>
          <w:p>
            <w:pPr>
              <w:ind w:left="20"/>
              <w:spacing w:after="0" w:line="175" w:lineRule="exact"/>
              <w:rPr>
                <w:sz w:val="20"/>
                <w:szCs w:val="20"/>
                <w:color w:val="auto"/>
              </w:rPr>
            </w:pPr>
            <w:r>
              <w:rPr>
                <w:rFonts w:ascii="Arial" w:cs="Arial" w:eastAsia="Arial" w:hAnsi="Arial"/>
                <w:sz w:val="18"/>
                <w:szCs w:val="18"/>
                <w:color w:val="auto"/>
                <w:w w:val="94"/>
              </w:rPr>
              <w:t>Cost of sales related to business combination fair value adjustments</w:t>
            </w:r>
          </w:p>
        </w:tc>
        <w:tc>
          <w:tcPr>
            <w:tcW w:w="54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(136 )</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vMerge w:val="restart"/>
          </w:tcPr>
          <w:p>
            <w:pPr>
              <w:jc w:val="right"/>
              <w:spacing w:after="0"/>
              <w:rPr>
                <w:sz w:val="20"/>
                <w:szCs w:val="20"/>
                <w:color w:val="auto"/>
              </w:rPr>
            </w:pPr>
            <w:r>
              <w:rPr>
                <w:rFonts w:ascii="Arial" w:cs="Arial" w:eastAsia="Arial" w:hAnsi="Arial"/>
                <w:sz w:val="18"/>
                <w:szCs w:val="18"/>
                <w:color w:val="auto"/>
              </w:rPr>
              <w:t>(2,922 )</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vMerge w:val="restart"/>
          </w:tcPr>
          <w:p>
            <w:pPr>
              <w:jc w:val="right"/>
              <w:ind w:right="30"/>
              <w:spacing w:after="0"/>
              <w:rPr>
                <w:sz w:val="20"/>
                <w:szCs w:val="20"/>
                <w:color w:val="auto"/>
              </w:rPr>
            </w:pPr>
            <w:r>
              <w:rPr>
                <w:rFonts w:ascii="Arial" w:cs="Arial" w:eastAsia="Arial" w:hAnsi="Arial"/>
                <w:sz w:val="18"/>
                <w:szCs w:val="18"/>
                <w:color w:val="auto"/>
              </w:rPr>
              <w:t>2,786</w:t>
            </w:r>
          </w:p>
        </w:tc>
        <w:tc>
          <w:tcPr>
            <w:tcW w:w="120" w:type="dxa"/>
            <w:vAlign w:val="bottom"/>
            <w:vMerge w:val="restart"/>
          </w:tcPr>
          <w:p>
            <w:pPr>
              <w:spacing w:after="0"/>
              <w:rPr>
                <w:sz w:val="15"/>
                <w:szCs w:val="15"/>
                <w:color w:val="auto"/>
              </w:rPr>
            </w:pPr>
          </w:p>
        </w:tc>
        <w:tc>
          <w:tcPr>
            <w:tcW w:w="1200" w:type="dxa"/>
            <w:vAlign w:val="bottom"/>
            <w:gridSpan w:val="2"/>
            <w:vMerge w:val="restart"/>
          </w:tcPr>
          <w:p>
            <w:pPr>
              <w:jc w:val="right"/>
              <w:spacing w:after="0"/>
              <w:rPr>
                <w:sz w:val="20"/>
                <w:szCs w:val="20"/>
                <w:color w:val="auto"/>
              </w:rPr>
            </w:pPr>
            <w:r>
              <w:rPr>
                <w:rFonts w:ascii="Arial" w:cs="Arial" w:eastAsia="Arial" w:hAnsi="Arial"/>
                <w:sz w:val="18"/>
                <w:szCs w:val="18"/>
                <w:color w:val="auto"/>
              </w:rPr>
              <w:t>(95 %)</w:t>
            </w:r>
          </w:p>
        </w:tc>
        <w:tc>
          <w:tcPr>
            <w:tcW w:w="0" w:type="dxa"/>
            <w:vAlign w:val="bottom"/>
          </w:tcPr>
          <w:p>
            <w:pPr>
              <w:spacing w:after="0"/>
              <w:rPr>
                <w:sz w:val="1"/>
                <w:szCs w:val="1"/>
                <w:color w:val="auto"/>
              </w:rPr>
            </w:pPr>
          </w:p>
        </w:tc>
      </w:tr>
      <w:tr>
        <w:trPr>
          <w:trHeight w:val="217"/>
        </w:trPr>
        <w:tc>
          <w:tcPr>
            <w:tcW w:w="5140" w:type="dxa"/>
            <w:vAlign w:val="bottom"/>
          </w:tcPr>
          <w:p>
            <w:pPr>
              <w:ind w:left="20"/>
              <w:spacing w:after="0"/>
              <w:rPr>
                <w:sz w:val="20"/>
                <w:szCs w:val="20"/>
                <w:color w:val="auto"/>
              </w:rPr>
            </w:pPr>
            <w:r>
              <w:rPr>
                <w:rFonts w:ascii="Arial" w:cs="Arial" w:eastAsia="Arial" w:hAnsi="Arial"/>
                <w:sz w:val="18"/>
                <w:szCs w:val="18"/>
                <w:color w:val="auto"/>
              </w:rPr>
              <w:t>to inventory</w:t>
            </w:r>
          </w:p>
        </w:tc>
        <w:tc>
          <w:tcPr>
            <w:tcW w:w="54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40" w:type="dxa"/>
            <w:vAlign w:val="bottom"/>
            <w:vMerge w:val="restart"/>
          </w:tcPr>
          <w:p>
            <w:pPr>
              <w:ind w:left="20"/>
              <w:spacing w:after="0"/>
              <w:rPr>
                <w:sz w:val="20"/>
                <w:szCs w:val="20"/>
                <w:color w:val="auto"/>
              </w:rPr>
            </w:pPr>
            <w:r>
              <w:rPr>
                <w:rFonts w:ascii="Arial" w:cs="Arial" w:eastAsia="Arial" w:hAnsi="Arial"/>
                <w:sz w:val="18"/>
                <w:szCs w:val="18"/>
                <w:color w:val="auto"/>
              </w:rPr>
              <w:t>Gross profit</w:t>
            </w:r>
          </w:p>
        </w:tc>
        <w:tc>
          <w:tcPr>
            <w:tcW w:w="5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14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159,610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136,762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22,848</w:t>
            </w:r>
          </w:p>
        </w:tc>
        <w:tc>
          <w:tcPr>
            <w:tcW w:w="1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16"/>
        </w:trPr>
        <w:tc>
          <w:tcPr>
            <w:tcW w:w="51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5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(215,093 )</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(162,282 )</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(52,811 )</w:t>
            </w:r>
          </w:p>
        </w:tc>
        <w:tc>
          <w:tcPr>
            <w:tcW w:w="1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0"/>
        </w:trPr>
        <w:tc>
          <w:tcPr>
            <w:tcW w:w="5140" w:type="dxa"/>
            <w:vAlign w:val="bottom"/>
            <w:vMerge w:val="restart"/>
          </w:tcPr>
          <w:p>
            <w:pPr>
              <w:ind w:left="20"/>
              <w:spacing w:after="0"/>
              <w:rPr>
                <w:sz w:val="20"/>
                <w:szCs w:val="20"/>
                <w:color w:val="auto"/>
              </w:rPr>
            </w:pPr>
            <w:r>
              <w:rPr>
                <w:rFonts w:ascii="Arial" w:cs="Arial" w:eastAsia="Arial" w:hAnsi="Arial"/>
                <w:sz w:val="18"/>
                <w:szCs w:val="18"/>
                <w:color w:val="auto"/>
              </w:rPr>
              <w:t>Loss from operations</w:t>
            </w:r>
          </w:p>
        </w:tc>
        <w:tc>
          <w:tcPr>
            <w:tcW w:w="5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14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(55,483 )</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(25,520 )</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(29,963 )</w:t>
            </w:r>
          </w:p>
        </w:tc>
        <w:tc>
          <w:tcPr>
            <w:tcW w:w="1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117 %</w:t>
            </w:r>
          </w:p>
        </w:tc>
        <w:tc>
          <w:tcPr>
            <w:tcW w:w="0" w:type="dxa"/>
            <w:vAlign w:val="bottom"/>
          </w:tcPr>
          <w:p>
            <w:pPr>
              <w:spacing w:after="0"/>
              <w:rPr>
                <w:sz w:val="1"/>
                <w:szCs w:val="1"/>
                <w:color w:val="auto"/>
              </w:rPr>
            </w:pPr>
          </w:p>
        </w:tc>
      </w:tr>
      <w:tr>
        <w:trPr>
          <w:trHeight w:val="216"/>
        </w:trPr>
        <w:tc>
          <w:tcPr>
            <w:tcW w:w="5140" w:type="dxa"/>
            <w:vAlign w:val="bottom"/>
          </w:tcPr>
          <w:p>
            <w:pPr>
              <w:ind w:left="20"/>
              <w:spacing w:after="0"/>
              <w:rPr>
                <w:sz w:val="20"/>
                <w:szCs w:val="20"/>
                <w:color w:val="auto"/>
              </w:rPr>
            </w:pPr>
            <w:r>
              <w:rPr>
                <w:rFonts w:ascii="Arial" w:cs="Arial" w:eastAsia="Arial" w:hAnsi="Arial"/>
                <w:sz w:val="18"/>
                <w:szCs w:val="18"/>
                <w:color w:val="auto"/>
              </w:rPr>
              <w:t>Other expense/ (income), net</w:t>
            </w:r>
          </w:p>
        </w:tc>
        <w:tc>
          <w:tcPr>
            <w:tcW w:w="5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(39,072 )</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(67,301 )</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28,229</w:t>
            </w:r>
          </w:p>
        </w:tc>
        <w:tc>
          <w:tcPr>
            <w:tcW w:w="12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(42 %)</w:t>
            </w:r>
          </w:p>
        </w:tc>
        <w:tc>
          <w:tcPr>
            <w:tcW w:w="0" w:type="dxa"/>
            <w:vAlign w:val="bottom"/>
          </w:tcPr>
          <w:p>
            <w:pPr>
              <w:spacing w:after="0"/>
              <w:rPr>
                <w:sz w:val="1"/>
                <w:szCs w:val="1"/>
                <w:color w:val="auto"/>
              </w:rPr>
            </w:pPr>
          </w:p>
        </w:tc>
      </w:tr>
      <w:tr>
        <w:trPr>
          <w:trHeight w:val="20"/>
        </w:trPr>
        <w:tc>
          <w:tcPr>
            <w:tcW w:w="5140" w:type="dxa"/>
            <w:vAlign w:val="bottom"/>
            <w:vMerge w:val="restart"/>
          </w:tcPr>
          <w:p>
            <w:pPr>
              <w:ind w:left="20"/>
              <w:spacing w:after="0"/>
              <w:rPr>
                <w:sz w:val="20"/>
                <w:szCs w:val="20"/>
                <w:color w:val="auto"/>
              </w:rPr>
            </w:pPr>
            <w:r>
              <w:rPr>
                <w:rFonts w:ascii="Arial" w:cs="Arial" w:eastAsia="Arial" w:hAnsi="Arial"/>
                <w:sz w:val="18"/>
                <w:szCs w:val="18"/>
                <w:color w:val="auto"/>
              </w:rPr>
              <w:t>Loss before provision for income taxes</w:t>
            </w:r>
          </w:p>
        </w:tc>
        <w:tc>
          <w:tcPr>
            <w:tcW w:w="5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14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(94,555 )</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(92,821 )</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(1,734 )</w:t>
            </w:r>
          </w:p>
        </w:tc>
        <w:tc>
          <w:tcPr>
            <w:tcW w:w="1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16"/>
        </w:trPr>
        <w:tc>
          <w:tcPr>
            <w:tcW w:w="5140" w:type="dxa"/>
            <w:vAlign w:val="bottom"/>
          </w:tcPr>
          <w:p>
            <w:pPr>
              <w:ind w:left="20"/>
              <w:spacing w:after="0"/>
              <w:rPr>
                <w:sz w:val="20"/>
                <w:szCs w:val="20"/>
                <w:color w:val="auto"/>
              </w:rPr>
            </w:pPr>
            <w:r>
              <w:rPr>
                <w:rFonts w:ascii="Arial" w:cs="Arial" w:eastAsia="Arial" w:hAnsi="Arial"/>
                <w:sz w:val="18"/>
                <w:szCs w:val="18"/>
                <w:color w:val="auto"/>
              </w:rPr>
              <w:t>Income tax benefit (expense)</w:t>
            </w:r>
          </w:p>
        </w:tc>
        <w:tc>
          <w:tcPr>
            <w:tcW w:w="5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(25,909 )</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631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(26,540 )</w:t>
            </w:r>
          </w:p>
        </w:tc>
        <w:tc>
          <w:tcPr>
            <w:tcW w:w="12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(4,206 %)</w:t>
            </w:r>
          </w:p>
        </w:tc>
        <w:tc>
          <w:tcPr>
            <w:tcW w:w="0" w:type="dxa"/>
            <w:vAlign w:val="bottom"/>
          </w:tcPr>
          <w:p>
            <w:pPr>
              <w:spacing w:after="0"/>
              <w:rPr>
                <w:sz w:val="1"/>
                <w:szCs w:val="1"/>
                <w:color w:val="auto"/>
              </w:rPr>
            </w:pPr>
          </w:p>
        </w:tc>
      </w:tr>
      <w:tr>
        <w:trPr>
          <w:trHeight w:val="20"/>
        </w:trPr>
        <w:tc>
          <w:tcPr>
            <w:tcW w:w="5140" w:type="dxa"/>
            <w:vAlign w:val="bottom"/>
            <w:vMerge w:val="restart"/>
          </w:tcPr>
          <w:p>
            <w:pPr>
              <w:ind w:left="20"/>
              <w:spacing w:after="0"/>
              <w:rPr>
                <w:sz w:val="20"/>
                <w:szCs w:val="20"/>
                <w:color w:val="auto"/>
              </w:rPr>
            </w:pPr>
            <w:r>
              <w:rPr>
                <w:rFonts w:ascii="Arial" w:cs="Arial" w:eastAsia="Arial" w:hAnsi="Arial"/>
                <w:sz w:val="18"/>
                <w:szCs w:val="18"/>
                <w:color w:val="auto"/>
              </w:rPr>
              <w:t>Net loss</w:t>
            </w:r>
          </w:p>
        </w:tc>
        <w:tc>
          <w:tcPr>
            <w:tcW w:w="5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14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(120,464 )</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(92,190 )</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(28,274 )</w:t>
            </w:r>
          </w:p>
        </w:tc>
        <w:tc>
          <w:tcPr>
            <w:tcW w:w="1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16"/>
        </w:trPr>
        <w:tc>
          <w:tcPr>
            <w:tcW w:w="5140" w:type="dxa"/>
            <w:vAlign w:val="bottom"/>
          </w:tcPr>
          <w:p>
            <w:pPr>
              <w:ind w:left="20"/>
              <w:spacing w:after="0"/>
              <w:rPr>
                <w:sz w:val="20"/>
                <w:szCs w:val="20"/>
                <w:color w:val="auto"/>
              </w:rPr>
            </w:pPr>
            <w:r>
              <w:rPr>
                <w:rFonts w:ascii="Arial" w:cs="Arial" w:eastAsia="Arial" w:hAnsi="Arial"/>
                <w:sz w:val="18"/>
                <w:szCs w:val="18"/>
                <w:color w:val="auto"/>
              </w:rPr>
              <w:t>Net loss attributable to non-controlling interests</w:t>
            </w:r>
          </w:p>
        </w:tc>
        <w:tc>
          <w:tcPr>
            <w:tcW w:w="5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(4,569 )</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(2,368 )</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(2,201 )</w:t>
            </w:r>
          </w:p>
        </w:tc>
        <w:tc>
          <w:tcPr>
            <w:tcW w:w="1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93 %</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140" w:type="dxa"/>
            <w:vAlign w:val="bottom"/>
          </w:tcPr>
          <w:p>
            <w:pPr>
              <w:ind w:left="20"/>
              <w:spacing w:after="0"/>
              <w:rPr>
                <w:sz w:val="20"/>
                <w:szCs w:val="20"/>
                <w:color w:val="auto"/>
              </w:rPr>
            </w:pPr>
            <w:r>
              <w:rPr>
                <w:rFonts w:ascii="Arial" w:cs="Arial" w:eastAsia="Arial" w:hAnsi="Arial"/>
                <w:sz w:val="18"/>
                <w:szCs w:val="18"/>
                <w:color w:val="auto"/>
              </w:rPr>
              <w:t>Net loss attributable to Columbia Care Inc.</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(115,895 )</w:t>
            </w:r>
          </w:p>
        </w:tc>
        <w:tc>
          <w:tcPr>
            <w:tcW w:w="16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(89,822 )</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(26,073 )</w:t>
            </w:r>
          </w:p>
        </w:tc>
        <w:tc>
          <w:tcPr>
            <w:tcW w:w="1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-1823085</wp:posOffset>
            </wp:positionV>
            <wp:extent cx="7132320" cy="1371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-1549400</wp:posOffset>
            </wp:positionV>
            <wp:extent cx="7132320" cy="1550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550035"/>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44" w:lineRule="exact"/>
        <w:rPr>
          <w:sz w:val="20"/>
          <w:szCs w:val="20"/>
          <w:color w:val="auto"/>
        </w:rPr>
      </w:pPr>
    </w:p>
    <w:p>
      <w:pPr>
        <w:jc w:val="both"/>
        <w:ind w:right="100"/>
        <w:spacing w:after="0" w:line="245" w:lineRule="auto"/>
        <w:rPr>
          <w:sz w:val="20"/>
          <w:szCs w:val="20"/>
          <w:color w:val="auto"/>
        </w:rPr>
      </w:pPr>
      <w:r>
        <w:rPr>
          <w:rFonts w:ascii="Arial" w:cs="Arial" w:eastAsia="Arial" w:hAnsi="Arial"/>
          <w:sz w:val="18"/>
          <w:szCs w:val="18"/>
          <w:color w:val="auto"/>
        </w:rPr>
        <w:t>The increase in revenue of $64,587 for the nine months ended September 30, 2022, as compared to the prior year period, was driven by the expansion of new wholesale and retail facilities which contributed to a revenue growth of $6,073 as compared to the prior period and our acquisitions of Cannascend, gLeaf, and Medicine Man which contributed to an additional $71,485 of revenue during the nine months ended September 30, 2022, as compared to the prior period. This was offset by a decline of $12,971 in our Legacy Columbia Care network, our 2020 acquisitions of The Green Solution and Project Cannabis and our 2021 acquisitions of The Healing Center and Corsa Verde.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Sales</w:t>
      </w:r>
    </w:p>
    <w:p>
      <w:pPr>
        <w:spacing w:after="0" w:line="144" w:lineRule="exact"/>
        <w:rPr>
          <w:sz w:val="20"/>
          <w:szCs w:val="20"/>
          <w:color w:val="auto"/>
        </w:rPr>
      </w:pPr>
    </w:p>
    <w:p>
      <w:pPr>
        <w:jc w:val="both"/>
        <w:ind w:right="100"/>
        <w:spacing w:after="0" w:line="245" w:lineRule="auto"/>
        <w:rPr>
          <w:sz w:val="20"/>
          <w:szCs w:val="20"/>
          <w:color w:val="auto"/>
        </w:rPr>
      </w:pPr>
      <w:r>
        <w:rPr>
          <w:rFonts w:ascii="Arial" w:cs="Arial" w:eastAsia="Arial" w:hAnsi="Arial"/>
          <w:sz w:val="18"/>
          <w:szCs w:val="18"/>
          <w:color w:val="auto"/>
        </w:rPr>
        <w:t>The increase in cost of sales of $41,739 for the nine months ended September 30, 2022, as compared to the prior year period, was primarily driven by a cost of sales decrease of $6,515 in our Legacy Columbia Care network, our 2020 acquisitions of The Green Solution and Project Cannabis and our 2021 acquisitions of The Healing Center and Corsa Verde. New wholesale and retail facilities contributed to a cost of sales growth of $5,156 as compared to the prior period. Our acquisitions of Cannascend, gLeaf, and Medicine Man contributed to an additional $43,098 of cost of sales during the nine months ended September 30, 2022, as compared to the prior period.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44" w:lineRule="exact"/>
        <w:rPr>
          <w:sz w:val="20"/>
          <w:szCs w:val="20"/>
          <w:color w:val="auto"/>
        </w:rPr>
      </w:pPr>
    </w:p>
    <w:p>
      <w:pPr>
        <w:jc w:val="both"/>
        <w:ind w:right="100"/>
        <w:spacing w:after="0" w:line="245" w:lineRule="auto"/>
        <w:rPr>
          <w:sz w:val="20"/>
          <w:szCs w:val="20"/>
          <w:color w:val="auto"/>
        </w:rPr>
      </w:pPr>
      <w:r>
        <w:rPr>
          <w:rFonts w:ascii="Arial" w:cs="Arial" w:eastAsia="Arial" w:hAnsi="Arial"/>
          <w:sz w:val="18"/>
          <w:szCs w:val="18"/>
          <w:color w:val="auto"/>
        </w:rPr>
        <w:t>The increase in gross profit of $22,848 for the nine months ended September 30, 2022, as compared to the prior year period was primarily driven by a gross profit decrease of $6,456 in our Legacy Columbia Care network, our 2020 acquisitions of The Green Solution and Project Cannabis and our 2021 acquisitions of The Healing Center and Corsa Verde. Our new wholesale and retail facilities contributed to a gross profit growth of $917 as compared to the prior period. Our acquisitions of Cannascend, gLeaf, and Medicine Man contributed to an additional $28,387 of gross profit during the nine months ended September 30, 2022, as compared to the prior period.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144" w:lineRule="exact"/>
        <w:rPr>
          <w:sz w:val="20"/>
          <w:szCs w:val="20"/>
          <w:color w:val="auto"/>
        </w:rPr>
      </w:pPr>
    </w:p>
    <w:p>
      <w:pPr>
        <w:jc w:val="both"/>
        <w:ind w:right="100"/>
        <w:spacing w:after="0" w:line="248" w:lineRule="auto"/>
        <w:rPr>
          <w:sz w:val="20"/>
          <w:szCs w:val="20"/>
          <w:color w:val="auto"/>
        </w:rPr>
      </w:pPr>
      <w:r>
        <w:rPr>
          <w:rFonts w:ascii="Arial" w:cs="Arial" w:eastAsia="Arial" w:hAnsi="Arial"/>
          <w:sz w:val="18"/>
          <w:szCs w:val="18"/>
          <w:color w:val="auto"/>
        </w:rPr>
        <w:t>The increase of $52,811 in operating expenses for the nine months ended September 30, 2022, as compared to the prior year period, was primarily attributable to an increase in salary and benefits expenses of $21,308, depreciation and amortization of $22,605, operating facility costs of $10,661, and other fees and expenses of $3,255. This was primarily offset by a decrease in operating office and general expenses of $4,541 and professional fees of $477 as we limited further expansion in the size and scope of our administrative functions.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 Net</w:t>
      </w:r>
    </w:p>
    <w:p>
      <w:pPr>
        <w:spacing w:after="0" w:line="144"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color w:val="auto"/>
        </w:rPr>
        <w:t>The decrease in other expense, net of $28,229 for the nine months ended September 30, 2022, as compared to the prior year period, was primarily due to a decrease in acquisition cost of $75,308. This was partially offset by an increase in interest expense of $21,177 and a decrease in income due to change in fair value of contingent consideration of $13,780.</w:t>
      </w:r>
    </w:p>
    <w:p>
      <w:pPr>
        <w:spacing w:after="0" w:line="17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476"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color w:val="auto"/>
        </w:rPr>
        <w:t>Provisions for Income Taxes</w:t>
      </w:r>
    </w:p>
    <w:p>
      <w:pPr>
        <w:spacing w:after="0" w:line="144" w:lineRule="exact"/>
        <w:rPr>
          <w:sz w:val="20"/>
          <w:szCs w:val="20"/>
          <w:color w:val="auto"/>
        </w:rPr>
      </w:pPr>
    </w:p>
    <w:p>
      <w:pPr>
        <w:jc w:val="both"/>
        <w:ind w:right="80"/>
        <w:spacing w:after="0" w:line="261" w:lineRule="auto"/>
        <w:rPr>
          <w:sz w:val="20"/>
          <w:szCs w:val="20"/>
          <w:color w:val="auto"/>
        </w:rPr>
      </w:pPr>
      <w:r>
        <w:rPr>
          <w:rFonts w:ascii="Arial" w:cs="Arial" w:eastAsia="Arial" w:hAnsi="Arial"/>
          <w:sz w:val="18"/>
          <w:szCs w:val="18"/>
          <w:color w:val="auto"/>
        </w:rPr>
        <w:t>The Company recorded income tax expense of $25,909 for the nine months ended September 30, 2022, as compared to an income tax benefit of $631 for the nine months ended September 30, 2021.</w:t>
      </w:r>
    </w:p>
    <w:p>
      <w:pPr>
        <w:spacing w:after="0" w:line="103" w:lineRule="exact"/>
        <w:rPr>
          <w:sz w:val="20"/>
          <w:szCs w:val="20"/>
          <w:color w:val="auto"/>
        </w:rPr>
      </w:pPr>
    </w:p>
    <w:p>
      <w:pPr>
        <w:jc w:val="both"/>
        <w:ind w:right="60"/>
        <w:spacing w:after="0" w:line="289" w:lineRule="auto"/>
        <w:rPr>
          <w:sz w:val="20"/>
          <w:szCs w:val="20"/>
          <w:color w:val="auto"/>
        </w:rPr>
      </w:pPr>
      <w:r>
        <w:rPr>
          <w:rFonts w:ascii="Arial" w:cs="Arial" w:eastAsia="Arial" w:hAnsi="Arial"/>
          <w:sz w:val="16"/>
          <w:szCs w:val="16"/>
          <w:color w:val="auto"/>
        </w:rPr>
        <w:t>The Company recorded a Deferred Tax Asset of $17,900 related to its acquisition of VentureForth LLC, which occurred during 2022. The consideration paid to acquire 100% of the VentureForth Holdings LLC partnership interests was expensed for book purposes. For tax purposes, such consideration is capitalized as the transaction is treated as a deemed asset purchase for tax purposes. Such treatment results in a Deferred Tax Asset. However, because of the limitations of Section 280E of the Internal Revenue Code, the company does not expect to recognize any tax benefit for this specific deferred tax asset.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148" w:lineRule="exact"/>
        <w:rPr>
          <w:sz w:val="20"/>
          <w:szCs w:val="20"/>
          <w:color w:val="auto"/>
        </w:rPr>
      </w:pPr>
    </w:p>
    <w:p>
      <w:pPr>
        <w:jc w:val="both"/>
        <w:ind w:right="60"/>
        <w:spacing w:after="0" w:line="276" w:lineRule="auto"/>
        <w:rPr>
          <w:sz w:val="20"/>
          <w:szCs w:val="20"/>
          <w:color w:val="auto"/>
        </w:rPr>
      </w:pPr>
      <w:r>
        <w:rPr>
          <w:rFonts w:ascii="Arial" w:cs="Arial" w:eastAsia="Arial" w:hAnsi="Arial"/>
          <w:sz w:val="16"/>
          <w:szCs w:val="16"/>
          <w:color w:val="auto"/>
        </w:rPr>
        <w:t>We use certain non-GAAP measures, referenced in this MD&amp;A. These measures are not recognized measures under GAAP and do not have a standardized meaning prescribed by GAAP and therefore may not be comparable to similar measures presented by other companies. Accordingly, these measures should not be considered in isolation from nor as a substitute for our financial information reported under GAAP. We use non-GAAP measures including EBITDA, Adjusted EBITDA and Adjusted EBITDA margin which may be calculated differently by other companies. These non-GAAP measures and metrics are used to provide investors with supplemental measures of our operating performance and liquidity and thus highlight trends in our business that may not otherwise be apparent when relying solely on GAAP measures. These supplemental non-GAAP financial measures should not be considered superior to, as a substitute for, or as an alternative to, and should be considered in conjunction with, the GAAP financial measures presented. We also recognize that securities analysts, investors and other interested parties frequently use non-GAAP measures in the evaluation of companies within our industry. Finally, we use non-GAAP measures and metrics in order to facilitate evaluation of operating performance comparisons from period to period, to prepare annual operating budgets and forecasts and to determine components of executive compensation.</w:t>
      </w:r>
    </w:p>
    <w:p>
      <w:pPr>
        <w:spacing w:after="0" w:line="96" w:lineRule="exact"/>
        <w:rPr>
          <w:sz w:val="20"/>
          <w:szCs w:val="20"/>
          <w:color w:val="auto"/>
        </w:rPr>
      </w:pPr>
    </w:p>
    <w:p>
      <w:pPr>
        <w:jc w:val="both"/>
        <w:ind w:right="60"/>
        <w:spacing w:after="0" w:line="261" w:lineRule="auto"/>
        <w:rPr>
          <w:sz w:val="20"/>
          <w:szCs w:val="20"/>
          <w:color w:val="auto"/>
        </w:rPr>
      </w:pPr>
      <w:r>
        <w:rPr>
          <w:rFonts w:ascii="Arial" w:cs="Arial" w:eastAsia="Arial" w:hAnsi="Arial"/>
          <w:sz w:val="18"/>
          <w:szCs w:val="18"/>
          <w:color w:val="auto"/>
        </w:rPr>
        <w:t>The following table provides a reconciliation of net loss for the period to EBITDA and Adjusted EBITDA for the three and nine months ended September 30, 2022 and 2021: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4"/>
          </w:tcPr>
          <w:p>
            <w:pPr>
              <w:jc w:val="right"/>
              <w:ind w:right="81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4"/>
          </w:tcPr>
          <w:p>
            <w:pPr>
              <w:jc w:val="right"/>
              <w:ind w:right="790"/>
              <w:spacing w:after="0"/>
              <w:rPr>
                <w:sz w:val="20"/>
                <w:szCs w:val="20"/>
                <w:color w:val="auto"/>
              </w:rPr>
            </w:pPr>
            <w:r>
              <w:rPr>
                <w:rFonts w:ascii="Arial" w:cs="Arial" w:eastAsia="Arial" w:hAnsi="Arial"/>
                <w:sz w:val="18"/>
                <w:szCs w:val="18"/>
                <w:b w:val="1"/>
                <w:bCs w:val="1"/>
                <w:color w:val="auto"/>
              </w:rPr>
              <w:t>Nine Months Ended</w:t>
            </w:r>
          </w:p>
        </w:tc>
      </w:tr>
      <w:tr>
        <w:trPr>
          <w:trHeight w:val="164"/>
        </w:trPr>
        <w:tc>
          <w:tcPr>
            <w:tcW w:w="4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jc w:val="right"/>
              <w:ind w:right="230"/>
              <w:spacing w:after="0" w:line="164" w:lineRule="exact"/>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jc w:val="right"/>
              <w:ind w:right="230"/>
              <w:spacing w:after="0" w:line="164" w:lineRule="exact"/>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right"/>
              <w:ind w:right="190"/>
              <w:spacing w:after="0" w:line="164" w:lineRule="exact"/>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ind w:right="210"/>
              <w:spacing w:after="0" w:line="164" w:lineRule="exact"/>
              <w:rPr>
                <w:sz w:val="20"/>
                <w:szCs w:val="20"/>
                <w:color w:val="auto"/>
              </w:rPr>
            </w:pPr>
            <w:r>
              <w:rPr>
                <w:rFonts w:ascii="Arial" w:cs="Arial" w:eastAsia="Arial" w:hAnsi="Arial"/>
                <w:sz w:val="18"/>
                <w:szCs w:val="18"/>
                <w:b w:val="1"/>
                <w:bCs w:val="1"/>
                <w:color w:val="auto"/>
                <w:w w:val="90"/>
              </w:rPr>
              <w:t>September 30,</w:t>
            </w:r>
          </w:p>
        </w:tc>
      </w:tr>
      <w:tr>
        <w:trPr>
          <w:trHeight w:val="234"/>
        </w:trPr>
        <w:tc>
          <w:tcPr>
            <w:tcW w:w="46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r>
      <w:tr>
        <w:trPr>
          <w:trHeight w:val="209"/>
        </w:trPr>
        <w:tc>
          <w:tcPr>
            <w:tcW w:w="4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(38,303 )</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(44,370 )</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(120,464 )</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(92,190 )</w:t>
            </w:r>
          </w:p>
        </w:tc>
      </w:tr>
      <w:tr>
        <w:trPr>
          <w:trHeight w:val="216"/>
        </w:trPr>
        <w:tc>
          <w:tcPr>
            <w:tcW w:w="4640" w:type="dxa"/>
            <w:vAlign w:val="bottom"/>
          </w:tcPr>
          <w:p>
            <w:pPr>
              <w:ind w:left="200"/>
              <w:spacing w:after="0"/>
              <w:rPr>
                <w:sz w:val="20"/>
                <w:szCs w:val="20"/>
                <w:color w:val="auto"/>
              </w:rPr>
            </w:pPr>
            <w:r>
              <w:rPr>
                <w:rFonts w:ascii="Arial" w:cs="Arial" w:eastAsia="Arial" w:hAnsi="Arial"/>
                <w:sz w:val="18"/>
                <w:szCs w:val="18"/>
                <w:color w:val="auto"/>
              </w:rPr>
              <w:t>Income tax</w:t>
            </w:r>
          </w:p>
        </w:tc>
        <w:tc>
          <w:tcPr>
            <w:tcW w:w="140" w:type="dxa"/>
            <w:vAlign w:val="bottom"/>
          </w:tcPr>
          <w:p>
            <w:pPr>
              <w:spacing w:after="0"/>
              <w:rPr>
                <w:sz w:val="18"/>
                <w:szCs w:val="18"/>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6,575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(12,999 )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25,909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(631 )</w:t>
            </w:r>
          </w:p>
        </w:tc>
      </w:tr>
      <w:tr>
        <w:trPr>
          <w:trHeight w:val="216"/>
        </w:trPr>
        <w:tc>
          <w:tcPr>
            <w:tcW w:w="4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21,808</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16,076</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63,077</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33,801</w:t>
            </w:r>
          </w:p>
        </w:tc>
      </w:tr>
      <w:tr>
        <w:trPr>
          <w:trHeight w:val="216"/>
        </w:trPr>
        <w:tc>
          <w:tcPr>
            <w:tcW w:w="4640" w:type="dxa"/>
            <w:vAlign w:val="bottom"/>
          </w:tcPr>
          <w:p>
            <w:pPr>
              <w:ind w:left="200"/>
              <w:spacing w:after="0"/>
              <w:rPr>
                <w:sz w:val="20"/>
                <w:szCs w:val="20"/>
                <w:color w:val="auto"/>
              </w:rPr>
            </w:pPr>
            <w:r>
              <w:rPr>
                <w:rFonts w:ascii="Arial" w:cs="Arial" w:eastAsia="Arial" w:hAnsi="Arial"/>
                <w:sz w:val="18"/>
                <w:szCs w:val="18"/>
                <w:color w:val="auto"/>
              </w:rPr>
              <w:t>Interest expense, net and debt amortization</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14,339</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8,057</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38,507</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18,686</w:t>
            </w:r>
          </w:p>
        </w:tc>
      </w:tr>
      <w:tr>
        <w:trPr>
          <w:trHeight w:val="209"/>
        </w:trPr>
        <w:tc>
          <w:tcPr>
            <w:tcW w:w="4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EBITDA (non-GAAP measure)</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4,419</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(33,236 )</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7,029</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(40,334 )</w:t>
            </w:r>
          </w:p>
        </w:tc>
      </w:tr>
      <w:tr>
        <w:trPr>
          <w:trHeight w:val="209"/>
        </w:trPr>
        <w:tc>
          <w:tcPr>
            <w:tcW w:w="4640" w:type="dxa"/>
            <w:vAlign w:val="bottom"/>
          </w:tcPr>
          <w:p>
            <w:pPr>
              <w:ind w:left="20"/>
              <w:spacing w:after="0"/>
              <w:rPr>
                <w:sz w:val="20"/>
                <w:szCs w:val="20"/>
                <w:color w:val="auto"/>
              </w:rPr>
            </w:pPr>
            <w:r>
              <w:rPr>
                <w:rFonts w:ascii="Arial" w:cs="Arial" w:eastAsia="Arial" w:hAnsi="Arial"/>
                <w:sz w:val="18"/>
                <w:szCs w:val="18"/>
                <w:color w:val="auto"/>
              </w:rPr>
              <w:t>Adjustments:</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4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Share-based compensation</w:t>
            </w: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6,597</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4,695</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20,649</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18,029</w:t>
            </w:r>
          </w:p>
        </w:tc>
      </w:tr>
      <w:tr>
        <w:trPr>
          <w:trHeight w:val="216"/>
        </w:trPr>
        <w:tc>
          <w:tcPr>
            <w:tcW w:w="4640" w:type="dxa"/>
            <w:vAlign w:val="bottom"/>
          </w:tcPr>
          <w:p>
            <w:pPr>
              <w:ind w:left="200"/>
              <w:spacing w:after="0"/>
              <w:rPr>
                <w:sz w:val="20"/>
                <w:szCs w:val="20"/>
                <w:color w:val="auto"/>
              </w:rPr>
            </w:pPr>
            <w:r>
              <w:rPr>
                <w:rFonts w:ascii="Arial" w:cs="Arial" w:eastAsia="Arial" w:hAnsi="Arial"/>
                <w:sz w:val="18"/>
                <w:szCs w:val="18"/>
                <w:color w:val="auto"/>
              </w:rPr>
              <w:t>Fair value mark-up for acquired inventory</w:t>
            </w:r>
          </w:p>
        </w:tc>
        <w:tc>
          <w:tcPr>
            <w:tcW w:w="140" w:type="dxa"/>
            <w:vAlign w:val="bottom"/>
          </w:tcPr>
          <w:p>
            <w:pPr>
              <w:spacing w:after="0"/>
              <w:rPr>
                <w:sz w:val="18"/>
                <w:szCs w:val="18"/>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1,430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2,922</w:t>
            </w:r>
          </w:p>
        </w:tc>
      </w:tr>
      <w:tr>
        <w:trPr>
          <w:trHeight w:val="216"/>
        </w:trPr>
        <w:tc>
          <w:tcPr>
            <w:tcW w:w="4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Adjustments for acquisition and other non-core costs*</w:t>
            </w: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10,084</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3,009</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28,097</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8,102</w:t>
            </w:r>
          </w:p>
        </w:tc>
      </w:tr>
      <w:tr>
        <w:trPr>
          <w:trHeight w:val="216"/>
        </w:trPr>
        <w:tc>
          <w:tcPr>
            <w:tcW w:w="4640" w:type="dxa"/>
            <w:vAlign w:val="bottom"/>
          </w:tcPr>
          <w:p>
            <w:pPr>
              <w:ind w:left="200"/>
              <w:spacing w:after="0"/>
              <w:rPr>
                <w:sz w:val="20"/>
                <w:szCs w:val="20"/>
                <w:color w:val="auto"/>
              </w:rPr>
            </w:pPr>
            <w:r>
              <w:rPr>
                <w:rFonts w:ascii="Arial" w:cs="Arial" w:eastAsia="Arial" w:hAnsi="Arial"/>
                <w:sz w:val="18"/>
                <w:szCs w:val="18"/>
                <w:color w:val="auto"/>
              </w:rPr>
              <w:t>Fair-value changes on derivative liabilities</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(243 )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(4,847 )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(5,940 )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(6,760 )</w:t>
            </w:r>
          </w:p>
        </w:tc>
      </w:tr>
      <w:tr>
        <w:trPr>
          <w:trHeight w:val="216"/>
        </w:trPr>
        <w:tc>
          <w:tcPr>
            <w:tcW w:w="4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Impairment of disposal group</w:t>
            </w: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2,000</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2,000</w:t>
            </w:r>
          </w:p>
        </w:tc>
      </w:tr>
      <w:tr>
        <w:trPr>
          <w:trHeight w:val="216"/>
        </w:trPr>
        <w:tc>
          <w:tcPr>
            <w:tcW w:w="4640" w:type="dxa"/>
            <w:vAlign w:val="bottom"/>
          </w:tcPr>
          <w:p>
            <w:pPr>
              <w:ind w:left="200"/>
              <w:spacing w:after="0"/>
              <w:rPr>
                <w:sz w:val="20"/>
                <w:szCs w:val="20"/>
                <w:color w:val="auto"/>
              </w:rPr>
            </w:pPr>
            <w:r>
              <w:rPr>
                <w:rFonts w:ascii="Arial" w:cs="Arial" w:eastAsia="Arial" w:hAnsi="Arial"/>
                <w:sz w:val="18"/>
                <w:szCs w:val="18"/>
                <w:color w:val="auto"/>
              </w:rPr>
              <w:t>Loss on conversion of Convertible Notes</w:t>
            </w:r>
          </w:p>
        </w:tc>
        <w:tc>
          <w:tcPr>
            <w:tcW w:w="140" w:type="dxa"/>
            <w:vAlign w:val="bottom"/>
          </w:tcPr>
          <w:p>
            <w:pPr>
              <w:spacing w:after="0"/>
              <w:rPr>
                <w:sz w:val="18"/>
                <w:szCs w:val="18"/>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1,580</w:t>
            </w:r>
          </w:p>
        </w:tc>
      </w:tr>
      <w:tr>
        <w:trPr>
          <w:trHeight w:val="174"/>
        </w:trPr>
        <w:tc>
          <w:tcPr>
            <w:tcW w:w="4640" w:type="dxa"/>
            <w:vAlign w:val="bottom"/>
            <w:shd w:val="clear" w:color="auto" w:fill="CFF0FC"/>
          </w:tcPr>
          <w:p>
            <w:pPr>
              <w:ind w:left="200"/>
              <w:spacing w:after="0" w:line="175" w:lineRule="exact"/>
              <w:rPr>
                <w:sz w:val="20"/>
                <w:szCs w:val="20"/>
                <w:color w:val="auto"/>
              </w:rPr>
            </w:pPr>
            <w:r>
              <w:rPr>
                <w:rFonts w:ascii="Arial" w:cs="Arial" w:eastAsia="Arial" w:hAnsi="Arial"/>
                <w:sz w:val="18"/>
                <w:szCs w:val="18"/>
                <w:color w:val="auto"/>
                <w:w w:val="94"/>
              </w:rPr>
              <w:t>Gain on remeasurement of contingent consideration, net of</w:t>
            </w:r>
          </w:p>
        </w:tc>
        <w:tc>
          <w:tcPr>
            <w:tcW w:w="14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r>
      <w:tr>
        <w:trPr>
          <w:trHeight w:val="230"/>
        </w:trPr>
        <w:tc>
          <w:tcPr>
            <w:tcW w:w="4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reclassification and general accrual</w:t>
            </w:r>
          </w:p>
        </w:tc>
        <w:tc>
          <w:tcPr>
            <w:tcW w:w="140" w:type="dxa"/>
            <w:vAlign w:val="bottom"/>
            <w:shd w:val="clear" w:color="auto" w:fill="CFF0FC"/>
          </w:tcPr>
          <w:p>
            <w:pPr>
              <w:spacing w:after="0"/>
              <w:rPr>
                <w:sz w:val="20"/>
                <w:szCs w:val="20"/>
                <w:color w:val="auto"/>
              </w:rPr>
            </w:pPr>
          </w:p>
        </w:tc>
        <w:tc>
          <w:tcPr>
            <w:tcW w:w="14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(23,582 )</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(23,582 )</w:t>
            </w:r>
          </w:p>
        </w:tc>
      </w:tr>
      <w:tr>
        <w:trPr>
          <w:trHeight w:val="216"/>
        </w:trPr>
        <w:tc>
          <w:tcPr>
            <w:tcW w:w="4640" w:type="dxa"/>
            <w:vAlign w:val="bottom"/>
          </w:tcPr>
          <w:p>
            <w:pPr>
              <w:ind w:left="200"/>
              <w:spacing w:after="0"/>
              <w:rPr>
                <w:sz w:val="20"/>
                <w:szCs w:val="20"/>
                <w:color w:val="auto"/>
              </w:rPr>
            </w:pPr>
            <w:r>
              <w:rPr>
                <w:rFonts w:ascii="Arial" w:cs="Arial" w:eastAsia="Arial" w:hAnsi="Arial"/>
                <w:sz w:val="18"/>
                <w:szCs w:val="18"/>
                <w:color w:val="auto"/>
              </w:rPr>
              <w:t>Acquisition and settlement of pre-existing relationships</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75,308</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75,308</w:t>
            </w:r>
          </w:p>
        </w:tc>
      </w:tr>
      <w:tr>
        <w:trPr>
          <w:trHeight w:val="249"/>
        </w:trPr>
        <w:tc>
          <w:tcPr>
            <w:tcW w:w="46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Adjusted EBITDA (non-GAAP measure)</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20,993</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24,777</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49,971</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37,265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3943985</wp:posOffset>
            </wp:positionH>
            <wp:positionV relativeFrom="paragraph">
              <wp:posOffset>-1532255</wp:posOffset>
            </wp:positionV>
            <wp:extent cx="85725" cy="1454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5725" cy="14541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-1532255</wp:posOffset>
            </wp:positionV>
            <wp:extent cx="76835" cy="1454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-1532255</wp:posOffset>
            </wp:positionV>
            <wp:extent cx="76835" cy="1454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3943985</wp:posOffset>
            </wp:positionH>
            <wp:positionV relativeFrom="paragraph">
              <wp:posOffset>-24765</wp:posOffset>
            </wp:positionV>
            <wp:extent cx="857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3943985</wp:posOffset>
            </wp:positionH>
            <wp:positionV relativeFrom="paragraph">
              <wp:posOffset>-7620</wp:posOffset>
            </wp:positionV>
            <wp:extent cx="857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-24765</wp:posOffset>
            </wp:positionV>
            <wp:extent cx="7683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-7620</wp:posOffset>
            </wp:positionV>
            <wp:extent cx="7683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-24765</wp:posOffset>
            </wp:positionV>
            <wp:extent cx="7683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-7620</wp:posOffset>
            </wp:positionV>
            <wp:extent cx="7683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*Acquisition and other non-core costs include costs associated with acquisitions, litigation expense and COVID -19 expenses.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Revenues</w:t>
            </w:r>
          </w:p>
        </w:tc>
        <w:tc>
          <w:tcPr>
            <w:tcW w:w="102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132,733</w:t>
            </w:r>
          </w:p>
        </w:tc>
        <w:tc>
          <w:tcPr>
            <w:tcW w:w="54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132,322</w:t>
            </w:r>
          </w:p>
        </w:tc>
        <w:tc>
          <w:tcPr>
            <w:tcW w:w="48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385,391</w:t>
            </w:r>
          </w:p>
        </w:tc>
        <w:tc>
          <w:tcPr>
            <w:tcW w:w="52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320,804</w:t>
            </w:r>
          </w:p>
        </w:tc>
        <w:tc>
          <w:tcPr>
            <w:tcW w:w="60" w:type="dxa"/>
            <w:vAlign w:val="bottom"/>
          </w:tcPr>
          <w:p>
            <w:pPr>
              <w:spacing w:after="0"/>
              <w:rPr>
                <w:sz w:val="18"/>
                <w:szCs w:val="18"/>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8"/>
                <w:szCs w:val="18"/>
                <w:color w:val="auto"/>
              </w:rPr>
              <w:t>Adjusted EBITDA (non-GAAP measure)</w:t>
            </w:r>
          </w:p>
        </w:tc>
        <w:tc>
          <w:tcPr>
            <w:tcW w:w="102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20,993</w:t>
            </w:r>
          </w:p>
        </w:tc>
        <w:tc>
          <w:tcPr>
            <w:tcW w:w="5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24,777</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49,971</w:t>
            </w:r>
          </w:p>
        </w:tc>
        <w:tc>
          <w:tcPr>
            <w:tcW w:w="52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37,265</w:t>
            </w:r>
          </w:p>
        </w:tc>
        <w:tc>
          <w:tcPr>
            <w:tcW w:w="60" w:type="dxa"/>
            <w:vAlign w:val="bottom"/>
          </w:tcPr>
          <w:p>
            <w:pPr>
              <w:spacing w:after="0"/>
              <w:rPr>
                <w:sz w:val="18"/>
                <w:szCs w:val="18"/>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8"/>
                <w:szCs w:val="18"/>
                <w:color w:val="auto"/>
              </w:rPr>
              <w:t>Adjusted EBITDA margin (non-GAAP measure)</w:t>
            </w:r>
          </w:p>
        </w:tc>
        <w:tc>
          <w:tcPr>
            <w:tcW w:w="10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15.8 %</w:t>
            </w:r>
          </w:p>
        </w:tc>
        <w:tc>
          <w:tcPr>
            <w:tcW w:w="5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18.7 %</w:t>
            </w:r>
          </w:p>
        </w:tc>
        <w:tc>
          <w:tcPr>
            <w:tcW w:w="4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13.0 %</w:t>
            </w:r>
          </w:p>
        </w:tc>
        <w:tc>
          <w:tcPr>
            <w:tcW w:w="5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11.6 %</w:t>
            </w:r>
          </w:p>
        </w:tc>
      </w:tr>
      <w:tr>
        <w:trPr>
          <w:trHeight w:val="216"/>
        </w:trPr>
        <w:tc>
          <w:tcPr>
            <w:tcW w:w="4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Revenues</w:t>
            </w:r>
          </w:p>
        </w:tc>
        <w:tc>
          <w:tcPr>
            <w:tcW w:w="102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132,733</w:t>
            </w:r>
          </w:p>
        </w:tc>
        <w:tc>
          <w:tcPr>
            <w:tcW w:w="54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132,322</w:t>
            </w:r>
          </w:p>
        </w:tc>
        <w:tc>
          <w:tcPr>
            <w:tcW w:w="48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385,391</w:t>
            </w:r>
          </w:p>
        </w:tc>
        <w:tc>
          <w:tcPr>
            <w:tcW w:w="52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320,804</w:t>
            </w:r>
          </w:p>
        </w:tc>
        <w:tc>
          <w:tcPr>
            <w:tcW w:w="60" w:type="dxa"/>
            <w:vAlign w:val="bottom"/>
          </w:tcPr>
          <w:p>
            <w:pPr>
              <w:spacing w:after="0"/>
              <w:rPr>
                <w:sz w:val="18"/>
                <w:szCs w:val="18"/>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02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52,135</w:t>
            </w:r>
          </w:p>
        </w:tc>
        <w:tc>
          <w:tcPr>
            <w:tcW w:w="5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61,367</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159,610</w:t>
            </w:r>
          </w:p>
        </w:tc>
        <w:tc>
          <w:tcPr>
            <w:tcW w:w="52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136,762</w:t>
            </w:r>
          </w:p>
        </w:tc>
        <w:tc>
          <w:tcPr>
            <w:tcW w:w="60" w:type="dxa"/>
            <w:vAlign w:val="bottom"/>
          </w:tcPr>
          <w:p>
            <w:pPr>
              <w:spacing w:after="0"/>
              <w:rPr>
                <w:sz w:val="18"/>
                <w:szCs w:val="18"/>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10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39.3 %</w:t>
            </w:r>
          </w:p>
        </w:tc>
        <w:tc>
          <w:tcPr>
            <w:tcW w:w="5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46.4 %</w:t>
            </w:r>
          </w:p>
        </w:tc>
        <w:tc>
          <w:tcPr>
            <w:tcW w:w="4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41.4 %</w:t>
            </w:r>
          </w:p>
        </w:tc>
        <w:tc>
          <w:tcPr>
            <w:tcW w:w="5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42.6 %</w:t>
            </w:r>
          </w:p>
        </w:tc>
      </w:tr>
      <w:tr>
        <w:trPr>
          <w:trHeight w:val="634"/>
        </w:trPr>
        <w:tc>
          <w:tcPr>
            <w:tcW w:w="4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color w:val="auto"/>
              </w:rPr>
              <w:t>22</w:t>
            </w:r>
          </w:p>
        </w:tc>
        <w:tc>
          <w:tcPr>
            <w:tcW w:w="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01"/>
        </w:trPr>
        <w:tc>
          <w:tcPr>
            <w:tcW w:w="410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-1163955</wp:posOffset>
            </wp:positionV>
            <wp:extent cx="7132320" cy="13716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-615950</wp:posOffset>
            </wp:positionV>
            <wp:extent cx="7132320" cy="1371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00"/>
          </w:cols>
          <w:pgMar w:left="320" w:top="476" w:right="279" w:bottom="1440" w:gutter="0" w:footer="0" w:header="0"/>
        </w:sectPr>
      </w:pPr>
    </w:p>
    <w:bookmarkStart w:id="23" w:name="page24"/>
    <w:bookmarkEnd w:id="23"/>
    <w:p>
      <w:pPr>
        <w:ind w:right="2140"/>
        <w:spacing w:after="0" w:line="406" w:lineRule="auto"/>
        <w:rPr>
          <w:sz w:val="20"/>
          <w:szCs w:val="20"/>
          <w:color w:val="auto"/>
        </w:rPr>
      </w:pPr>
      <w:r>
        <w:rPr>
          <w:rFonts w:ascii="Arial" w:cs="Arial" w:eastAsia="Arial" w:hAnsi="Arial"/>
          <w:sz w:val="18"/>
          <w:szCs w:val="18"/>
          <w:color w:val="auto"/>
        </w:rPr>
        <w:t xml:space="preserve">*Acquisition and other non-core costs include costs associated with acquisitions, litigation expenses and COVID-19 expenses. </w:t>
      </w:r>
      <w:r>
        <w:rPr>
          <w:rFonts w:ascii="Arial" w:cs="Arial" w:eastAsia="Arial" w:hAnsi="Arial"/>
          <w:sz w:val="18"/>
          <w:szCs w:val="18"/>
          <w:i w:val="1"/>
          <w:iCs w:val="1"/>
          <w:color w:val="auto"/>
        </w:rPr>
        <w:t>Adjusted EBITDA</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decrease in Adjusted EBITDA for the three months ended September 30, 2022, as compared to the prior year period, was primarily driven by lower gross margins. The increase in Adjusted EBITDA for the nine months ended September 30, 2022, as compared to the prior year period, was primarily driven by leveraging operating expenses over a larger revenue base, despite a slight decrease in gross margin.</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48"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Our primary need for liquidity is to fund working capital requirements of our business, capital expenditures and for general corporate purposes. Historically, we have relied on external financing as our primary source of liquidity. Our ability to fund our operations and to make capital expenditures depends on our ability to successfully secure financing through issuance of debt or equity, as well as our ability to improve our future operating performance and cash flows, which are subject to prevailing economic conditions and financial, business and other factors, some of which are beyond our control.</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are currently meeting our obligations as they become due and are earning revenues from our operations. However, we have sustained losses since inception and may require additional capital in the future. We estimate that based on our current business operations and working capital, we will continue to meet our obligations as they become due in the short term. As we continue to seek growth through expansion or acquisition, our cash flow requirements and obligations could materially change. As of September 30, 2022, we did not have any significant external capital requirements.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Financing Transactions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Private Placement</w:t>
      </w:r>
    </w:p>
    <w:p>
      <w:pPr>
        <w:spacing w:after="0" w:line="14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On February 3, 2022, we closed a private placement of $185,000 aggregate principal amount of 9.50% senior-secured first-lien notes due 2026 (the “2026 Notes”). The 2026 Notes are senior secured obligations of the Company and were issued at 100.0% of face value. In connection with the offering of the 2026 Notes, the Company received binding commitments to exchange approximately $31,750 of the Company’s existing 13.0% Term Debt, pursuant to private agreements in accordance with the trust indenture, for an equivalent amount of 2026 Notes plus accrued but unpaid interest and any negotiated premium thereon. As a result of the note exchanges, the Company received aggregate gross proceeds of $153,250 in cash pursuant to the offering of the 2026 Notes.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sources and uses of cash for each of the periods presented: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120" w:type="dxa"/>
            <w:vAlign w:val="bottom"/>
            <w:tcBorders>
              <w:bottom w:val="single" w:sz="8" w:color="auto"/>
            </w:tcBorders>
            <w:gridSpan w:val="4"/>
          </w:tcPr>
          <w:p>
            <w:pPr>
              <w:jc w:val="right"/>
              <w:ind w:right="1330"/>
              <w:spacing w:after="0"/>
              <w:rPr>
                <w:sz w:val="20"/>
                <w:szCs w:val="20"/>
                <w:color w:val="auto"/>
              </w:rPr>
            </w:pPr>
            <w:r>
              <w:rPr>
                <w:rFonts w:ascii="Arial" w:cs="Arial" w:eastAsia="Arial" w:hAnsi="Arial"/>
                <w:sz w:val="18"/>
                <w:szCs w:val="18"/>
                <w:b w:val="1"/>
                <w:bCs w:val="1"/>
                <w:color w:val="auto"/>
              </w:rPr>
              <w:t>Nine Months Ended</w:t>
            </w:r>
          </w:p>
        </w:tc>
      </w:tr>
      <w:tr>
        <w:trPr>
          <w:trHeight w:val="209"/>
        </w:trPr>
        <w:tc>
          <w:tcPr>
            <w:tcW w:w="65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1"/>
              </w:rPr>
              <w:t>September 30, 2022</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1"/>
              </w:rPr>
              <w:t>September 30, 2021</w:t>
            </w:r>
          </w:p>
        </w:tc>
      </w:tr>
      <w:tr>
        <w:trPr>
          <w:trHeight w:val="209"/>
        </w:trPr>
        <w:tc>
          <w:tcPr>
            <w:tcW w:w="6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operating activities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(116,553 )</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(2,967 )</w:t>
            </w:r>
          </w:p>
        </w:tc>
      </w:tr>
      <w:tr>
        <w:trPr>
          <w:trHeight w:val="216"/>
        </w:trPr>
        <w:tc>
          <w:tcPr>
            <w:tcW w:w="650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(71,958 )</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(135,913 )</w:t>
            </w:r>
          </w:p>
        </w:tc>
      </w:tr>
      <w:tr>
        <w:trPr>
          <w:trHeight w:val="216"/>
        </w:trPr>
        <w:tc>
          <w:tcPr>
            <w:tcW w:w="65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tcBorders>
              <w:bottom w:val="single" w:sz="8" w:color="auto"/>
            </w:tcBorders>
            <w:shd w:val="clear" w:color="auto" w:fill="CFF0FC"/>
          </w:tcPr>
          <w:p>
            <w:pPr>
              <w:spacing w:after="0"/>
              <w:rPr>
                <w:sz w:val="18"/>
                <w:szCs w:val="18"/>
                <w:color w:val="auto"/>
              </w:rPr>
            </w:pPr>
          </w:p>
        </w:tc>
        <w:tc>
          <w:tcPr>
            <w:tcW w:w="19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157,336</w:t>
            </w: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8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184,177</w:t>
            </w:r>
          </w:p>
        </w:tc>
      </w:tr>
      <w:tr>
        <w:trPr>
          <w:trHeight w:val="209"/>
        </w:trPr>
        <w:tc>
          <w:tcPr>
            <w:tcW w:w="6500" w:type="dxa"/>
            <w:vAlign w:val="bottom"/>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(31,175 )</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45,297</w:t>
            </w:r>
          </w:p>
        </w:tc>
      </w:tr>
      <w:tr>
        <w:trPr>
          <w:trHeight w:val="20"/>
        </w:trPr>
        <w:tc>
          <w:tcPr>
            <w:tcW w:w="6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5433695</wp:posOffset>
            </wp:positionH>
            <wp:positionV relativeFrom="paragraph">
              <wp:posOffset>-170815</wp:posOffset>
            </wp:positionV>
            <wp:extent cx="111125" cy="1714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11125" cy="171450"/>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44"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During the nine months ended September 30, 2022, operating activities used $116,553 of cash, primarily resulting from a net loss of $120,464, net changes in operating assets and liabilities of $44,113, and a gain on remeasurement of contingent consideration of $37,362; this was partially offset by depreciation and amortization of $63,077, equity-based compensation expense of $20,649, and debt amortization expense of $6,278. The net change in operating assets and liabilities was primarily due to an increase in inventory of $40,346, an increase in income tax payable of $20,636, and a decrease in accounts payable of $8,821.</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During the nine months ended September 30, 2021, operating activities used $2,967 of cash, primarily resulting from a net loss of $92,190 that was partially offset by depreciation and amortization of $33,801, and equity-based compensation expense of 18,029; this was partially offset by gain on remeasurement of contingent consideration of $23,582, deferred tax of $16,739, and decrease in value of inventory by $14,763.</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color w:val="auto"/>
        </w:rPr>
        <w:t>Investing Activities</w:t>
      </w:r>
    </w:p>
    <w:p>
      <w:pPr>
        <w:spacing w:after="0" w:line="144"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During the nine months ended September 30, 2022, investing activities used $71,958 of cash pursuant to purchases of property and equipment of $69,362 and cash paid on deposits of $2,973. This was partially offset by proceeds from the sale of property and equipment of $358.</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nine months ended September 30, 2021, investing activities used $135,913 of cash primarily for purchases of property and equipment of $72,323, business acquisitions of $44,268 and cash paid for other assets $15,770.</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3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nine months ended September 30, 2022, financing activities provided $157,336 of cash, mainly due to $153,250 in net proceeds received from the issuance of debt and the issuance of a mortgage of $16,500; this was partially offset by a debt issuance cost of $7,699 and lease liability payments of $2,965.</w:t>
      </w:r>
    </w:p>
    <w:p>
      <w:pPr>
        <w:spacing w:after="0" w:line="10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nine months ended September 30, 2021, financing activities provided $184,177 of cash primarily from proceeds from the issuance of equity of $133,559 and issuance of debt of $71,520; this was partially offset by repayment of debt of $9,550, taxes paid on equity-based compensation of $4,791 and payment of lease liabilities of $7,844.</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3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summarizes contractual obligations as of September 30, 2022 and the effects that such obligations are expected to have on our liquidity and cash flows in future periods:</w:t>
      </w:r>
    </w:p>
    <w:p>
      <w:pPr>
        <w:spacing w:after="0" w:line="103" w:lineRule="exact"/>
        <w:rPr>
          <w:sz w:val="20"/>
          <w:szCs w:val="20"/>
          <w:color w:val="auto"/>
        </w:rPr>
      </w:pPr>
    </w:p>
    <w:tbl>
      <w:tblPr>
        <w:tblLayout w:type="fixed"/>
        <w:tblInd w:w="180" w:type="dxa"/>
        <w:tblCellMar>
          <w:top w:w="0" w:type="dxa"/>
          <w:left w:w="0" w:type="dxa"/>
          <w:bottom w:w="0" w:type="dxa"/>
          <w:right w:w="0" w:type="dxa"/>
        </w:tblCellMar>
      </w:tblPr>
      <w:tr>
        <w:trPr>
          <w:trHeight w:val="213"/>
        </w:trPr>
        <w:tc>
          <w:tcPr>
            <w:tcW w:w="30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Payments Due by Period</w:t>
            </w: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3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restart"/>
          </w:tcPr>
          <w:p>
            <w:pPr>
              <w:jc w:val="right"/>
              <w:ind w:right="339"/>
              <w:spacing w:after="0"/>
              <w:rPr>
                <w:sz w:val="20"/>
                <w:szCs w:val="20"/>
                <w:color w:val="auto"/>
              </w:rPr>
            </w:pPr>
            <w:r>
              <w:rPr>
                <w:rFonts w:ascii="Arial" w:cs="Arial" w:eastAsia="Arial" w:hAnsi="Arial"/>
                <w:sz w:val="16"/>
                <w:szCs w:val="16"/>
                <w:b w:val="1"/>
                <w:bCs w:val="1"/>
                <w:color w:val="auto"/>
              </w:rPr>
              <w:t>Total</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Year 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restart"/>
          </w:tcPr>
          <w:p>
            <w:pPr>
              <w:jc w:val="right"/>
              <w:ind w:right="259"/>
              <w:spacing w:after="0"/>
              <w:rPr>
                <w:sz w:val="20"/>
                <w:szCs w:val="20"/>
                <w:color w:val="auto"/>
              </w:rPr>
            </w:pPr>
            <w:r>
              <w:rPr>
                <w:rFonts w:ascii="Arial" w:cs="Arial" w:eastAsia="Arial" w:hAnsi="Arial"/>
                <w:sz w:val="16"/>
                <w:szCs w:val="16"/>
                <w:b w:val="1"/>
                <w:bCs w:val="1"/>
                <w:color w:val="auto"/>
              </w:rPr>
              <w:t>Year 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restart"/>
          </w:tcPr>
          <w:p>
            <w:pPr>
              <w:jc w:val="right"/>
              <w:ind w:right="279"/>
              <w:spacing w:after="0"/>
              <w:rPr>
                <w:sz w:val="20"/>
                <w:szCs w:val="20"/>
                <w:color w:val="auto"/>
              </w:rPr>
            </w:pPr>
            <w:r>
              <w:rPr>
                <w:rFonts w:ascii="Arial" w:cs="Arial" w:eastAsia="Arial" w:hAnsi="Arial"/>
                <w:sz w:val="16"/>
                <w:szCs w:val="16"/>
                <w:b w:val="1"/>
                <w:bCs w:val="1"/>
                <w:color w:val="auto"/>
                <w:w w:val="99"/>
              </w:rPr>
              <w:t>Year 3</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vMerge w:val="restart"/>
          </w:tcPr>
          <w:p>
            <w:pPr>
              <w:jc w:val="right"/>
              <w:ind w:right="279"/>
              <w:spacing w:after="0"/>
              <w:rPr>
                <w:sz w:val="20"/>
                <w:szCs w:val="20"/>
                <w:color w:val="auto"/>
              </w:rPr>
            </w:pPr>
            <w:r>
              <w:rPr>
                <w:rFonts w:ascii="Arial" w:cs="Arial" w:eastAsia="Arial" w:hAnsi="Arial"/>
                <w:sz w:val="16"/>
                <w:szCs w:val="16"/>
                <w:b w:val="1"/>
                <w:bCs w:val="1"/>
                <w:color w:val="auto"/>
                <w:w w:val="91"/>
              </w:rPr>
              <w:t>Year 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restart"/>
          </w:tcPr>
          <w:p>
            <w:pPr>
              <w:jc w:val="right"/>
              <w:ind w:right="279"/>
              <w:spacing w:after="0"/>
              <w:rPr>
                <w:sz w:val="20"/>
                <w:szCs w:val="20"/>
                <w:color w:val="auto"/>
              </w:rPr>
            </w:pPr>
            <w:r>
              <w:rPr>
                <w:rFonts w:ascii="Arial" w:cs="Arial" w:eastAsia="Arial" w:hAnsi="Arial"/>
                <w:sz w:val="16"/>
                <w:szCs w:val="16"/>
                <w:b w:val="1"/>
                <w:bCs w:val="1"/>
                <w:color w:val="auto"/>
                <w:w w:val="99"/>
              </w:rPr>
              <w:t>Year 5</w:t>
            </w:r>
          </w:p>
        </w:tc>
        <w:tc>
          <w:tcPr>
            <w:tcW w:w="100" w:type="dxa"/>
            <w:vAlign w:val="bottom"/>
          </w:tcPr>
          <w:p>
            <w:pPr>
              <w:spacing w:after="0"/>
              <w:rPr>
                <w:sz w:val="12"/>
                <w:szCs w:val="12"/>
                <w:color w:val="auto"/>
              </w:rPr>
            </w:pPr>
          </w:p>
        </w:tc>
        <w:tc>
          <w:tcPr>
            <w:tcW w:w="1080" w:type="dxa"/>
            <w:vAlign w:val="bottom"/>
            <w:gridSpan w:val="2"/>
          </w:tcPr>
          <w:p>
            <w:pPr>
              <w:jc w:val="right"/>
              <w:ind w:right="159"/>
              <w:spacing w:after="0" w:line="145" w:lineRule="exact"/>
              <w:rPr>
                <w:sz w:val="20"/>
                <w:szCs w:val="20"/>
                <w:color w:val="auto"/>
              </w:rPr>
            </w:pPr>
            <w:r>
              <w:rPr>
                <w:rFonts w:ascii="Arial" w:cs="Arial" w:eastAsia="Arial" w:hAnsi="Arial"/>
                <w:sz w:val="16"/>
                <w:szCs w:val="16"/>
                <w:b w:val="1"/>
                <w:bCs w:val="1"/>
                <w:color w:val="auto"/>
              </w:rPr>
              <w:t>Year 6 and</w:t>
            </w:r>
          </w:p>
        </w:tc>
        <w:tc>
          <w:tcPr>
            <w:tcW w:w="0" w:type="dxa"/>
            <w:vAlign w:val="bottom"/>
          </w:tcPr>
          <w:p>
            <w:pPr>
              <w:spacing w:after="0"/>
              <w:rPr>
                <w:sz w:val="1"/>
                <w:szCs w:val="1"/>
                <w:color w:val="auto"/>
              </w:rPr>
            </w:pPr>
          </w:p>
        </w:tc>
      </w:tr>
      <w:tr>
        <w:trPr>
          <w:trHeight w:val="213"/>
        </w:trPr>
        <w:tc>
          <w:tcPr>
            <w:tcW w:w="30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w w:val="98"/>
              </w:rPr>
              <w:t>beyond</w:t>
            </w:r>
          </w:p>
        </w:tc>
        <w:tc>
          <w:tcPr>
            <w:tcW w:w="0" w:type="dxa"/>
            <w:vAlign w:val="bottom"/>
          </w:tcPr>
          <w:p>
            <w:pPr>
              <w:spacing w:after="0"/>
              <w:rPr>
                <w:sz w:val="1"/>
                <w:szCs w:val="1"/>
                <w:color w:val="auto"/>
              </w:rPr>
            </w:pPr>
          </w:p>
        </w:tc>
      </w:tr>
      <w:tr>
        <w:trPr>
          <w:trHeight w:val="199"/>
        </w:trPr>
        <w:tc>
          <w:tcPr>
            <w:tcW w:w="3020" w:type="dxa"/>
            <w:vAlign w:val="bottom"/>
            <w:shd w:val="clear" w:color="auto" w:fill="CFF0FC"/>
          </w:tcPr>
          <w:p>
            <w:pPr>
              <w:ind w:left="20"/>
              <w:spacing w:after="0"/>
              <w:rPr>
                <w:sz w:val="20"/>
                <w:szCs w:val="20"/>
                <w:color w:val="auto"/>
              </w:rPr>
            </w:pPr>
            <w:r>
              <w:rPr>
                <w:rFonts w:ascii="Arial" w:cs="Arial" w:eastAsia="Arial" w:hAnsi="Arial"/>
                <w:sz w:val="16"/>
                <w:szCs w:val="16"/>
                <w:color w:val="auto"/>
              </w:rPr>
              <w:t>Lease commitments</w:t>
            </w: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465,320</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7,688</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36,609</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35,367</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31,504</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28,894</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jc w:val="right"/>
              <w:ind w:right="2"/>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325,258</w:t>
            </w:r>
          </w:p>
        </w:tc>
        <w:tc>
          <w:tcPr>
            <w:tcW w:w="0" w:type="dxa"/>
            <w:vAlign w:val="bottom"/>
          </w:tcPr>
          <w:p>
            <w:pPr>
              <w:spacing w:after="0"/>
              <w:rPr>
                <w:sz w:val="1"/>
                <w:szCs w:val="1"/>
                <w:color w:val="auto"/>
              </w:rPr>
            </w:pPr>
          </w:p>
        </w:tc>
      </w:tr>
      <w:tr>
        <w:trPr>
          <w:trHeight w:val="202"/>
        </w:trPr>
        <w:tc>
          <w:tcPr>
            <w:tcW w:w="3020" w:type="dxa"/>
            <w:vAlign w:val="bottom"/>
          </w:tcPr>
          <w:p>
            <w:pPr>
              <w:ind w:left="20"/>
              <w:spacing w:after="0"/>
              <w:rPr>
                <w:sz w:val="20"/>
                <w:szCs w:val="20"/>
                <w:color w:val="auto"/>
              </w:rPr>
            </w:pPr>
            <w:r>
              <w:rPr>
                <w:rFonts w:ascii="Arial" w:cs="Arial" w:eastAsia="Arial" w:hAnsi="Arial"/>
                <w:sz w:val="16"/>
                <w:szCs w:val="16"/>
                <w:color w:val="auto"/>
              </w:rPr>
              <w:t>Sale-Leaseback commitments</w:t>
            </w:r>
          </w:p>
        </w:tc>
        <w:tc>
          <w:tcPr>
            <w:tcW w:w="160" w:type="dxa"/>
            <w:vAlign w:val="bottom"/>
          </w:tcPr>
          <w:p>
            <w:pPr>
              <w:spacing w:after="0"/>
              <w:rPr>
                <w:sz w:val="17"/>
                <w:szCs w:val="17"/>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210,115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9,689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10,002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10,325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10,658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11,003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158,438</w:t>
            </w:r>
          </w:p>
        </w:tc>
        <w:tc>
          <w:tcPr>
            <w:tcW w:w="0" w:type="dxa"/>
            <w:vAlign w:val="bottom"/>
          </w:tcPr>
          <w:p>
            <w:pPr>
              <w:spacing w:after="0"/>
              <w:rPr>
                <w:sz w:val="1"/>
                <w:szCs w:val="1"/>
                <w:color w:val="auto"/>
              </w:rPr>
            </w:pPr>
          </w:p>
        </w:tc>
      </w:tr>
      <w:tr>
        <w:trPr>
          <w:trHeight w:val="202"/>
        </w:trPr>
        <w:tc>
          <w:tcPr>
            <w:tcW w:w="3020" w:type="dxa"/>
            <w:vAlign w:val="bottom"/>
            <w:shd w:val="clear" w:color="auto" w:fill="CFF0FC"/>
          </w:tcPr>
          <w:p>
            <w:pPr>
              <w:ind w:left="20"/>
              <w:spacing w:after="0"/>
              <w:rPr>
                <w:sz w:val="20"/>
                <w:szCs w:val="20"/>
                <w:color w:val="auto"/>
              </w:rPr>
            </w:pPr>
            <w:r>
              <w:rPr>
                <w:rFonts w:ascii="Arial" w:cs="Arial" w:eastAsia="Arial" w:hAnsi="Arial"/>
                <w:sz w:val="16"/>
                <w:szCs w:val="16"/>
                <w:color w:val="auto"/>
              </w:rPr>
              <w:t>2026 Notes</w:t>
            </w: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185,000</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185,000</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3020" w:type="dxa"/>
            <w:vAlign w:val="bottom"/>
          </w:tcPr>
          <w:p>
            <w:pPr>
              <w:ind w:left="20"/>
              <w:spacing w:after="0"/>
              <w:rPr>
                <w:sz w:val="20"/>
                <w:szCs w:val="20"/>
                <w:color w:val="auto"/>
              </w:rPr>
            </w:pPr>
            <w:r>
              <w:rPr>
                <w:rFonts w:ascii="Arial" w:cs="Arial" w:eastAsia="Arial" w:hAnsi="Arial"/>
                <w:sz w:val="16"/>
                <w:szCs w:val="16"/>
                <w:color w:val="auto"/>
              </w:rPr>
              <w:t>Term debt (principal)</w:t>
            </w:r>
          </w:p>
        </w:tc>
        <w:tc>
          <w:tcPr>
            <w:tcW w:w="160" w:type="dxa"/>
            <w:vAlign w:val="bottom"/>
          </w:tcPr>
          <w:p>
            <w:pPr>
              <w:spacing w:after="0"/>
              <w:rPr>
                <w:sz w:val="17"/>
                <w:szCs w:val="17"/>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38,215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38,215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3020" w:type="dxa"/>
            <w:vAlign w:val="bottom"/>
            <w:shd w:val="clear" w:color="auto" w:fill="CFF0FC"/>
          </w:tcPr>
          <w:p>
            <w:pPr>
              <w:ind w:left="20"/>
              <w:spacing w:after="0"/>
              <w:rPr>
                <w:sz w:val="20"/>
                <w:szCs w:val="20"/>
                <w:color w:val="auto"/>
              </w:rPr>
            </w:pPr>
            <w:r>
              <w:rPr>
                <w:rFonts w:ascii="Arial" w:cs="Arial" w:eastAsia="Arial" w:hAnsi="Arial"/>
                <w:sz w:val="16"/>
                <w:szCs w:val="16"/>
                <w:color w:val="auto"/>
              </w:rPr>
              <w:t>Acquisition related term debt</w:t>
            </w: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3,239</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103</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108</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112</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117</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121</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2,678</w:t>
            </w:r>
          </w:p>
        </w:tc>
        <w:tc>
          <w:tcPr>
            <w:tcW w:w="0" w:type="dxa"/>
            <w:vAlign w:val="bottom"/>
          </w:tcPr>
          <w:p>
            <w:pPr>
              <w:spacing w:after="0"/>
              <w:rPr>
                <w:sz w:val="1"/>
                <w:szCs w:val="1"/>
                <w:color w:val="auto"/>
              </w:rPr>
            </w:pPr>
          </w:p>
        </w:tc>
      </w:tr>
      <w:tr>
        <w:trPr>
          <w:trHeight w:val="202"/>
        </w:trPr>
        <w:tc>
          <w:tcPr>
            <w:tcW w:w="3020" w:type="dxa"/>
            <w:vAlign w:val="bottom"/>
          </w:tcPr>
          <w:p>
            <w:pPr>
              <w:ind w:left="20"/>
              <w:spacing w:after="0"/>
              <w:rPr>
                <w:sz w:val="20"/>
                <w:szCs w:val="20"/>
                <w:color w:val="auto"/>
              </w:rPr>
            </w:pPr>
            <w:r>
              <w:rPr>
                <w:rFonts w:ascii="Arial" w:cs="Arial" w:eastAsia="Arial" w:hAnsi="Arial"/>
                <w:sz w:val="16"/>
                <w:szCs w:val="16"/>
                <w:color w:val="auto"/>
              </w:rPr>
              <w:t>Interest on term debts and notes</w:t>
            </w:r>
          </w:p>
        </w:tc>
        <w:tc>
          <w:tcPr>
            <w:tcW w:w="160" w:type="dxa"/>
            <w:vAlign w:val="bottom"/>
          </w:tcPr>
          <w:p>
            <w:pPr>
              <w:spacing w:after="0"/>
              <w:rPr>
                <w:sz w:val="17"/>
                <w:szCs w:val="17"/>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63,324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20,765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17,698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17,694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6,134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925</w:t>
            </w:r>
          </w:p>
        </w:tc>
        <w:tc>
          <w:tcPr>
            <w:tcW w:w="0" w:type="dxa"/>
            <w:vAlign w:val="bottom"/>
          </w:tcPr>
          <w:p>
            <w:pPr>
              <w:spacing w:after="0"/>
              <w:rPr>
                <w:sz w:val="1"/>
                <w:szCs w:val="1"/>
                <w:color w:val="auto"/>
              </w:rPr>
            </w:pPr>
          </w:p>
        </w:tc>
      </w:tr>
      <w:tr>
        <w:trPr>
          <w:trHeight w:val="202"/>
        </w:trPr>
        <w:tc>
          <w:tcPr>
            <w:tcW w:w="302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Convertible debt (principal)</w:t>
            </w: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80,100</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5,600</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74,500</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3020" w:type="dxa"/>
            <w:vAlign w:val="bottom"/>
          </w:tcPr>
          <w:p>
            <w:pPr>
              <w:ind w:left="20"/>
              <w:spacing w:after="0"/>
              <w:rPr>
                <w:sz w:val="20"/>
                <w:szCs w:val="20"/>
                <w:color w:val="auto"/>
              </w:rPr>
            </w:pPr>
            <w:r>
              <w:rPr>
                <w:rFonts w:ascii="Arial" w:cs="Arial" w:eastAsia="Arial" w:hAnsi="Arial"/>
                <w:sz w:val="16"/>
                <w:szCs w:val="16"/>
                <w:color w:val="auto"/>
              </w:rPr>
              <w:t>Interest on convertible debt</w:t>
            </w:r>
          </w:p>
        </w:tc>
        <w:tc>
          <w:tcPr>
            <w:tcW w:w="160" w:type="dxa"/>
            <w:vAlign w:val="bottom"/>
          </w:tcPr>
          <w:p>
            <w:pPr>
              <w:spacing w:after="0"/>
              <w:rPr>
                <w:sz w:val="17"/>
                <w:szCs w:val="17"/>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12,600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4,750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4,531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3,319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3020" w:type="dxa"/>
            <w:vAlign w:val="bottom"/>
            <w:shd w:val="clear" w:color="auto" w:fill="CFF0FC"/>
          </w:tcPr>
          <w:p>
            <w:pPr>
              <w:ind w:left="20"/>
              <w:spacing w:after="0"/>
              <w:rPr>
                <w:sz w:val="20"/>
                <w:szCs w:val="20"/>
                <w:color w:val="auto"/>
              </w:rPr>
            </w:pPr>
            <w:r>
              <w:rPr>
                <w:rFonts w:ascii="Arial" w:cs="Arial" w:eastAsia="Arial" w:hAnsi="Arial"/>
                <w:sz w:val="16"/>
                <w:szCs w:val="16"/>
                <w:color w:val="auto"/>
              </w:rPr>
              <w:t>Mortgage notes (principal)</w:t>
            </w: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36,118</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617</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660</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728</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794</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33,319</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3020" w:type="dxa"/>
            <w:vAlign w:val="bottom"/>
          </w:tcPr>
          <w:p>
            <w:pPr>
              <w:ind w:left="20"/>
              <w:spacing w:after="0"/>
              <w:rPr>
                <w:sz w:val="20"/>
                <w:szCs w:val="20"/>
                <w:color w:val="auto"/>
              </w:rPr>
            </w:pPr>
            <w:r>
              <w:rPr>
                <w:rFonts w:ascii="Arial" w:cs="Arial" w:eastAsia="Arial" w:hAnsi="Arial"/>
                <w:sz w:val="16"/>
                <w:szCs w:val="16"/>
                <w:color w:val="auto"/>
              </w:rPr>
              <w:t>Mortgage notes (interest)</w:t>
            </w:r>
          </w:p>
        </w:tc>
        <w:tc>
          <w:tcPr>
            <w:tcW w:w="160" w:type="dxa"/>
            <w:vAlign w:val="bottom"/>
          </w:tcPr>
          <w:p>
            <w:pPr>
              <w:spacing w:after="0"/>
              <w:rPr>
                <w:sz w:val="17"/>
                <w:szCs w:val="17"/>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13,615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3,076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3,042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2,974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2,908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1,615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3020" w:type="dxa"/>
            <w:vAlign w:val="bottom"/>
            <w:shd w:val="clear" w:color="auto" w:fill="CFF0FC"/>
          </w:tcPr>
          <w:p>
            <w:pPr>
              <w:ind w:left="20"/>
              <w:spacing w:after="0"/>
              <w:rPr>
                <w:sz w:val="20"/>
                <w:szCs w:val="20"/>
                <w:color w:val="auto"/>
              </w:rPr>
            </w:pPr>
            <w:r>
              <w:rPr>
                <w:rFonts w:ascii="Arial" w:cs="Arial" w:eastAsia="Arial" w:hAnsi="Arial"/>
                <w:sz w:val="16"/>
                <w:szCs w:val="16"/>
                <w:color w:val="auto"/>
              </w:rPr>
              <w:t>Closing promissory note (principal)</w:t>
            </w: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3,375</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1,125</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1,500</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750</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3020" w:type="dxa"/>
            <w:vAlign w:val="bottom"/>
          </w:tcPr>
          <w:p>
            <w:pPr>
              <w:ind w:left="20"/>
              <w:spacing w:after="0"/>
              <w:rPr>
                <w:sz w:val="20"/>
                <w:szCs w:val="20"/>
                <w:color w:val="auto"/>
              </w:rPr>
            </w:pPr>
            <w:r>
              <w:rPr>
                <w:rFonts w:ascii="Arial" w:cs="Arial" w:eastAsia="Arial" w:hAnsi="Arial"/>
                <w:sz w:val="16"/>
                <w:szCs w:val="16"/>
                <w:color w:val="auto"/>
              </w:rPr>
              <w:t>Closing promissory note (interest)</w:t>
            </w:r>
          </w:p>
        </w:tc>
        <w:tc>
          <w:tcPr>
            <w:tcW w:w="160" w:type="dxa"/>
            <w:vAlign w:val="bottom"/>
          </w:tcPr>
          <w:p>
            <w:pPr>
              <w:spacing w:after="0"/>
              <w:rPr>
                <w:sz w:val="17"/>
                <w:szCs w:val="17"/>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338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180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135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2"/>
        </w:trPr>
        <w:tc>
          <w:tcPr>
            <w:tcW w:w="3020" w:type="dxa"/>
            <w:vAlign w:val="bottom"/>
            <w:shd w:val="clear" w:color="auto" w:fill="CFF0FC"/>
          </w:tcPr>
          <w:p>
            <w:pPr>
              <w:ind w:left="20"/>
              <w:spacing w:after="0" w:line="152" w:lineRule="exact"/>
              <w:rPr>
                <w:sz w:val="20"/>
                <w:szCs w:val="20"/>
                <w:color w:val="auto"/>
              </w:rPr>
            </w:pPr>
            <w:r>
              <w:rPr>
                <w:rFonts w:ascii="Arial" w:cs="Arial" w:eastAsia="Arial" w:hAnsi="Arial"/>
                <w:sz w:val="16"/>
                <w:szCs w:val="16"/>
                <w:color w:val="auto"/>
              </w:rPr>
              <w:t>Acquisition related real estate notes</w:t>
            </w:r>
          </w:p>
        </w:tc>
        <w:tc>
          <w:tcPr>
            <w:tcW w:w="160" w:type="dxa"/>
            <w:vAlign w:val="bottom"/>
            <w:shd w:val="clear" w:color="auto" w:fill="CFF0FC"/>
          </w:tcPr>
          <w:p>
            <w:pPr>
              <w:spacing w:after="0"/>
              <w:rPr>
                <w:sz w:val="13"/>
                <w:szCs w:val="13"/>
                <w:color w:val="auto"/>
              </w:rPr>
            </w:pPr>
          </w:p>
        </w:tc>
        <w:tc>
          <w:tcPr>
            <w:tcW w:w="880" w:type="dxa"/>
            <w:vAlign w:val="bottom"/>
            <w:vMerge w:val="restart"/>
            <w:shd w:val="clear" w:color="auto" w:fill="CFF0FC"/>
          </w:tcPr>
          <w:p>
            <w:pPr>
              <w:jc w:val="right"/>
              <w:ind w:right="59"/>
              <w:spacing w:after="0"/>
              <w:rPr>
                <w:sz w:val="20"/>
                <w:szCs w:val="20"/>
                <w:color w:val="auto"/>
              </w:rPr>
            </w:pPr>
            <w:r>
              <w:rPr>
                <w:rFonts w:ascii="Arial" w:cs="Arial" w:eastAsia="Arial" w:hAnsi="Arial"/>
                <w:sz w:val="16"/>
                <w:szCs w:val="16"/>
                <w:color w:val="auto"/>
              </w:rPr>
              <w:t>7,000</w:t>
            </w: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00" w:type="dxa"/>
            <w:vAlign w:val="bottom"/>
            <w:vMerge w:val="restart"/>
            <w:shd w:val="clear" w:color="auto" w:fill="CFF0FC"/>
          </w:tcPr>
          <w:p>
            <w:pPr>
              <w:jc w:val="right"/>
              <w:ind w:right="59"/>
              <w:spacing w:after="0"/>
              <w:rPr>
                <w:sz w:val="20"/>
                <w:szCs w:val="20"/>
                <w:color w:val="auto"/>
              </w:rPr>
            </w:pPr>
            <w:r>
              <w:rPr>
                <w:rFonts w:ascii="Arial" w:cs="Arial" w:eastAsia="Arial" w:hAnsi="Arial"/>
                <w:sz w:val="16"/>
                <w:szCs w:val="16"/>
                <w:color w:val="auto"/>
              </w:rPr>
              <w:t>2,000</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60" w:type="dxa"/>
            <w:vAlign w:val="bottom"/>
            <w:vMerge w:val="restart"/>
            <w:shd w:val="clear" w:color="auto" w:fill="CFF0FC"/>
          </w:tcPr>
          <w:p>
            <w:pPr>
              <w:jc w:val="right"/>
              <w:ind w:right="59"/>
              <w:spacing w:after="0"/>
              <w:rPr>
                <w:sz w:val="20"/>
                <w:szCs w:val="20"/>
                <w:color w:val="auto"/>
              </w:rPr>
            </w:pPr>
            <w:r>
              <w:rPr>
                <w:rFonts w:ascii="Arial" w:cs="Arial" w:eastAsia="Arial" w:hAnsi="Arial"/>
                <w:sz w:val="16"/>
                <w:szCs w:val="16"/>
                <w:color w:val="auto"/>
              </w:rPr>
              <w:t>5,000</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60" w:type="dxa"/>
            <w:vAlign w:val="bottom"/>
            <w:vMerge w:val="restart"/>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20" w:type="dxa"/>
            <w:vAlign w:val="bottom"/>
            <w:vMerge w:val="restart"/>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60" w:type="dxa"/>
            <w:vAlign w:val="bottom"/>
            <w:vMerge w:val="restart"/>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20" w:type="dxa"/>
            <w:vAlign w:val="bottom"/>
            <w:vMerge w:val="restart"/>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302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(principal)</w:t>
            </w:r>
          </w:p>
        </w:tc>
        <w:tc>
          <w:tcPr>
            <w:tcW w:w="160" w:type="dxa"/>
            <w:vAlign w:val="bottom"/>
            <w:shd w:val="clear" w:color="auto" w:fill="CFF0FC"/>
          </w:tcPr>
          <w:p>
            <w:pPr>
              <w:spacing w:after="0"/>
              <w:rPr>
                <w:sz w:val="18"/>
                <w:szCs w:val="18"/>
                <w:color w:val="auto"/>
              </w:rPr>
            </w:pPr>
          </w:p>
        </w:tc>
        <w:tc>
          <w:tcPr>
            <w:tcW w:w="880" w:type="dxa"/>
            <w:vAlign w:val="bottom"/>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2"/>
        </w:trPr>
        <w:tc>
          <w:tcPr>
            <w:tcW w:w="3020" w:type="dxa"/>
            <w:vAlign w:val="bottom"/>
          </w:tcPr>
          <w:p>
            <w:pPr>
              <w:ind w:left="20"/>
              <w:spacing w:after="0" w:line="152" w:lineRule="exact"/>
              <w:rPr>
                <w:sz w:val="20"/>
                <w:szCs w:val="20"/>
                <w:color w:val="auto"/>
              </w:rPr>
            </w:pPr>
            <w:r>
              <w:rPr>
                <w:rFonts w:ascii="Arial" w:cs="Arial" w:eastAsia="Arial" w:hAnsi="Arial"/>
                <w:sz w:val="16"/>
                <w:szCs w:val="16"/>
                <w:color w:val="auto"/>
              </w:rPr>
              <w:t>Acquisition related real estate notes</w:t>
            </w:r>
          </w:p>
        </w:tc>
        <w:tc>
          <w:tcPr>
            <w:tcW w:w="160" w:type="dxa"/>
            <w:vAlign w:val="bottom"/>
          </w:tcPr>
          <w:p>
            <w:pPr>
              <w:spacing w:after="0"/>
              <w:rPr>
                <w:sz w:val="13"/>
                <w:szCs w:val="13"/>
                <w:color w:val="auto"/>
              </w:rPr>
            </w:pPr>
          </w:p>
        </w:tc>
        <w:tc>
          <w:tcPr>
            <w:tcW w:w="880" w:type="dxa"/>
            <w:vAlign w:val="bottom"/>
            <w:vMerge w:val="restart"/>
          </w:tcPr>
          <w:p>
            <w:pPr>
              <w:jc w:val="right"/>
              <w:ind w:right="59"/>
              <w:spacing w:after="0"/>
              <w:rPr>
                <w:sz w:val="20"/>
                <w:szCs w:val="20"/>
                <w:color w:val="auto"/>
              </w:rPr>
            </w:pPr>
            <w:r>
              <w:rPr>
                <w:rFonts w:ascii="Arial" w:cs="Arial" w:eastAsia="Arial" w:hAnsi="Arial"/>
                <w:sz w:val="16"/>
                <w:szCs w:val="16"/>
                <w:color w:val="auto"/>
              </w:rPr>
              <w:t>705</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vMerge w:val="restart"/>
          </w:tcPr>
          <w:p>
            <w:pPr>
              <w:jc w:val="right"/>
              <w:ind w:right="59"/>
              <w:spacing w:after="0"/>
              <w:rPr>
                <w:sz w:val="20"/>
                <w:szCs w:val="20"/>
                <w:color w:val="auto"/>
              </w:rPr>
            </w:pPr>
            <w:r>
              <w:rPr>
                <w:rFonts w:ascii="Arial" w:cs="Arial" w:eastAsia="Arial" w:hAnsi="Arial"/>
                <w:sz w:val="16"/>
                <w:szCs w:val="16"/>
                <w:color w:val="auto"/>
              </w:rPr>
              <w:t>480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vMerge w:val="restart"/>
          </w:tcPr>
          <w:p>
            <w:pPr>
              <w:jc w:val="right"/>
              <w:ind w:right="59"/>
              <w:spacing w:after="0"/>
              <w:rPr>
                <w:sz w:val="20"/>
                <w:szCs w:val="20"/>
                <w:color w:val="auto"/>
              </w:rPr>
            </w:pPr>
            <w:r>
              <w:rPr>
                <w:rFonts w:ascii="Arial" w:cs="Arial" w:eastAsia="Arial" w:hAnsi="Arial"/>
                <w:sz w:val="16"/>
                <w:szCs w:val="16"/>
                <w:color w:val="auto"/>
              </w:rPr>
              <w:t>225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vMerge w:val="restart"/>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vMerge w:val="restart"/>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vMerge w:val="restart"/>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3020" w:type="dxa"/>
            <w:vAlign w:val="bottom"/>
          </w:tcPr>
          <w:p>
            <w:pPr>
              <w:ind w:left="20"/>
              <w:spacing w:after="0"/>
              <w:rPr>
                <w:sz w:val="20"/>
                <w:szCs w:val="20"/>
                <w:color w:val="auto"/>
              </w:rPr>
            </w:pPr>
            <w:r>
              <w:rPr>
                <w:rFonts w:ascii="Arial" w:cs="Arial" w:eastAsia="Arial" w:hAnsi="Arial"/>
                <w:sz w:val="16"/>
                <w:szCs w:val="16"/>
                <w:color w:val="auto"/>
              </w:rPr>
              <w:t>(interest)</w:t>
            </w: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02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6"/>
                <w:szCs w:val="16"/>
                <w:b w:val="1"/>
                <w:bCs w:val="1"/>
                <w:color w:val="auto"/>
              </w:rPr>
              <w:t>Total contractual obligations</w:t>
            </w:r>
          </w:p>
        </w:tc>
        <w:tc>
          <w:tcPr>
            <w:tcW w:w="160" w:type="dxa"/>
            <w:vAlign w:val="bottom"/>
            <w:tcBorders>
              <w:bottom w:val="single" w:sz="8" w:color="auto"/>
            </w:tcBorders>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1,119,064</w:t>
            </w: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88,688</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85,110</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145,792</w:t>
            </w:r>
          </w:p>
        </w:tc>
        <w:tc>
          <w:tcPr>
            <w:tcW w:w="1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237,115</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75,060</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ind w:right="2"/>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487,299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2693670</wp:posOffset>
            </wp:positionH>
            <wp:positionV relativeFrom="paragraph">
              <wp:posOffset>-24765</wp:posOffset>
            </wp:positionV>
            <wp:extent cx="7683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2693670</wp:posOffset>
            </wp:positionH>
            <wp:positionV relativeFrom="paragraph">
              <wp:posOffset>-7620</wp:posOffset>
            </wp:positionV>
            <wp:extent cx="7683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3438525</wp:posOffset>
            </wp:positionH>
            <wp:positionV relativeFrom="paragraph">
              <wp:posOffset>-24765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3438525</wp:posOffset>
            </wp:positionH>
            <wp:positionV relativeFrom="paragraph">
              <wp:posOffset>-7620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4149090</wp:posOffset>
            </wp:positionH>
            <wp:positionV relativeFrom="paragraph">
              <wp:posOffset>-24765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4149090</wp:posOffset>
            </wp:positionH>
            <wp:positionV relativeFrom="paragraph">
              <wp:posOffset>-7620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4859655</wp:posOffset>
            </wp:positionH>
            <wp:positionV relativeFrom="paragraph">
              <wp:posOffset>-24765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4859655</wp:posOffset>
            </wp:positionH>
            <wp:positionV relativeFrom="paragraph">
              <wp:posOffset>-7620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5570855</wp:posOffset>
            </wp:positionH>
            <wp:positionV relativeFrom="paragraph">
              <wp:posOffset>-24765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5570855</wp:posOffset>
            </wp:positionH>
            <wp:positionV relativeFrom="paragraph">
              <wp:posOffset>-7620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6281420</wp:posOffset>
            </wp:positionH>
            <wp:positionV relativeFrom="paragraph">
              <wp:posOffset>-24765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6281420</wp:posOffset>
            </wp:positionH>
            <wp:positionV relativeFrom="paragraph">
              <wp:posOffset>-7620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The above table excludes purchase orders for inventory in the normal course of business.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Inflation</w:t>
      </w:r>
    </w:p>
    <w:p>
      <w:pPr>
        <w:spacing w:after="0" w:line="134"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Rising inflation rates have had a substantial impact on our financial performance to date and may have an impact on our financial performance in the future as our ability to pass on an increase in costs is not entirely within our control.</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34"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We make judgements, estimates and assumptions about the future that affect assets and liabilities, and revenues and expenses. Actual results may differ from these estimates. The estimates and underlying assumptions are reviewed on an ongoing basis. Revisions to accounting estimates are recognized in the period in which the estimate is revised if the revision affects only that period or in the period of the revision and future periods if the review affects both current and future periods.</w:t>
      </w:r>
    </w:p>
    <w:p>
      <w:pPr>
        <w:spacing w:after="0" w:line="110"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The preparation of our unaudited condensed interim consolidated financial statements requires us to make judgements, estimates and assumptions that affect the application of policies and reported amounts of assets and liabilities, and revenue and expenses. Actual results may differ from these estimates. The estimates and underlying assumptions are reviewed on an ongoing basis. Revisions to accounting estimates are recognized in the period in which the estimate is revised if the revision affects only that period or in the period of the revision and future periods if the review affects both current and future periods.</w:t>
      </w:r>
    </w:p>
    <w:p>
      <w:pPr>
        <w:spacing w:after="0" w:line="9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Judgements estimates and assumptions with the most significant effect on the amounts recognized in the consolidated financial statements are described below.</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 AND FINANCIAL RISK MANAGEMENT</w:t>
      </w:r>
    </w:p>
    <w:p>
      <w:pPr>
        <w:spacing w:after="0" w:line="134"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Our financial instruments consist of cash and cash equivalents, accounts receivable, notes receivable, deposits and other current assets, accounts payable, accrued expenses, current taxes payable and other current liabilities like interest payable and payroll liabilities, derivative liability, debt and lease liabilities. The fair values of cash and restricted cash, accounts and notes receivable, deposits, accounts payable and accrued expenses and other current liabilities like interest payable and payroll liabilities, short-term debt and lease liabilities approximate their carrying values due to the relatively short-term to maturity or because of the market rate of interest used on initial recognition. Columbia Care classifies its derivative liability as fair value through profit and loss (FVTPL).</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color w:val="auto"/>
        </w:rPr>
        <w:t>Financial instruments recorded at fair value are classified using a fair value hierarchy that reflects the significance of the inputs to fair value measurements.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three levels of fair value contained within the hierarchy are:</w:t>
      </w:r>
    </w:p>
    <w:p>
      <w:pPr>
        <w:spacing w:after="0" w:line="1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Level 1 – Unadjusted quoted prices in active markets for identical assets or liabilities;</w:t>
      </w:r>
    </w:p>
    <w:p>
      <w:pPr>
        <w:spacing w:after="0" w:line="14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Level 2 – Inputs other than quoted prices that are observable for the asset or liability, either directly or indirectly; and</w:t>
      </w:r>
    </w:p>
    <w:p>
      <w:pPr>
        <w:spacing w:after="0" w:line="14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Level 3 – Inputs for the asset or liability that are not based on observable market data.</w:t>
      </w:r>
    </w:p>
    <w:p>
      <w:pPr>
        <w:spacing w:after="0" w:line="14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assets measured at fair value on a nonrecurring basis include investments, assets and liabilities held for sale, long-lived assets and indefinite-lived intangible assets. We review the carrying amounts of such assets whenever events or changes in circumstances indicate that the carrying amounts may not be recoverable or at least annually, for indefinite-lived intangible assets. Any resulting asset impairment would require that the asset be recorded at its fair value. The resulting fair value measurements of the assets are considered Level 3 measurements.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Risk Management</w:t>
      </w:r>
    </w:p>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exposed in varying degrees to a variety of financial instrument related risks. Our risk exposures and the impact on our financial instruments is summarized below:</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Risk</w:t>
      </w:r>
    </w:p>
    <w:p>
      <w:pPr>
        <w:spacing w:after="0" w:line="14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Credit risk is the risk of a potential loss to us if a customer or third party to a financial instrument fails to meet its contractual obligations. The maximum credit exposure at September 30, 2022 and December 31, 2021, is the carrying amount of cash and cash equivalents, subscription receivable, accounts receivable and notes receivable. We do not have significant credit risk with respect to our customers. All cash deposits are with regulated U.S. financial institutions.</w:t>
      </w:r>
    </w:p>
    <w:p>
      <w:pPr>
        <w:spacing w:after="0" w:line="11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provide credit to our customers in the normal course of business and have established credit evaluation and monitoring processes to mitigate credit risk but have limited risk as the majority of our sales are transacted with cash. Through our Columbia Care National Credit program, we provide credit to customers in certain markets in which we operate.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2"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color w:val="auto"/>
        </w:rPr>
        <w:t>Liquidity Risk</w:t>
      </w:r>
    </w:p>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Liquidity risk is the risk that we will not be able to meet our financial obligations associated with financial liabilities. We manage liquidity risk through the management of our capital structure. Our approach to managing liquidity is to estimate cash requirements from operations, capital expenditures and investments and ensure that we have sufficient liquidity to fund our ongoing operations and to settle obligations and liabilities when due.</w:t>
      </w:r>
    </w:p>
    <w:p>
      <w:pPr>
        <w:spacing w:after="0" w:line="9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To date, we have incurred significant cumulative net losses and we have not generated positive cash flows from our operations. We have therefore depended on financing from sale of our equity and from debt financing to fund our operations. Overall, we do not expect the net cash contribution from our operations and investments to be positive in the near term, and we therefore expect to rely on financing from equity or debt.</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Risk</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In addition to business opportunities and challenges applicable to any business operating in a fast-growing environment, our business operates in a highly</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regulated and multi-jurisdictional industry, which is subject to potentially significant changes outside of our control as individual states as well as the U.S.</w:t>
      </w:r>
    </w:p>
    <w:p>
      <w:pPr>
        <w:spacing w:after="0"/>
        <w:rPr>
          <w:sz w:val="20"/>
          <w:szCs w:val="20"/>
          <w:color w:val="auto"/>
        </w:rPr>
      </w:pPr>
      <w:r>
        <w:rPr>
          <w:rFonts w:ascii="Arial" w:cs="Arial" w:eastAsia="Arial" w:hAnsi="Arial"/>
          <w:sz w:val="16"/>
          <w:szCs w:val="16"/>
          <w:color w:val="auto"/>
        </w:rPr>
        <w:t>federal government may impose restrictions on our ability to grow our business profitably or enact new laws and regulations that open up new markets.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Interest rate risk is the risk that the fair value or future cash flows of our financial instrument will fluctuate because of changes in market interest rates. Our cash deposits bear interest at market rates.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Currency Risk</w:t>
      </w:r>
    </w:p>
    <w:p>
      <w:pPr>
        <w:spacing w:after="0" w:line="117" w:lineRule="exact"/>
        <w:rPr>
          <w:sz w:val="20"/>
          <w:szCs w:val="20"/>
          <w:color w:val="auto"/>
        </w:rPr>
      </w:pPr>
    </w:p>
    <w:p>
      <w:pPr>
        <w:jc w:val="both"/>
        <w:ind w:right="20"/>
        <w:spacing w:after="0" w:line="274" w:lineRule="auto"/>
        <w:rPr>
          <w:sz w:val="20"/>
          <w:szCs w:val="20"/>
          <w:color w:val="auto"/>
        </w:rPr>
      </w:pPr>
      <w:r>
        <w:rPr>
          <w:rFonts w:ascii="Arial" w:cs="Arial" w:eastAsia="Arial" w:hAnsi="Arial"/>
          <w:sz w:val="17"/>
          <w:szCs w:val="17"/>
          <w:color w:val="auto"/>
        </w:rPr>
        <w:t>Our operating results and financial position are reported in thousands of U.S. dollars. We may enter into financial transactions denominated in other currencies, which would result in Columbia Care’s operations and financial position to be subject to currency transaction and translation risks.</w:t>
      </w:r>
    </w:p>
    <w:p>
      <w:pPr>
        <w:spacing w:after="0" w:line="6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As of September 30, 2022 and December 31, 2021, we had no hedging agreements in place with respect to foreign exchange rates. We have not entered into any agreements or purchased any instruments to hedge possible currency risks at this time.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color w:val="auto"/>
        </w:rPr>
        <w:t>Price Risk</w:t>
      </w:r>
    </w:p>
    <w:p>
      <w:pPr>
        <w:spacing w:after="0" w:line="117"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Price risk is the risk of variability in fair value due to movements in equity or market prices. We are subject to the risk of price variability pursuant to our products due to competitive or regulatory pressures.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significant material changes to the market risks as disclosed in the Company’s 2021 Form 10-K.</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Background</w:t>
      </w:r>
    </w:p>
    <w:p>
      <w:pPr>
        <w:spacing w:after="0" w:line="14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As previously reported in the Company’s 2021 Form 10-K, our disclosure controls and procedures were not effective due to a material weakness in our internal control over financial reporting, specifically relating to the lack of appropriate controls over management’s fair value modeling of complex accounting and financial reporting issues in the impairment testing of goodwill and intangible assets.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Controls and Procedures</w:t>
      </w:r>
    </w:p>
    <w:p>
      <w:pPr>
        <w:spacing w:after="0" w:line="144"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The Company’s management, with the participation of the Company’s Chief Executive Officer and Chief Financial Officer, evaluated the effectiveness of the Company’s disclosure controls and procedures as of the end of the period covered by this report. Based on that evaluation, the Chief Executive Officer and Chief Financial Officer concluded that the Company’s disclosure controls and procedures (as defined in Rules 13a-15(e) and 15d-15(e) under the Securities Exchange Act of 1934, as amended) as of the end of the period covered by this report were effective to provide reasonable assurance that the information required to be disclosed by the Company in reports filed under the Securities Exchange Act of 1934, as amended, is recorded, processed, summarized, and reported within the time periods specified in the SEC’s rules and forms and that it is accumulated and communicated to management, including the Chief Executive Officer and Chief Financial Officer, as appropriate to allow timely decisions regarding required disclosure.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w:t>
      </w:r>
    </w:p>
    <w:p>
      <w:pPr>
        <w:spacing w:after="0" w:line="144"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In response to the material weakness described above, the Company implemented a remediation plan to address the material weakness. These remediation efforts, outlined below, were intended both to address the identified material weaknesses and to enhance the Company’s overall financial control environment. The Company, including its CEO and CFO, does not expect that its internal controls and procedures will prevent or detect all error and all fraud. A control system, no matter how well conceived or operated, can provide only reasonable, not absolute, assurance that the objectives of the control system are met.</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Following the year ended December 31, 2021, the Company implemented a new control, whereby the Company has utilized a new third party specializing in fair value modeling who will review and analyze, at the corporate level, potential impairment testing of goodwill and intangible assets on an annual basis or as necessary.</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2"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PART II—OTHER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48" w:lineRule="exact"/>
        <w:rPr>
          <w:sz w:val="20"/>
          <w:szCs w:val="20"/>
          <w:color w:val="auto"/>
        </w:rPr>
      </w:pPr>
    </w:p>
    <w:p>
      <w:pPr>
        <w:jc w:val="both"/>
        <w:ind w:right="20"/>
        <w:spacing w:after="0" w:line="290" w:lineRule="auto"/>
        <w:rPr>
          <w:sz w:val="20"/>
          <w:szCs w:val="20"/>
          <w:color w:val="auto"/>
        </w:rPr>
      </w:pPr>
      <w:r>
        <w:rPr>
          <w:rFonts w:ascii="Arial" w:cs="Arial" w:eastAsia="Arial" w:hAnsi="Arial"/>
          <w:sz w:val="17"/>
          <w:szCs w:val="17"/>
          <w:color w:val="auto"/>
        </w:rPr>
        <w:t xml:space="preserve">A discussion of our litigation matters occurring in the period covered by this report is found in Reference to Part I, Item 1, </w:t>
      </w:r>
      <w:r>
        <w:rPr>
          <w:rFonts w:ascii="Arial" w:cs="Arial" w:eastAsia="Arial" w:hAnsi="Arial"/>
          <w:sz w:val="17"/>
          <w:szCs w:val="17"/>
          <w:u w:val="single" w:color="auto"/>
          <w:color w:val="0563C1"/>
        </w:rPr>
        <w:t>Note 13, Commitments and</w:t>
      </w:r>
      <w:r>
        <w:rPr>
          <w:rFonts w:ascii="Arial" w:cs="Arial" w:eastAsia="Arial" w:hAnsi="Arial"/>
          <w:sz w:val="17"/>
          <w:szCs w:val="17"/>
          <w:color w:val="auto"/>
        </w:rPr>
        <w:t xml:space="preserve"> </w:t>
      </w:r>
      <w:r>
        <w:rPr>
          <w:rFonts w:ascii="Arial" w:cs="Arial" w:eastAsia="Arial" w:hAnsi="Arial"/>
          <w:sz w:val="17"/>
          <w:szCs w:val="17"/>
          <w:u w:val="single" w:color="auto"/>
          <w:color w:val="0563C1"/>
        </w:rPr>
        <w:t>Contingencies</w:t>
      </w:r>
      <w:r>
        <w:rPr>
          <w:rFonts w:ascii="Arial" w:cs="Arial" w:eastAsia="Arial" w:hAnsi="Arial"/>
          <w:sz w:val="17"/>
          <w:szCs w:val="17"/>
          <w:color w:val="000000"/>
        </w:rPr>
        <w:t>, and</w:t>
      </w:r>
      <w:r>
        <w:rPr>
          <w:rFonts w:ascii="Arial" w:cs="Arial" w:eastAsia="Arial" w:hAnsi="Arial"/>
          <w:sz w:val="17"/>
          <w:szCs w:val="17"/>
          <w:color w:val="0563C1"/>
        </w:rPr>
        <w:t xml:space="preserve"> </w:t>
      </w:r>
      <w:r>
        <w:rPr>
          <w:rFonts w:ascii="Arial" w:cs="Arial" w:eastAsia="Arial" w:hAnsi="Arial"/>
          <w:sz w:val="17"/>
          <w:szCs w:val="17"/>
          <w:u w:val="single" w:color="auto"/>
          <w:color w:val="0000FF"/>
        </w:rPr>
        <w:t>Note 5, Acquisitions</w:t>
      </w:r>
      <w:r>
        <w:rPr>
          <w:rFonts w:ascii="Arial" w:cs="Arial" w:eastAsia="Arial" w:hAnsi="Arial"/>
          <w:sz w:val="17"/>
          <w:szCs w:val="17"/>
          <w:color w:val="0563C1"/>
        </w:rPr>
        <w:t xml:space="preserve"> </w:t>
      </w:r>
      <w:r>
        <w:rPr>
          <w:rFonts w:ascii="Arial" w:cs="Arial" w:eastAsia="Arial" w:hAnsi="Arial"/>
          <w:sz w:val="17"/>
          <w:szCs w:val="17"/>
          <w:color w:val="000000"/>
        </w:rPr>
        <w:t>in the Notes to Unaudited Interim Consolidated Financial Statements of this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-179070</wp:posOffset>
            </wp:positionV>
            <wp:extent cx="128714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8714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-50165</wp:posOffset>
            </wp:positionV>
            <wp:extent cx="184467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844675" cy="8255"/>
                    </a:xfrm>
                    <a:prstGeom prst="rect">
                      <a:avLst/>
                    </a:prstGeom>
                    <a:noFill/>
                  </pic:spPr>
                </pic:pic>
              </a:graphicData>
            </a:graphic>
          </wp:anchor>
        </w:drawing>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4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As of the date of this filing, except as noted below, there have been no material changes in our risk factors from those disclosed in Part I, Item 1A, of the Company’s 2021 Form 10-K, except as disclosed in Item 1A of our registration statement on Form 10, filed on May 9, 2022, which is incorporated by reference herein.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may become party to litigation from time to time.</w:t>
      </w:r>
    </w:p>
    <w:p>
      <w:pPr>
        <w:spacing w:after="0" w:line="11"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Columbia Care is, may become, a party to litigation from time to time in the ordinary course of business which could adversely affect its business. Should any litigation in which Columbia Care is or becomes involved be determined against Columbia Care, such a decision could adversely affect Columbia Care’s ability to continue operating and the market price for the Common Shares and other listed securities of Columbia Care. Even if Columbia Care is involved in litigation and wins, litigation can redirect significant company resources. Litigation may also create a negative perception of Columbia Care’s brand. As noted in Note 5, Acquisitions in the Notes to Unaudited Interim Consolidated Financial Statements of this Form 10-Q, as a result of the differing conclusions related to the First Milestone and indemnification claims stemming from the gLeaf Agreement, there is an increased litigation risk.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Securities and Use of Proceeds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 Index</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07"/>
        </w:trPr>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3"/>
              </w:rPr>
              <w:t>Exhibit</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94967277"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7220" w:type="dxa"/>
            <w:vAlign w:val="bottom"/>
            <w:tcBorders>
              <w:bottom w:val="single" w:sz="8" w:color="auto"/>
            </w:tcBorders>
            <w:gridSpan w:val="28"/>
          </w:tcPr>
          <w:p>
            <w:pPr>
              <w:ind w:left="180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155"/>
        </w:trPr>
        <w:tc>
          <w:tcPr>
            <w:tcW w:w="1200" w:type="dxa"/>
            <w:vAlign w:val="bottom"/>
          </w:tcPr>
          <w:p>
            <w:pPr>
              <w:jc w:val="center"/>
              <w:spacing w:after="0" w:line="156" w:lineRule="exact"/>
              <w:rPr>
                <w:sz w:val="20"/>
                <w:szCs w:val="20"/>
                <w:color w:val="auto"/>
              </w:rPr>
            </w:pPr>
            <w:r>
              <w:rPr>
                <w:rFonts w:ascii="Arial" w:cs="Arial" w:eastAsia="Arial" w:hAnsi="Arial"/>
                <w:sz w:val="18"/>
                <w:szCs w:val="18"/>
                <w:color w:val="auto"/>
                <w:w w:val="95"/>
              </w:rPr>
              <w:t>2.1</w:t>
            </w:r>
          </w:p>
        </w:tc>
        <w:tc>
          <w:tcPr>
            <w:tcW w:w="120" w:type="dxa"/>
            <w:vAlign w:val="bottom"/>
          </w:tcPr>
          <w:p>
            <w:pPr>
              <w:spacing w:after="0"/>
              <w:rPr>
                <w:sz w:val="13"/>
                <w:szCs w:val="13"/>
                <w:color w:val="auto"/>
              </w:rPr>
            </w:pPr>
          </w:p>
        </w:tc>
        <w:tc>
          <w:tcPr>
            <w:tcW w:w="9920" w:type="dxa"/>
            <w:vAlign w:val="bottom"/>
            <w:gridSpan w:val="32"/>
          </w:tcPr>
          <w:p>
            <w:pPr>
              <w:spacing w:after="0" w:line="156" w:lineRule="exact"/>
              <w:rPr>
                <w:rFonts w:ascii="Arial" w:cs="Arial" w:eastAsia="Arial" w:hAnsi="Arial"/>
                <w:sz w:val="18"/>
                <w:szCs w:val="18"/>
                <w:color w:val="0000FF"/>
                <w:w w:val="90"/>
              </w:rPr>
            </w:pPr>
            <w:hyperlink r:id="rId174">
              <w:r>
                <w:rPr>
                  <w:rFonts w:ascii="Arial" w:cs="Arial" w:eastAsia="Arial" w:hAnsi="Arial"/>
                  <w:sz w:val="18"/>
                  <w:szCs w:val="18"/>
                  <w:color w:val="0000FF"/>
                  <w:w w:val="90"/>
                </w:rPr>
                <w:t>Arrangement Agreement, dated March 23, 2022, between Cresco Labs Inc. and Columbia Care Inc. (incorporated by reference to Exhibit</w:t>
              </w:r>
            </w:hyperlink>
          </w:p>
        </w:tc>
        <w:tc>
          <w:tcPr>
            <w:tcW w:w="0" w:type="dxa"/>
            <w:vAlign w:val="bottom"/>
          </w:tcPr>
          <w:p>
            <w:pPr>
              <w:spacing w:after="0"/>
              <w:rPr>
                <w:sz w:val="1"/>
                <w:szCs w:val="1"/>
                <w:color w:val="auto"/>
              </w:rPr>
            </w:pPr>
          </w:p>
        </w:tc>
      </w:tr>
      <w:tr>
        <w:trPr>
          <w:trHeight w:val="169"/>
        </w:trPr>
        <w:tc>
          <w:tcPr>
            <w:tcW w:w="1200" w:type="dxa"/>
            <w:vAlign w:val="bottom"/>
            <w:vMerge w:val="restart"/>
          </w:tcPr>
          <w:p>
            <w:pPr>
              <w:jc w:val="center"/>
              <w:spacing w:after="0"/>
              <w:rPr>
                <w:sz w:val="20"/>
                <w:szCs w:val="20"/>
                <w:color w:val="auto"/>
              </w:rPr>
            </w:pPr>
            <w:r>
              <w:rPr>
                <w:rFonts w:ascii="Arial" w:cs="Arial" w:eastAsia="Arial" w:hAnsi="Arial"/>
                <w:sz w:val="18"/>
                <w:szCs w:val="18"/>
                <w:color w:val="auto"/>
                <w:w w:val="95"/>
              </w:rPr>
              <w:t>3.1</w:t>
            </w:r>
          </w:p>
        </w:tc>
        <w:tc>
          <w:tcPr>
            <w:tcW w:w="120" w:type="dxa"/>
            <w:vAlign w:val="bottom"/>
          </w:tcPr>
          <w:p>
            <w:pPr>
              <w:spacing w:after="0"/>
              <w:rPr>
                <w:sz w:val="14"/>
                <w:szCs w:val="14"/>
                <w:color w:val="auto"/>
              </w:rPr>
            </w:pPr>
          </w:p>
        </w:tc>
        <w:tc>
          <w:tcPr>
            <w:tcW w:w="9900" w:type="dxa"/>
            <w:vAlign w:val="bottom"/>
            <w:tcBorders>
              <w:top w:val="single" w:sz="8" w:color="0000FF"/>
            </w:tcBorders>
            <w:gridSpan w:val="31"/>
          </w:tcPr>
          <w:p>
            <w:pPr>
              <w:spacing w:after="0" w:line="169" w:lineRule="exact"/>
              <w:rPr>
                <w:rFonts w:ascii="Arial" w:cs="Arial" w:eastAsia="Arial" w:hAnsi="Arial"/>
                <w:sz w:val="18"/>
                <w:szCs w:val="18"/>
                <w:color w:val="0000FF"/>
              </w:rPr>
            </w:pPr>
            <w:hyperlink r:id="rId174">
              <w:r>
                <w:rPr>
                  <w:rFonts w:ascii="Arial" w:cs="Arial" w:eastAsia="Arial" w:hAnsi="Arial"/>
                  <w:sz w:val="18"/>
                  <w:szCs w:val="18"/>
                  <w:color w:val="0000FF"/>
                </w:rPr>
                <w:t>2.</w:t>
              </w:r>
              <w:r>
                <w:rPr>
                  <w:rFonts w:ascii="Arial" w:cs="Arial" w:eastAsia="Arial" w:hAnsi="Arial"/>
                  <w:sz w:val="18"/>
                  <w:szCs w:val="18"/>
                  <w:u w:val="single" w:color="auto"/>
                  <w:color w:val="0000FF"/>
                </w:rPr>
                <w:t>1</w:t>
              </w:r>
              <w:r>
                <w:rPr>
                  <w:rFonts w:ascii="Arial" w:cs="Arial" w:eastAsia="Arial" w:hAnsi="Arial"/>
                  <w:sz w:val="18"/>
                  <w:szCs w:val="18"/>
                  <w:color w:val="0000FF"/>
                </w:rPr>
                <w:t xml:space="preserve"> of the Registrant’s Current Report on Form 8-K, filed with the SEC on March 29, 2022)</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2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6580" w:type="dxa"/>
            <w:vAlign w:val="bottom"/>
            <w:tcBorders>
              <w:top w:val="single" w:sz="8" w:color="0000FF"/>
            </w:tcBorders>
            <w:gridSpan w:val="7"/>
          </w:tcPr>
          <w:p>
            <w:pPr>
              <w:spacing w:after="0" w:line="182" w:lineRule="exact"/>
              <w:rPr>
                <w:rFonts w:ascii="Arial" w:cs="Arial" w:eastAsia="Arial" w:hAnsi="Arial"/>
                <w:sz w:val="18"/>
                <w:szCs w:val="18"/>
                <w:color w:val="0000FF"/>
                <w:w w:val="91"/>
              </w:rPr>
            </w:pPr>
            <w:hyperlink r:id="rId175">
              <w:r>
                <w:rPr>
                  <w:rFonts w:ascii="Arial" w:cs="Arial" w:eastAsia="Arial" w:hAnsi="Arial"/>
                  <w:sz w:val="18"/>
                  <w:szCs w:val="18"/>
                  <w:color w:val="0000FF"/>
                  <w:w w:val="91"/>
                </w:rPr>
                <w:t>Articles of Columbia Care Inc. (incorporated by reference to Exhibit 3.1 of the Registrant’s</w:t>
              </w:r>
            </w:hyperlink>
          </w:p>
        </w:tc>
        <w:tc>
          <w:tcPr>
            <w:tcW w:w="3340" w:type="dxa"/>
            <w:vAlign w:val="bottom"/>
            <w:gridSpan w:val="25"/>
          </w:tcPr>
          <w:p>
            <w:pPr>
              <w:jc w:val="right"/>
              <w:ind w:right="320"/>
              <w:spacing w:after="0" w:line="182" w:lineRule="exact"/>
              <w:rPr>
                <w:rFonts w:ascii="Arial" w:cs="Arial" w:eastAsia="Arial" w:hAnsi="Arial"/>
                <w:sz w:val="18"/>
                <w:szCs w:val="18"/>
                <w:color w:val="0000FF"/>
                <w:w w:val="92"/>
              </w:rPr>
            </w:pPr>
            <w:hyperlink r:id="rId175">
              <w:r>
                <w:rPr>
                  <w:rFonts w:ascii="Arial" w:cs="Arial" w:eastAsia="Arial" w:hAnsi="Arial"/>
                  <w:sz w:val="18"/>
                  <w:szCs w:val="18"/>
                  <w:color w:val="0000FF"/>
                  <w:w w:val="92"/>
                </w:rPr>
                <w:t>Registration Statement on Form 10, filed</w:t>
              </w:r>
            </w:hyperlink>
          </w:p>
        </w:tc>
        <w:tc>
          <w:tcPr>
            <w:tcW w:w="0" w:type="dxa"/>
            <w:vAlign w:val="bottom"/>
          </w:tcPr>
          <w:p>
            <w:pPr>
              <w:spacing w:after="0"/>
              <w:rPr>
                <w:sz w:val="1"/>
                <w:szCs w:val="1"/>
                <w:color w:val="auto"/>
              </w:rPr>
            </w:pPr>
          </w:p>
        </w:tc>
      </w:tr>
      <w:tr>
        <w:trPr>
          <w:trHeight w:val="169"/>
        </w:trPr>
        <w:tc>
          <w:tcPr>
            <w:tcW w:w="1200" w:type="dxa"/>
            <w:vAlign w:val="bottom"/>
            <w:vMerge w:val="restart"/>
          </w:tcPr>
          <w:p>
            <w:pPr>
              <w:jc w:val="center"/>
              <w:spacing w:after="0"/>
              <w:rPr>
                <w:sz w:val="20"/>
                <w:szCs w:val="20"/>
                <w:color w:val="auto"/>
              </w:rPr>
            </w:pPr>
            <w:r>
              <w:rPr>
                <w:rFonts w:ascii="Arial" w:cs="Arial" w:eastAsia="Arial" w:hAnsi="Arial"/>
                <w:sz w:val="18"/>
                <w:szCs w:val="18"/>
                <w:color w:val="auto"/>
                <w:w w:val="95"/>
              </w:rPr>
              <w:t>4.1</w:t>
            </w:r>
          </w:p>
        </w:tc>
        <w:tc>
          <w:tcPr>
            <w:tcW w:w="120" w:type="dxa"/>
            <w:vAlign w:val="bottom"/>
          </w:tcPr>
          <w:p>
            <w:pPr>
              <w:spacing w:after="0"/>
              <w:rPr>
                <w:sz w:val="14"/>
                <w:szCs w:val="14"/>
                <w:color w:val="auto"/>
              </w:rPr>
            </w:pPr>
          </w:p>
        </w:tc>
        <w:tc>
          <w:tcPr>
            <w:tcW w:w="2700" w:type="dxa"/>
            <w:vAlign w:val="bottom"/>
            <w:tcBorders>
              <w:top w:val="single" w:sz="8" w:color="0000FF"/>
              <w:bottom w:val="single" w:sz="8" w:color="0000FF"/>
            </w:tcBorders>
            <w:gridSpan w:val="4"/>
          </w:tcPr>
          <w:p>
            <w:pPr>
              <w:spacing w:after="0" w:line="169" w:lineRule="exact"/>
              <w:rPr>
                <w:rFonts w:ascii="Arial" w:cs="Arial" w:eastAsia="Arial" w:hAnsi="Arial"/>
                <w:sz w:val="18"/>
                <w:szCs w:val="18"/>
                <w:color w:val="0000FF"/>
                <w:w w:val="89"/>
              </w:rPr>
            </w:pPr>
            <w:hyperlink r:id="rId175">
              <w:r>
                <w:rPr>
                  <w:rFonts w:ascii="Arial" w:cs="Arial" w:eastAsia="Arial" w:hAnsi="Arial"/>
                  <w:sz w:val="18"/>
                  <w:szCs w:val="18"/>
                  <w:color w:val="0000FF"/>
                  <w:w w:val="89"/>
                </w:rPr>
                <w:t>with the SEC on December 14, 2021)</w:t>
              </w:r>
            </w:hyperlink>
          </w:p>
        </w:tc>
        <w:tc>
          <w:tcPr>
            <w:tcW w:w="6940" w:type="dxa"/>
            <w:vAlign w:val="bottom"/>
            <w:tcBorders>
              <w:top w:val="single" w:sz="8" w:color="0000FF"/>
            </w:tcBorders>
            <w:gridSpan w:val="2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2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9920" w:type="dxa"/>
            <w:vAlign w:val="bottom"/>
            <w:gridSpan w:val="32"/>
          </w:tcPr>
          <w:p>
            <w:pPr>
              <w:spacing w:after="0" w:line="182" w:lineRule="exact"/>
              <w:rPr>
                <w:rFonts w:ascii="Arial" w:cs="Arial" w:eastAsia="Arial" w:hAnsi="Arial"/>
                <w:sz w:val="18"/>
                <w:szCs w:val="18"/>
                <w:color w:val="0000FF"/>
                <w:w w:val="96"/>
              </w:rPr>
            </w:pPr>
            <w:hyperlink r:id="rId176">
              <w:r>
                <w:rPr>
                  <w:rFonts w:ascii="Arial" w:cs="Arial" w:eastAsia="Arial" w:hAnsi="Arial"/>
                  <w:sz w:val="18"/>
                  <w:szCs w:val="18"/>
                  <w:color w:val="0000FF"/>
                  <w:w w:val="96"/>
                </w:rPr>
                <w:t>Warrant Agency Agreement dated September 20, 2018 between Canaccord Genuity Growth Corp. and Odyssey Trust Company</w:t>
              </w:r>
            </w:hyperlink>
          </w:p>
        </w:tc>
        <w:tc>
          <w:tcPr>
            <w:tcW w:w="0" w:type="dxa"/>
            <w:vAlign w:val="bottom"/>
          </w:tcPr>
          <w:p>
            <w:pPr>
              <w:spacing w:after="0"/>
              <w:rPr>
                <w:sz w:val="1"/>
                <w:szCs w:val="1"/>
                <w:color w:val="auto"/>
              </w:rPr>
            </w:pPr>
          </w:p>
        </w:tc>
      </w:tr>
      <w:tr>
        <w:trPr>
          <w:trHeight w:val="169"/>
        </w:trPr>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80" w:type="dxa"/>
            <w:vAlign w:val="bottom"/>
            <w:tcBorders>
              <w:top w:val="single" w:sz="8" w:color="0000FF"/>
              <w:bottom w:val="single" w:sz="8" w:color="0000FF"/>
            </w:tcBorders>
            <w:gridSpan w:val="12"/>
          </w:tcPr>
          <w:p>
            <w:pPr>
              <w:spacing w:after="0" w:line="169" w:lineRule="exact"/>
              <w:rPr>
                <w:rFonts w:ascii="Arial" w:cs="Arial" w:eastAsia="Arial" w:hAnsi="Arial"/>
                <w:sz w:val="18"/>
                <w:szCs w:val="18"/>
                <w:color w:val="0000FF"/>
                <w:w w:val="90"/>
              </w:rPr>
            </w:pPr>
            <w:hyperlink r:id="rId176">
              <w:r>
                <w:rPr>
                  <w:rFonts w:ascii="Arial" w:cs="Arial" w:eastAsia="Arial" w:hAnsi="Arial"/>
                  <w:sz w:val="18"/>
                  <w:szCs w:val="18"/>
                  <w:color w:val="0000FF"/>
                  <w:w w:val="90"/>
                </w:rPr>
                <w:t>(incorporated by reference to Exhibit 4.1 of the Registrant’s Registration Statement on Form 10, filed with the SEC on December</w:t>
              </w:r>
            </w:hyperlink>
          </w:p>
        </w:tc>
        <w:tc>
          <w:tcPr>
            <w:tcW w:w="340" w:type="dxa"/>
            <w:vAlign w:val="bottom"/>
            <w:tcBorders>
              <w:bottom w:val="single" w:sz="8" w:color="0000FF"/>
            </w:tcBorders>
            <w:gridSpan w:val="12"/>
          </w:tcPr>
          <w:p>
            <w:pPr>
              <w:jc w:val="right"/>
              <w:ind w:right="60"/>
              <w:spacing w:after="0" w:line="169" w:lineRule="exact"/>
              <w:rPr>
                <w:rFonts w:ascii="Arial" w:cs="Arial" w:eastAsia="Arial" w:hAnsi="Arial"/>
                <w:sz w:val="18"/>
                <w:szCs w:val="18"/>
                <w:color w:val="0000FF"/>
              </w:rPr>
            </w:pPr>
            <w:hyperlink r:id="rId176">
              <w:r>
                <w:rPr>
                  <w:rFonts w:ascii="Arial" w:cs="Arial" w:eastAsia="Arial" w:hAnsi="Arial"/>
                  <w:sz w:val="18"/>
                  <w:szCs w:val="18"/>
                  <w:color w:val="0000FF"/>
                </w:rPr>
                <w:t>14,</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294967277"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00" w:type="dxa"/>
            <w:vAlign w:val="bottom"/>
            <w:vMerge w:val="restart"/>
          </w:tcPr>
          <w:p>
            <w:pPr>
              <w:jc w:val="center"/>
              <w:spacing w:after="0"/>
              <w:rPr>
                <w:sz w:val="20"/>
                <w:szCs w:val="20"/>
                <w:color w:val="auto"/>
              </w:rPr>
            </w:pPr>
            <w:r>
              <w:rPr>
                <w:rFonts w:ascii="Arial" w:cs="Arial" w:eastAsia="Arial" w:hAnsi="Arial"/>
                <w:sz w:val="18"/>
                <w:szCs w:val="18"/>
                <w:color w:val="auto"/>
                <w:w w:val="95"/>
              </w:rPr>
              <w:t>4.2</w:t>
            </w:r>
          </w:p>
        </w:tc>
        <w:tc>
          <w:tcPr>
            <w:tcW w:w="120" w:type="dxa"/>
            <w:vAlign w:val="bottom"/>
          </w:tcPr>
          <w:p>
            <w:pPr>
              <w:spacing w:after="0"/>
              <w:rPr>
                <w:sz w:val="14"/>
                <w:szCs w:val="14"/>
                <w:color w:val="auto"/>
              </w:rPr>
            </w:pPr>
          </w:p>
        </w:tc>
        <w:tc>
          <w:tcPr>
            <w:tcW w:w="420" w:type="dxa"/>
            <w:vAlign w:val="bottom"/>
            <w:tcBorders>
              <w:bottom w:val="single" w:sz="8" w:color="0000FF"/>
            </w:tcBorders>
          </w:tcPr>
          <w:p>
            <w:pPr>
              <w:spacing w:after="0" w:line="169" w:lineRule="exact"/>
              <w:rPr>
                <w:rFonts w:ascii="Arial" w:cs="Arial" w:eastAsia="Arial" w:hAnsi="Arial"/>
                <w:sz w:val="18"/>
                <w:szCs w:val="18"/>
                <w:color w:val="0000FF"/>
                <w:w w:val="86"/>
              </w:rPr>
            </w:pPr>
            <w:hyperlink r:id="rId176">
              <w:r>
                <w:rPr>
                  <w:rFonts w:ascii="Arial" w:cs="Arial" w:eastAsia="Arial" w:hAnsi="Arial"/>
                  <w:sz w:val="18"/>
                  <w:szCs w:val="18"/>
                  <w:color w:val="0000FF"/>
                  <w:w w:val="86"/>
                </w:rPr>
                <w:t>2021)</w:t>
              </w:r>
            </w:hyperlink>
          </w:p>
        </w:tc>
        <w:tc>
          <w:tcPr>
            <w:tcW w:w="20" w:type="dxa"/>
            <w:vAlign w:val="bottom"/>
            <w:tcBorders>
              <w:bottom w:val="single" w:sz="8" w:color="0000EE"/>
            </w:tcBorders>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94967277"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2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9920" w:type="dxa"/>
            <w:vAlign w:val="bottom"/>
            <w:gridSpan w:val="32"/>
          </w:tcPr>
          <w:p>
            <w:pPr>
              <w:spacing w:after="0" w:line="182" w:lineRule="exact"/>
              <w:rPr>
                <w:rFonts w:ascii="Arial" w:cs="Arial" w:eastAsia="Arial" w:hAnsi="Arial"/>
                <w:sz w:val="18"/>
                <w:szCs w:val="18"/>
                <w:color w:val="0000FF"/>
                <w:w w:val="95"/>
              </w:rPr>
            </w:pPr>
            <w:hyperlink r:id="rId177">
              <w:r>
                <w:rPr>
                  <w:rFonts w:ascii="Arial" w:cs="Arial" w:eastAsia="Arial" w:hAnsi="Arial"/>
                  <w:sz w:val="18"/>
                  <w:szCs w:val="18"/>
                  <w:color w:val="0000FF"/>
                  <w:w w:val="95"/>
                </w:rPr>
                <w:t>Warrant Agreement dated April 26, 2019 between Columbia Care Inc. and Canaccord Genuity Corp. (incorporated by reference to</w:t>
              </w:r>
            </w:hyperlink>
          </w:p>
        </w:tc>
        <w:tc>
          <w:tcPr>
            <w:tcW w:w="0" w:type="dxa"/>
            <w:vAlign w:val="bottom"/>
          </w:tcPr>
          <w:p>
            <w:pPr>
              <w:spacing w:after="0"/>
              <w:rPr>
                <w:sz w:val="1"/>
                <w:szCs w:val="1"/>
                <w:color w:val="auto"/>
              </w:rPr>
            </w:pPr>
          </w:p>
        </w:tc>
      </w:tr>
      <w:tr>
        <w:trPr>
          <w:trHeight w:val="169"/>
        </w:trPr>
        <w:tc>
          <w:tcPr>
            <w:tcW w:w="1200" w:type="dxa"/>
            <w:vAlign w:val="bottom"/>
            <w:vMerge w:val="restart"/>
          </w:tcPr>
          <w:p>
            <w:pPr>
              <w:jc w:val="center"/>
              <w:spacing w:after="0"/>
              <w:rPr>
                <w:sz w:val="20"/>
                <w:szCs w:val="20"/>
                <w:color w:val="auto"/>
              </w:rPr>
            </w:pPr>
            <w:r>
              <w:rPr>
                <w:rFonts w:ascii="Arial" w:cs="Arial" w:eastAsia="Arial" w:hAnsi="Arial"/>
                <w:sz w:val="18"/>
                <w:szCs w:val="18"/>
                <w:color w:val="auto"/>
                <w:w w:val="95"/>
              </w:rPr>
              <w:t>4.3</w:t>
            </w:r>
          </w:p>
        </w:tc>
        <w:tc>
          <w:tcPr>
            <w:tcW w:w="120" w:type="dxa"/>
            <w:vAlign w:val="bottom"/>
          </w:tcPr>
          <w:p>
            <w:pPr>
              <w:spacing w:after="0"/>
              <w:rPr>
                <w:sz w:val="14"/>
                <w:szCs w:val="14"/>
                <w:color w:val="auto"/>
              </w:rPr>
            </w:pPr>
          </w:p>
        </w:tc>
        <w:tc>
          <w:tcPr>
            <w:tcW w:w="7900" w:type="dxa"/>
            <w:vAlign w:val="bottom"/>
            <w:tcBorders>
              <w:top w:val="single" w:sz="8" w:color="0000FF"/>
              <w:bottom w:val="single" w:sz="8" w:color="0000FF"/>
            </w:tcBorders>
            <w:gridSpan w:val="10"/>
          </w:tcPr>
          <w:p>
            <w:pPr>
              <w:spacing w:after="0" w:line="169" w:lineRule="exact"/>
              <w:rPr>
                <w:rFonts w:ascii="Arial" w:cs="Arial" w:eastAsia="Arial" w:hAnsi="Arial"/>
                <w:sz w:val="18"/>
                <w:szCs w:val="18"/>
                <w:color w:val="0000FF"/>
                <w:w w:val="91"/>
              </w:rPr>
            </w:pPr>
            <w:hyperlink r:id="rId177">
              <w:r>
                <w:rPr>
                  <w:rFonts w:ascii="Arial" w:cs="Arial" w:eastAsia="Arial" w:hAnsi="Arial"/>
                  <w:sz w:val="18"/>
                  <w:szCs w:val="18"/>
                  <w:color w:val="0000FF"/>
                  <w:w w:val="91"/>
                </w:rPr>
                <w:t>Exhibit 4.2 of the Registrant’s Registration Statement on Form 10, filed with the SEC on December 14, 2021)</w:t>
              </w:r>
            </w:hyperlink>
          </w:p>
        </w:tc>
        <w:tc>
          <w:tcPr>
            <w:tcW w:w="1580" w:type="dxa"/>
            <w:vAlign w:val="bottom"/>
            <w:tcBorders>
              <w:top w:val="single" w:sz="8" w:color="0000FF"/>
            </w:tcBorders>
            <w:gridSpan w:val="7"/>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2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9920" w:type="dxa"/>
            <w:vAlign w:val="bottom"/>
            <w:gridSpan w:val="32"/>
          </w:tcPr>
          <w:p>
            <w:pPr>
              <w:spacing w:after="0" w:line="182" w:lineRule="exact"/>
              <w:rPr>
                <w:rFonts w:ascii="Arial" w:cs="Arial" w:eastAsia="Arial" w:hAnsi="Arial"/>
                <w:sz w:val="18"/>
                <w:szCs w:val="18"/>
                <w:color w:val="0000FF"/>
                <w:w w:val="94"/>
              </w:rPr>
            </w:pPr>
            <w:hyperlink r:id="rId178">
              <w:r>
                <w:rPr>
                  <w:rFonts w:ascii="Arial" w:cs="Arial" w:eastAsia="Arial" w:hAnsi="Arial"/>
                  <w:sz w:val="18"/>
                  <w:szCs w:val="18"/>
                  <w:color w:val="0000FF"/>
                  <w:w w:val="94"/>
                </w:rPr>
                <w:t>Trust Indenture made as of March 31, 2020 between Columbia Care Inc. and Odyssey Trust Company (incorporated by reference to</w:t>
              </w:r>
            </w:hyperlink>
          </w:p>
        </w:tc>
        <w:tc>
          <w:tcPr>
            <w:tcW w:w="0" w:type="dxa"/>
            <w:vAlign w:val="bottom"/>
          </w:tcPr>
          <w:p>
            <w:pPr>
              <w:spacing w:after="0"/>
              <w:rPr>
                <w:sz w:val="1"/>
                <w:szCs w:val="1"/>
                <w:color w:val="auto"/>
              </w:rPr>
            </w:pPr>
          </w:p>
        </w:tc>
      </w:tr>
      <w:tr>
        <w:trPr>
          <w:trHeight w:val="169"/>
        </w:trPr>
        <w:tc>
          <w:tcPr>
            <w:tcW w:w="1200" w:type="dxa"/>
            <w:vAlign w:val="bottom"/>
            <w:vMerge w:val="restart"/>
          </w:tcPr>
          <w:p>
            <w:pPr>
              <w:jc w:val="center"/>
              <w:spacing w:after="0"/>
              <w:rPr>
                <w:sz w:val="20"/>
                <w:szCs w:val="20"/>
                <w:color w:val="auto"/>
              </w:rPr>
            </w:pPr>
            <w:r>
              <w:rPr>
                <w:rFonts w:ascii="Arial" w:cs="Arial" w:eastAsia="Arial" w:hAnsi="Arial"/>
                <w:sz w:val="18"/>
                <w:szCs w:val="18"/>
                <w:color w:val="auto"/>
                <w:w w:val="95"/>
              </w:rPr>
              <w:t>4.4</w:t>
            </w:r>
          </w:p>
        </w:tc>
        <w:tc>
          <w:tcPr>
            <w:tcW w:w="120" w:type="dxa"/>
            <w:vAlign w:val="bottom"/>
          </w:tcPr>
          <w:p>
            <w:pPr>
              <w:spacing w:after="0"/>
              <w:rPr>
                <w:sz w:val="14"/>
                <w:szCs w:val="14"/>
                <w:color w:val="auto"/>
              </w:rPr>
            </w:pPr>
          </w:p>
        </w:tc>
        <w:tc>
          <w:tcPr>
            <w:tcW w:w="7900" w:type="dxa"/>
            <w:vAlign w:val="bottom"/>
            <w:tcBorders>
              <w:top w:val="single" w:sz="8" w:color="0000FF"/>
              <w:bottom w:val="single" w:sz="8" w:color="0000FF"/>
            </w:tcBorders>
            <w:gridSpan w:val="10"/>
          </w:tcPr>
          <w:p>
            <w:pPr>
              <w:spacing w:after="0" w:line="169" w:lineRule="exact"/>
              <w:rPr>
                <w:rFonts w:ascii="Arial" w:cs="Arial" w:eastAsia="Arial" w:hAnsi="Arial"/>
                <w:sz w:val="18"/>
                <w:szCs w:val="18"/>
                <w:color w:val="0000FF"/>
                <w:w w:val="91"/>
              </w:rPr>
            </w:pPr>
            <w:hyperlink r:id="rId178">
              <w:r>
                <w:rPr>
                  <w:rFonts w:ascii="Arial" w:cs="Arial" w:eastAsia="Arial" w:hAnsi="Arial"/>
                  <w:sz w:val="18"/>
                  <w:szCs w:val="18"/>
                  <w:color w:val="0000FF"/>
                  <w:w w:val="91"/>
                </w:rPr>
                <w:t>Exhibit 4.3 of the Registrant’s Registration Statement on Form 10, filed with the SEC on December 14, 2021)</w:t>
              </w:r>
            </w:hyperlink>
          </w:p>
        </w:tc>
        <w:tc>
          <w:tcPr>
            <w:tcW w:w="1720" w:type="dxa"/>
            <w:vAlign w:val="bottom"/>
            <w:tcBorders>
              <w:top w:val="single" w:sz="8" w:color="0000FF"/>
            </w:tcBorders>
            <w:gridSpan w:val="1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2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9920" w:type="dxa"/>
            <w:vAlign w:val="bottom"/>
            <w:gridSpan w:val="32"/>
          </w:tcPr>
          <w:p>
            <w:pPr>
              <w:spacing w:after="0" w:line="182" w:lineRule="exact"/>
              <w:rPr>
                <w:rFonts w:ascii="Arial" w:cs="Arial" w:eastAsia="Arial" w:hAnsi="Arial"/>
                <w:sz w:val="18"/>
                <w:szCs w:val="18"/>
                <w:color w:val="0000FF"/>
                <w:w w:val="90"/>
              </w:rPr>
            </w:pPr>
            <w:hyperlink r:id="rId179">
              <w:r>
                <w:rPr>
                  <w:rFonts w:ascii="Arial" w:cs="Arial" w:eastAsia="Arial" w:hAnsi="Arial"/>
                  <w:sz w:val="18"/>
                  <w:szCs w:val="18"/>
                  <w:color w:val="0000FF"/>
                  <w:w w:val="90"/>
                </w:rPr>
                <w:t>Warrant Indenture dated March 31, 2020 between Columbia Care Inc. and Odyssey Trust Company (incorporated by reference to Exhibit</w:t>
              </w:r>
            </w:hyperlink>
          </w:p>
        </w:tc>
        <w:tc>
          <w:tcPr>
            <w:tcW w:w="0" w:type="dxa"/>
            <w:vAlign w:val="bottom"/>
          </w:tcPr>
          <w:p>
            <w:pPr>
              <w:spacing w:after="0"/>
              <w:rPr>
                <w:sz w:val="1"/>
                <w:szCs w:val="1"/>
                <w:color w:val="auto"/>
              </w:rPr>
            </w:pPr>
          </w:p>
        </w:tc>
      </w:tr>
      <w:tr>
        <w:trPr>
          <w:trHeight w:val="169"/>
        </w:trPr>
        <w:tc>
          <w:tcPr>
            <w:tcW w:w="1200" w:type="dxa"/>
            <w:vAlign w:val="bottom"/>
            <w:vMerge w:val="restart"/>
          </w:tcPr>
          <w:p>
            <w:pPr>
              <w:jc w:val="center"/>
              <w:spacing w:after="0"/>
              <w:rPr>
                <w:sz w:val="20"/>
                <w:szCs w:val="20"/>
                <w:color w:val="auto"/>
              </w:rPr>
            </w:pPr>
            <w:r>
              <w:rPr>
                <w:rFonts w:ascii="Arial" w:cs="Arial" w:eastAsia="Arial" w:hAnsi="Arial"/>
                <w:sz w:val="18"/>
                <w:szCs w:val="18"/>
                <w:color w:val="auto"/>
                <w:w w:val="95"/>
              </w:rPr>
              <w:t>4.5</w:t>
            </w:r>
          </w:p>
        </w:tc>
        <w:tc>
          <w:tcPr>
            <w:tcW w:w="120" w:type="dxa"/>
            <w:vAlign w:val="bottom"/>
          </w:tcPr>
          <w:p>
            <w:pPr>
              <w:spacing w:after="0"/>
              <w:rPr>
                <w:sz w:val="14"/>
                <w:szCs w:val="14"/>
                <w:color w:val="auto"/>
              </w:rPr>
            </w:pPr>
          </w:p>
        </w:tc>
        <w:tc>
          <w:tcPr>
            <w:tcW w:w="7320" w:type="dxa"/>
            <w:vAlign w:val="bottom"/>
            <w:tcBorders>
              <w:top w:val="single" w:sz="8" w:color="0000FF"/>
              <w:bottom w:val="single" w:sz="8" w:color="0000FF"/>
            </w:tcBorders>
            <w:gridSpan w:val="8"/>
          </w:tcPr>
          <w:p>
            <w:pPr>
              <w:spacing w:after="0" w:line="169" w:lineRule="exact"/>
              <w:rPr>
                <w:rFonts w:ascii="Arial" w:cs="Arial" w:eastAsia="Arial" w:hAnsi="Arial"/>
                <w:sz w:val="18"/>
                <w:szCs w:val="18"/>
                <w:color w:val="0000FF"/>
                <w:w w:val="90"/>
              </w:rPr>
            </w:pPr>
            <w:hyperlink r:id="rId179">
              <w:r>
                <w:rPr>
                  <w:rFonts w:ascii="Arial" w:cs="Arial" w:eastAsia="Arial" w:hAnsi="Arial"/>
                  <w:sz w:val="18"/>
                  <w:szCs w:val="18"/>
                  <w:color w:val="0000FF"/>
                  <w:w w:val="90"/>
                </w:rPr>
                <w:t>4.</w:t>
              </w:r>
              <w:r>
                <w:rPr>
                  <w:rFonts w:ascii="Arial" w:cs="Arial" w:eastAsia="Arial" w:hAnsi="Arial"/>
                  <w:sz w:val="18"/>
                  <w:szCs w:val="18"/>
                  <w:u w:val="single" w:color="auto"/>
                  <w:color w:val="0000FF"/>
                  <w:w w:val="90"/>
                </w:rPr>
                <w:t>4</w:t>
              </w:r>
              <w:r>
                <w:rPr>
                  <w:rFonts w:ascii="Arial" w:cs="Arial" w:eastAsia="Arial" w:hAnsi="Arial"/>
                  <w:sz w:val="18"/>
                  <w:szCs w:val="18"/>
                  <w:color w:val="0000FF"/>
                  <w:w w:val="90"/>
                </w:rPr>
                <w:t xml:space="preserve"> of the Registrant’s Registration Statement on Form 10, filed with the SEC on December 14, 2021)</w:t>
              </w:r>
            </w:hyperlink>
          </w:p>
        </w:tc>
        <w:tc>
          <w:tcPr>
            <w:tcW w:w="20" w:type="dxa"/>
            <w:vAlign w:val="bottom"/>
            <w:tcBorders>
              <w:top w:val="single" w:sz="8" w:color="0000FF"/>
              <w:bottom w:val="single" w:sz="8" w:color="0000EE"/>
            </w:tcBorders>
          </w:tcPr>
          <w:p>
            <w:pPr>
              <w:spacing w:after="0"/>
              <w:rPr>
                <w:sz w:val="14"/>
                <w:szCs w:val="14"/>
                <w:color w:val="auto"/>
              </w:rPr>
            </w:pPr>
          </w:p>
        </w:tc>
        <w:tc>
          <w:tcPr>
            <w:tcW w:w="2560" w:type="dxa"/>
            <w:vAlign w:val="bottom"/>
            <w:tcBorders>
              <w:top w:val="single" w:sz="8" w:color="0000FF"/>
            </w:tcBorders>
            <w:gridSpan w:val="2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2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340" w:type="dxa"/>
            <w:vAlign w:val="bottom"/>
            <w:gridSpan w:val="9"/>
          </w:tcPr>
          <w:p>
            <w:pPr>
              <w:spacing w:after="0" w:line="182" w:lineRule="exact"/>
              <w:rPr>
                <w:rFonts w:ascii="Arial" w:cs="Arial" w:eastAsia="Arial" w:hAnsi="Arial"/>
                <w:sz w:val="18"/>
                <w:szCs w:val="18"/>
                <w:color w:val="0000FF"/>
                <w:w w:val="91"/>
              </w:rPr>
            </w:pPr>
            <w:hyperlink r:id="rId180">
              <w:r>
                <w:rPr>
                  <w:rFonts w:ascii="Arial" w:cs="Arial" w:eastAsia="Arial" w:hAnsi="Arial"/>
                  <w:sz w:val="18"/>
                  <w:szCs w:val="18"/>
                  <w:color w:val="0000FF"/>
                  <w:w w:val="91"/>
                </w:rPr>
                <w:t>Trust Indenture made as of May 14, 2020 between Columbia Care Inc. and Odyssey Trust Company</w:t>
              </w:r>
            </w:hyperlink>
          </w:p>
        </w:tc>
        <w:tc>
          <w:tcPr>
            <w:tcW w:w="2580" w:type="dxa"/>
            <w:vAlign w:val="bottom"/>
            <w:gridSpan w:val="23"/>
          </w:tcPr>
          <w:p>
            <w:pPr>
              <w:spacing w:after="0" w:line="182" w:lineRule="exact"/>
              <w:rPr>
                <w:rFonts w:ascii="Arial" w:cs="Arial" w:eastAsia="Arial" w:hAnsi="Arial"/>
                <w:sz w:val="18"/>
                <w:szCs w:val="18"/>
                <w:color w:val="0000FF"/>
              </w:rPr>
            </w:pPr>
            <w:hyperlink r:id="rId180">
              <w:r>
                <w:rPr>
                  <w:rFonts w:ascii="Arial" w:cs="Arial" w:eastAsia="Arial" w:hAnsi="Arial"/>
                  <w:sz w:val="18"/>
                  <w:szCs w:val="18"/>
                  <w:color w:val="0000FF"/>
                </w:rPr>
                <w:t>(incorporated by reference to</w:t>
              </w:r>
            </w:hyperlink>
          </w:p>
        </w:tc>
        <w:tc>
          <w:tcPr>
            <w:tcW w:w="0" w:type="dxa"/>
            <w:vAlign w:val="bottom"/>
          </w:tcPr>
          <w:p>
            <w:pPr>
              <w:spacing w:after="0"/>
              <w:rPr>
                <w:sz w:val="1"/>
                <w:szCs w:val="1"/>
                <w:color w:val="auto"/>
              </w:rPr>
            </w:pPr>
          </w:p>
        </w:tc>
      </w:tr>
      <w:tr>
        <w:trPr>
          <w:trHeight w:val="169"/>
        </w:trPr>
        <w:tc>
          <w:tcPr>
            <w:tcW w:w="1200" w:type="dxa"/>
            <w:vAlign w:val="bottom"/>
            <w:vMerge w:val="restart"/>
          </w:tcPr>
          <w:p>
            <w:pPr>
              <w:jc w:val="center"/>
              <w:spacing w:after="0"/>
              <w:rPr>
                <w:sz w:val="20"/>
                <w:szCs w:val="20"/>
                <w:color w:val="auto"/>
              </w:rPr>
            </w:pPr>
            <w:r>
              <w:rPr>
                <w:rFonts w:ascii="Arial" w:cs="Arial" w:eastAsia="Arial" w:hAnsi="Arial"/>
                <w:sz w:val="18"/>
                <w:szCs w:val="18"/>
                <w:color w:val="auto"/>
                <w:w w:val="95"/>
              </w:rPr>
              <w:t>4.6</w:t>
            </w:r>
          </w:p>
        </w:tc>
        <w:tc>
          <w:tcPr>
            <w:tcW w:w="120" w:type="dxa"/>
            <w:vAlign w:val="bottom"/>
          </w:tcPr>
          <w:p>
            <w:pPr>
              <w:spacing w:after="0"/>
              <w:rPr>
                <w:sz w:val="14"/>
                <w:szCs w:val="14"/>
                <w:color w:val="auto"/>
              </w:rPr>
            </w:pPr>
          </w:p>
        </w:tc>
        <w:tc>
          <w:tcPr>
            <w:tcW w:w="9440" w:type="dxa"/>
            <w:vAlign w:val="bottom"/>
            <w:tcBorders>
              <w:top w:val="single" w:sz="8" w:color="0000FF"/>
            </w:tcBorders>
            <w:gridSpan w:val="15"/>
          </w:tcPr>
          <w:p>
            <w:pPr>
              <w:spacing w:after="0" w:line="169" w:lineRule="exact"/>
              <w:rPr>
                <w:rFonts w:ascii="Arial" w:cs="Arial" w:eastAsia="Arial" w:hAnsi="Arial"/>
                <w:sz w:val="18"/>
                <w:szCs w:val="18"/>
                <w:color w:val="0000FF"/>
              </w:rPr>
            </w:pPr>
            <w:hyperlink r:id="rId180">
              <w:r>
                <w:rPr>
                  <w:rFonts w:ascii="Arial" w:cs="Arial" w:eastAsia="Arial" w:hAnsi="Arial"/>
                  <w:sz w:val="18"/>
                  <w:szCs w:val="18"/>
                  <w:color w:val="0000FF"/>
                </w:rPr>
                <w:t>Exhibit 4.5 of the Registrant’s Registration Statement on Form 10, filed with the SEC on December 14, 2021)</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2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900" w:type="dxa"/>
            <w:vAlign w:val="bottom"/>
            <w:tcBorders>
              <w:top w:val="single" w:sz="8" w:color="0000FF"/>
            </w:tcBorders>
            <w:gridSpan w:val="10"/>
          </w:tcPr>
          <w:p>
            <w:pPr>
              <w:spacing w:after="0" w:line="182" w:lineRule="exact"/>
              <w:rPr>
                <w:rFonts w:ascii="Arial" w:cs="Arial" w:eastAsia="Arial" w:hAnsi="Arial"/>
                <w:sz w:val="18"/>
                <w:szCs w:val="18"/>
                <w:color w:val="0000FF"/>
                <w:w w:val="88"/>
              </w:rPr>
            </w:pPr>
            <w:hyperlink r:id="rId181">
              <w:r>
                <w:rPr>
                  <w:rFonts w:ascii="Arial" w:cs="Arial" w:eastAsia="Arial" w:hAnsi="Arial"/>
                  <w:sz w:val="18"/>
                  <w:szCs w:val="18"/>
                  <w:color w:val="0000FF"/>
                  <w:w w:val="88"/>
                </w:rPr>
                <w:t>Warrant Indenture dated May 14, 2020 between Columbia Care Inc. and Odyssey Trust Company (incorporated</w:t>
              </w:r>
            </w:hyperlink>
          </w:p>
        </w:tc>
        <w:tc>
          <w:tcPr>
            <w:tcW w:w="2020" w:type="dxa"/>
            <w:vAlign w:val="bottom"/>
            <w:gridSpan w:val="22"/>
          </w:tcPr>
          <w:p>
            <w:pPr>
              <w:ind w:left="180"/>
              <w:spacing w:after="0" w:line="182" w:lineRule="exact"/>
              <w:rPr>
                <w:rFonts w:ascii="Arial" w:cs="Arial" w:eastAsia="Arial" w:hAnsi="Arial"/>
                <w:sz w:val="18"/>
                <w:szCs w:val="18"/>
                <w:color w:val="0000FF"/>
              </w:rPr>
            </w:pPr>
            <w:hyperlink r:id="rId181">
              <w:r>
                <w:rPr>
                  <w:rFonts w:ascii="Arial" w:cs="Arial" w:eastAsia="Arial" w:hAnsi="Arial"/>
                  <w:sz w:val="18"/>
                  <w:szCs w:val="18"/>
                  <w:color w:val="0000FF"/>
                </w:rPr>
                <w:t>by reference to Exhibit</w:t>
              </w:r>
            </w:hyperlink>
          </w:p>
        </w:tc>
        <w:tc>
          <w:tcPr>
            <w:tcW w:w="0" w:type="dxa"/>
            <w:vAlign w:val="bottom"/>
          </w:tcPr>
          <w:p>
            <w:pPr>
              <w:spacing w:after="0"/>
              <w:rPr>
                <w:sz w:val="1"/>
                <w:szCs w:val="1"/>
                <w:color w:val="auto"/>
              </w:rPr>
            </w:pPr>
          </w:p>
        </w:tc>
      </w:tr>
      <w:tr>
        <w:trPr>
          <w:trHeight w:val="169"/>
        </w:trPr>
        <w:tc>
          <w:tcPr>
            <w:tcW w:w="1200" w:type="dxa"/>
            <w:vAlign w:val="bottom"/>
            <w:vMerge w:val="restart"/>
          </w:tcPr>
          <w:p>
            <w:pPr>
              <w:jc w:val="center"/>
              <w:spacing w:after="0"/>
              <w:rPr>
                <w:sz w:val="20"/>
                <w:szCs w:val="20"/>
                <w:color w:val="auto"/>
              </w:rPr>
            </w:pPr>
            <w:r>
              <w:rPr>
                <w:rFonts w:ascii="Arial" w:cs="Arial" w:eastAsia="Arial" w:hAnsi="Arial"/>
                <w:sz w:val="18"/>
                <w:szCs w:val="18"/>
                <w:color w:val="auto"/>
                <w:w w:val="95"/>
              </w:rPr>
              <w:t>4.7</w:t>
            </w:r>
          </w:p>
        </w:tc>
        <w:tc>
          <w:tcPr>
            <w:tcW w:w="120" w:type="dxa"/>
            <w:vAlign w:val="bottom"/>
          </w:tcPr>
          <w:p>
            <w:pPr>
              <w:spacing w:after="0"/>
              <w:rPr>
                <w:sz w:val="14"/>
                <w:szCs w:val="14"/>
                <w:color w:val="auto"/>
              </w:rPr>
            </w:pPr>
          </w:p>
        </w:tc>
        <w:tc>
          <w:tcPr>
            <w:tcW w:w="7320" w:type="dxa"/>
            <w:vAlign w:val="bottom"/>
            <w:tcBorders>
              <w:top w:val="single" w:sz="8" w:color="0000FF"/>
              <w:bottom w:val="single" w:sz="8" w:color="0000FF"/>
            </w:tcBorders>
            <w:gridSpan w:val="8"/>
          </w:tcPr>
          <w:p>
            <w:pPr>
              <w:spacing w:after="0" w:line="169" w:lineRule="exact"/>
              <w:rPr>
                <w:rFonts w:ascii="Arial" w:cs="Arial" w:eastAsia="Arial" w:hAnsi="Arial"/>
                <w:sz w:val="18"/>
                <w:szCs w:val="18"/>
                <w:color w:val="0000FF"/>
                <w:w w:val="90"/>
              </w:rPr>
            </w:pPr>
            <w:hyperlink r:id="rId181">
              <w:r>
                <w:rPr>
                  <w:rFonts w:ascii="Arial" w:cs="Arial" w:eastAsia="Arial" w:hAnsi="Arial"/>
                  <w:sz w:val="18"/>
                  <w:szCs w:val="18"/>
                  <w:color w:val="0000FF"/>
                  <w:w w:val="90"/>
                </w:rPr>
                <w:t>4.</w:t>
              </w:r>
              <w:r>
                <w:rPr>
                  <w:rFonts w:ascii="Arial" w:cs="Arial" w:eastAsia="Arial" w:hAnsi="Arial"/>
                  <w:sz w:val="18"/>
                  <w:szCs w:val="18"/>
                  <w:u w:val="single" w:color="auto"/>
                  <w:color w:val="0000FF"/>
                  <w:w w:val="90"/>
                </w:rPr>
                <w:t>6</w:t>
              </w:r>
              <w:r>
                <w:rPr>
                  <w:rFonts w:ascii="Arial" w:cs="Arial" w:eastAsia="Arial" w:hAnsi="Arial"/>
                  <w:sz w:val="18"/>
                  <w:szCs w:val="18"/>
                  <w:color w:val="0000FF"/>
                  <w:w w:val="90"/>
                </w:rPr>
                <w:t xml:space="preserve"> of the Registrant’s Registration Statement on Form 10, filed with the SEC on December 14, 2021)</w:t>
              </w:r>
            </w:hyperlink>
          </w:p>
        </w:tc>
        <w:tc>
          <w:tcPr>
            <w:tcW w:w="20" w:type="dxa"/>
            <w:vAlign w:val="bottom"/>
            <w:tcBorders>
              <w:top w:val="single" w:sz="8" w:color="0000FF"/>
              <w:bottom w:val="single" w:sz="8" w:color="0000EE"/>
            </w:tcBorders>
          </w:tcPr>
          <w:p>
            <w:pPr>
              <w:spacing w:after="0"/>
              <w:rPr>
                <w:sz w:val="14"/>
                <w:szCs w:val="14"/>
                <w:color w:val="auto"/>
              </w:rPr>
            </w:pPr>
          </w:p>
        </w:tc>
        <w:tc>
          <w:tcPr>
            <w:tcW w:w="2480" w:type="dxa"/>
            <w:vAlign w:val="bottom"/>
            <w:tcBorders>
              <w:top w:val="single" w:sz="8" w:color="0000FF"/>
            </w:tcBorders>
            <w:gridSpan w:val="21"/>
          </w:tcPr>
          <w:p>
            <w:pPr>
              <w:spacing w:after="0"/>
              <w:rPr>
                <w:sz w:val="14"/>
                <w:szCs w:val="14"/>
                <w:color w:val="auto"/>
              </w:rPr>
            </w:pPr>
          </w:p>
        </w:tc>
        <w:tc>
          <w:tcPr>
            <w:tcW w:w="1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2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9920" w:type="dxa"/>
            <w:vAlign w:val="bottom"/>
            <w:gridSpan w:val="32"/>
          </w:tcPr>
          <w:p>
            <w:pPr>
              <w:spacing w:after="0" w:line="182" w:lineRule="exact"/>
              <w:rPr>
                <w:rFonts w:ascii="Arial" w:cs="Arial" w:eastAsia="Arial" w:hAnsi="Arial"/>
                <w:sz w:val="18"/>
                <w:szCs w:val="18"/>
                <w:color w:val="0000FF"/>
                <w:w w:val="93"/>
              </w:rPr>
            </w:pPr>
            <w:hyperlink r:id="rId182">
              <w:r>
                <w:rPr>
                  <w:rFonts w:ascii="Arial" w:cs="Arial" w:eastAsia="Arial" w:hAnsi="Arial"/>
                  <w:sz w:val="18"/>
                  <w:szCs w:val="18"/>
                  <w:color w:val="0000FF"/>
                  <w:w w:val="93"/>
                </w:rPr>
                <w:t>First Supplemental Indentures dated as of June 19, 2020 between Columbia Care Inc and Odyssey Trust Company (incorporated by</w:t>
              </w:r>
            </w:hyperlink>
          </w:p>
        </w:tc>
        <w:tc>
          <w:tcPr>
            <w:tcW w:w="0" w:type="dxa"/>
            <w:vAlign w:val="bottom"/>
          </w:tcPr>
          <w:p>
            <w:pPr>
              <w:spacing w:after="0"/>
              <w:rPr>
                <w:sz w:val="1"/>
                <w:szCs w:val="1"/>
                <w:color w:val="auto"/>
              </w:rPr>
            </w:pPr>
          </w:p>
        </w:tc>
      </w:tr>
      <w:tr>
        <w:trPr>
          <w:trHeight w:val="169"/>
        </w:trPr>
        <w:tc>
          <w:tcPr>
            <w:tcW w:w="1200" w:type="dxa"/>
            <w:vAlign w:val="bottom"/>
            <w:vMerge w:val="restart"/>
          </w:tcPr>
          <w:p>
            <w:pPr>
              <w:jc w:val="center"/>
              <w:spacing w:after="0"/>
              <w:rPr>
                <w:sz w:val="20"/>
                <w:szCs w:val="20"/>
                <w:color w:val="auto"/>
              </w:rPr>
            </w:pPr>
            <w:r>
              <w:rPr>
                <w:rFonts w:ascii="Arial" w:cs="Arial" w:eastAsia="Arial" w:hAnsi="Arial"/>
                <w:sz w:val="18"/>
                <w:szCs w:val="18"/>
                <w:color w:val="auto"/>
                <w:w w:val="95"/>
              </w:rPr>
              <w:t>4.8</w:t>
            </w:r>
          </w:p>
        </w:tc>
        <w:tc>
          <w:tcPr>
            <w:tcW w:w="120" w:type="dxa"/>
            <w:vAlign w:val="bottom"/>
          </w:tcPr>
          <w:p>
            <w:pPr>
              <w:spacing w:after="0"/>
              <w:rPr>
                <w:sz w:val="14"/>
                <w:szCs w:val="14"/>
                <w:color w:val="auto"/>
              </w:rPr>
            </w:pPr>
          </w:p>
        </w:tc>
        <w:tc>
          <w:tcPr>
            <w:tcW w:w="9600" w:type="dxa"/>
            <w:vAlign w:val="bottom"/>
            <w:tcBorders>
              <w:top w:val="single" w:sz="8" w:color="0000FF"/>
            </w:tcBorders>
            <w:gridSpan w:val="23"/>
          </w:tcPr>
          <w:p>
            <w:pPr>
              <w:spacing w:after="0" w:line="169" w:lineRule="exact"/>
              <w:rPr>
                <w:rFonts w:ascii="Arial" w:cs="Arial" w:eastAsia="Arial" w:hAnsi="Arial"/>
                <w:sz w:val="18"/>
                <w:szCs w:val="18"/>
                <w:color w:val="0000FF"/>
                <w:w w:val="99"/>
              </w:rPr>
            </w:pPr>
            <w:hyperlink r:id="rId182">
              <w:r>
                <w:rPr>
                  <w:rFonts w:ascii="Arial" w:cs="Arial" w:eastAsia="Arial" w:hAnsi="Arial"/>
                  <w:sz w:val="18"/>
                  <w:szCs w:val="18"/>
                  <w:color w:val="0000FF"/>
                  <w:w w:val="99"/>
                </w:rPr>
                <w:t>reference to Exhibit 4.7 of the Registrant’s Registration Statement on Form 10, filed with the SEC on December 14, 2021)</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0" w:type="dxa"/>
            <w:vAlign w:val="bottom"/>
            <w:vMerge w:val="continue"/>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FF"/>
            </w:tcBorders>
            <w:gridSpan w:val="3"/>
            <w:shd w:val="clear" w:color="auto" w:fill="0000FF"/>
          </w:tcPr>
          <w:p>
            <w:pPr>
              <w:spacing w:after="0" w:line="20" w:lineRule="exact"/>
              <w:rPr>
                <w:sz w:val="1"/>
                <w:szCs w:val="1"/>
                <w:color w:val="auto"/>
              </w:rPr>
            </w:pPr>
          </w:p>
        </w:tc>
        <w:tc>
          <w:tcPr>
            <w:tcW w:w="35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0" w:type="dxa"/>
            <w:vAlign w:val="bottom"/>
            <w:tcBorders>
              <w:right w:val="single" w:sz="8" w:color="0000EE"/>
            </w:tcBorders>
            <w:gridSpan w:val="5"/>
            <w:shd w:val="clear" w:color="auto" w:fill="0000FF"/>
          </w:tcPr>
          <w:p>
            <w:pPr>
              <w:spacing w:after="0" w:line="20" w:lineRule="exact"/>
              <w:rPr>
                <w:sz w:val="1"/>
                <w:szCs w:val="1"/>
                <w:color w:val="auto"/>
              </w:rPr>
            </w:pPr>
          </w:p>
        </w:tc>
        <w:tc>
          <w:tcPr>
            <w:tcW w:w="1120" w:type="dxa"/>
            <w:vAlign w:val="bottom"/>
            <w:gridSpan w:val="21"/>
            <w:vMerge w:val="restart"/>
          </w:tcPr>
          <w:p>
            <w:pPr>
              <w:jc w:val="right"/>
              <w:ind w:right="320"/>
              <w:spacing w:after="0" w:line="202" w:lineRule="exact"/>
              <w:rPr>
                <w:rFonts w:ascii="Arial" w:cs="Arial" w:eastAsia="Arial" w:hAnsi="Arial"/>
                <w:sz w:val="18"/>
                <w:szCs w:val="18"/>
                <w:color w:val="0000FF"/>
              </w:rPr>
            </w:pPr>
            <w:hyperlink r:id="rId183">
              <w:r>
                <w:rPr>
                  <w:rFonts w:ascii="Arial" w:cs="Arial" w:eastAsia="Arial" w:hAnsi="Arial"/>
                  <w:sz w:val="18"/>
                  <w:szCs w:val="18"/>
                  <w:color w:val="0000FF"/>
                </w:rPr>
                <w:t>to Exhibit</w:t>
              </w:r>
            </w:hyperlink>
          </w:p>
        </w:tc>
        <w:tc>
          <w:tcPr>
            <w:tcW w:w="0" w:type="dxa"/>
            <w:vAlign w:val="bottom"/>
          </w:tcPr>
          <w:p>
            <w:pPr>
              <w:spacing w:after="0" w:line="20" w:lineRule="exact"/>
              <w:rPr>
                <w:sz w:val="1"/>
                <w:szCs w:val="1"/>
                <w:color w:val="auto"/>
              </w:rPr>
            </w:pPr>
          </w:p>
        </w:tc>
      </w:tr>
      <w:tr>
        <w:trPr>
          <w:trHeight w:val="182"/>
        </w:trPr>
        <w:tc>
          <w:tcPr>
            <w:tcW w:w="12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800" w:type="dxa"/>
            <w:vAlign w:val="bottom"/>
            <w:gridSpan w:val="11"/>
          </w:tcPr>
          <w:p>
            <w:pPr>
              <w:spacing w:after="0" w:line="182" w:lineRule="exact"/>
              <w:rPr>
                <w:rFonts w:ascii="Arial" w:cs="Arial" w:eastAsia="Arial" w:hAnsi="Arial"/>
                <w:sz w:val="18"/>
                <w:szCs w:val="18"/>
                <w:color w:val="0000FF"/>
                <w:w w:val="89"/>
              </w:rPr>
            </w:pPr>
            <w:hyperlink r:id="rId183">
              <w:r>
                <w:rPr>
                  <w:rFonts w:ascii="Arial" w:cs="Arial" w:eastAsia="Arial" w:hAnsi="Arial"/>
                  <w:sz w:val="18"/>
                  <w:szCs w:val="18"/>
                  <w:color w:val="0000FF"/>
                  <w:w w:val="89"/>
                </w:rPr>
                <w:t>Warrant Indenture dated July 2, 2020 between Columbia Care Inc. and Odyssey Trust Company (incorporated by reference</w:t>
              </w:r>
            </w:hyperlink>
          </w:p>
        </w:tc>
        <w:tc>
          <w:tcPr>
            <w:tcW w:w="1120" w:type="dxa"/>
            <w:vAlign w:val="bottom"/>
            <w:gridSpan w:val="21"/>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200" w:type="dxa"/>
            <w:vAlign w:val="bottom"/>
            <w:vMerge w:val="restart"/>
          </w:tcPr>
          <w:p>
            <w:pPr>
              <w:jc w:val="center"/>
              <w:spacing w:after="0"/>
              <w:rPr>
                <w:sz w:val="20"/>
                <w:szCs w:val="20"/>
                <w:color w:val="auto"/>
              </w:rPr>
            </w:pPr>
            <w:r>
              <w:rPr>
                <w:rFonts w:ascii="Arial" w:cs="Arial" w:eastAsia="Arial" w:hAnsi="Arial"/>
                <w:sz w:val="18"/>
                <w:szCs w:val="18"/>
                <w:color w:val="auto"/>
                <w:w w:val="95"/>
              </w:rPr>
              <w:t>4.9</w:t>
            </w:r>
          </w:p>
        </w:tc>
        <w:tc>
          <w:tcPr>
            <w:tcW w:w="120" w:type="dxa"/>
            <w:vAlign w:val="bottom"/>
          </w:tcPr>
          <w:p>
            <w:pPr>
              <w:spacing w:after="0"/>
              <w:rPr>
                <w:sz w:val="14"/>
                <w:szCs w:val="14"/>
                <w:color w:val="auto"/>
              </w:rPr>
            </w:pPr>
          </w:p>
        </w:tc>
        <w:tc>
          <w:tcPr>
            <w:tcW w:w="9700" w:type="dxa"/>
            <w:vAlign w:val="bottom"/>
            <w:tcBorders>
              <w:top w:val="single" w:sz="8" w:color="0000FF"/>
            </w:tcBorders>
            <w:gridSpan w:val="29"/>
          </w:tcPr>
          <w:p>
            <w:pPr>
              <w:spacing w:after="0" w:line="169" w:lineRule="exact"/>
              <w:rPr>
                <w:rFonts w:ascii="Arial" w:cs="Arial" w:eastAsia="Arial" w:hAnsi="Arial"/>
                <w:sz w:val="18"/>
                <w:szCs w:val="18"/>
                <w:color w:val="0000FF"/>
              </w:rPr>
            </w:pPr>
            <w:hyperlink r:id="rId183">
              <w:r>
                <w:rPr>
                  <w:rFonts w:ascii="Arial" w:cs="Arial" w:eastAsia="Arial" w:hAnsi="Arial"/>
                  <w:sz w:val="18"/>
                  <w:szCs w:val="18"/>
                  <w:color w:val="0000FF"/>
                </w:rPr>
                <w:t>4.</w:t>
              </w:r>
              <w:r>
                <w:rPr>
                  <w:rFonts w:ascii="Arial" w:cs="Arial" w:eastAsia="Arial" w:hAnsi="Arial"/>
                  <w:sz w:val="18"/>
                  <w:szCs w:val="18"/>
                  <w:u w:val="single" w:color="auto"/>
                  <w:color w:val="0000FF"/>
                </w:rPr>
                <w:t>8</w:t>
              </w:r>
              <w:r>
                <w:rPr>
                  <w:rFonts w:ascii="Arial" w:cs="Arial" w:eastAsia="Arial" w:hAnsi="Arial"/>
                  <w:sz w:val="18"/>
                  <w:szCs w:val="18"/>
                  <w:color w:val="0000FF"/>
                </w:rPr>
                <w:t xml:space="preserve"> of the Registrant’s Registration Statement on Form 10, filed with the SEC on December 14, 2021)</w:t>
              </w:r>
            </w:hyperlink>
          </w:p>
        </w:tc>
        <w:tc>
          <w:tcPr>
            <w:tcW w:w="22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2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320" w:type="dxa"/>
            <w:vAlign w:val="bottom"/>
            <w:tcBorders>
              <w:top w:val="single" w:sz="8" w:color="0000FF"/>
            </w:tcBorders>
            <w:gridSpan w:val="8"/>
          </w:tcPr>
          <w:p>
            <w:pPr>
              <w:spacing w:after="0" w:line="182" w:lineRule="exact"/>
              <w:rPr>
                <w:rFonts w:ascii="Arial" w:cs="Arial" w:eastAsia="Arial" w:hAnsi="Arial"/>
                <w:sz w:val="18"/>
                <w:szCs w:val="18"/>
                <w:color w:val="0000FF"/>
                <w:w w:val="90"/>
              </w:rPr>
            </w:pPr>
            <w:hyperlink r:id="rId184">
              <w:r>
                <w:rPr>
                  <w:rFonts w:ascii="Arial" w:cs="Arial" w:eastAsia="Arial" w:hAnsi="Arial"/>
                  <w:sz w:val="18"/>
                  <w:szCs w:val="18"/>
                  <w:color w:val="0000FF"/>
                  <w:w w:val="90"/>
                </w:rPr>
                <w:t>Warrant Indenture dated October 29, 2020 between Columbia Care Inc. and Odyssey Trust Company</w:t>
              </w:r>
            </w:hyperlink>
          </w:p>
        </w:tc>
        <w:tc>
          <w:tcPr>
            <w:tcW w:w="2600" w:type="dxa"/>
            <w:vAlign w:val="bottom"/>
            <w:gridSpan w:val="24"/>
          </w:tcPr>
          <w:p>
            <w:pPr>
              <w:ind w:left="40"/>
              <w:spacing w:after="0" w:line="182" w:lineRule="exact"/>
              <w:rPr>
                <w:rFonts w:ascii="Arial" w:cs="Arial" w:eastAsia="Arial" w:hAnsi="Arial"/>
                <w:sz w:val="18"/>
                <w:szCs w:val="18"/>
                <w:color w:val="0000FF"/>
              </w:rPr>
            </w:pPr>
            <w:hyperlink r:id="rId184">
              <w:r>
                <w:rPr>
                  <w:rFonts w:ascii="Arial" w:cs="Arial" w:eastAsia="Arial" w:hAnsi="Arial"/>
                  <w:sz w:val="18"/>
                  <w:szCs w:val="18"/>
                  <w:color w:val="0000FF"/>
                </w:rPr>
                <w:t>(incorporated by reference to</w:t>
              </w:r>
            </w:hyperlink>
          </w:p>
        </w:tc>
        <w:tc>
          <w:tcPr>
            <w:tcW w:w="0" w:type="dxa"/>
            <w:vAlign w:val="bottom"/>
          </w:tcPr>
          <w:p>
            <w:pPr>
              <w:spacing w:after="0"/>
              <w:rPr>
                <w:sz w:val="1"/>
                <w:szCs w:val="1"/>
                <w:color w:val="auto"/>
              </w:rPr>
            </w:pPr>
          </w:p>
        </w:tc>
      </w:tr>
      <w:tr>
        <w:trPr>
          <w:trHeight w:val="169"/>
        </w:trPr>
        <w:tc>
          <w:tcPr>
            <w:tcW w:w="1200" w:type="dxa"/>
            <w:vAlign w:val="bottom"/>
            <w:vMerge w:val="restart"/>
          </w:tcPr>
          <w:p>
            <w:pPr>
              <w:jc w:val="center"/>
              <w:spacing w:after="0"/>
              <w:rPr>
                <w:sz w:val="20"/>
                <w:szCs w:val="20"/>
                <w:color w:val="auto"/>
              </w:rPr>
            </w:pPr>
            <w:r>
              <w:rPr>
                <w:rFonts w:ascii="Arial" w:cs="Arial" w:eastAsia="Arial" w:hAnsi="Arial"/>
                <w:sz w:val="18"/>
                <w:szCs w:val="18"/>
                <w:color w:val="auto"/>
                <w:w w:val="91"/>
              </w:rPr>
              <w:t>4.10</w:t>
            </w:r>
          </w:p>
        </w:tc>
        <w:tc>
          <w:tcPr>
            <w:tcW w:w="120" w:type="dxa"/>
            <w:vAlign w:val="bottom"/>
          </w:tcPr>
          <w:p>
            <w:pPr>
              <w:spacing w:after="0"/>
              <w:rPr>
                <w:sz w:val="14"/>
                <w:szCs w:val="14"/>
                <w:color w:val="auto"/>
              </w:rPr>
            </w:pPr>
          </w:p>
        </w:tc>
        <w:tc>
          <w:tcPr>
            <w:tcW w:w="9540" w:type="dxa"/>
            <w:vAlign w:val="bottom"/>
            <w:tcBorders>
              <w:top w:val="single" w:sz="8" w:color="0000FF"/>
            </w:tcBorders>
            <w:gridSpan w:val="20"/>
          </w:tcPr>
          <w:p>
            <w:pPr>
              <w:spacing w:after="0" w:line="169" w:lineRule="exact"/>
              <w:rPr>
                <w:rFonts w:ascii="Arial" w:cs="Arial" w:eastAsia="Arial" w:hAnsi="Arial"/>
                <w:sz w:val="18"/>
                <w:szCs w:val="18"/>
                <w:color w:val="0000FF"/>
              </w:rPr>
            </w:pPr>
            <w:hyperlink r:id="rId184">
              <w:r>
                <w:rPr>
                  <w:rFonts w:ascii="Arial" w:cs="Arial" w:eastAsia="Arial" w:hAnsi="Arial"/>
                  <w:sz w:val="18"/>
                  <w:szCs w:val="18"/>
                  <w:color w:val="0000FF"/>
                </w:rPr>
                <w:t>Exhibit 4.9 of the Registrant’s Registration Statement on Form 10, filed with the SEC on December 14, 2021)</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gridSpan w:val="2"/>
          </w:tcPr>
          <w:p>
            <w:pPr>
              <w:spacing w:after="0"/>
              <w:rPr>
                <w:sz w:val="14"/>
                <w:szCs w:val="14"/>
                <w:color w:val="auto"/>
              </w:rPr>
            </w:pPr>
          </w:p>
        </w:tc>
        <w:tc>
          <w:tcPr>
            <w:tcW w:w="26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2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900" w:type="dxa"/>
            <w:vAlign w:val="bottom"/>
            <w:tcBorders>
              <w:top w:val="single" w:sz="8" w:color="0000FF"/>
            </w:tcBorders>
            <w:gridSpan w:val="10"/>
          </w:tcPr>
          <w:p>
            <w:pPr>
              <w:spacing w:after="0" w:line="182" w:lineRule="exact"/>
              <w:rPr>
                <w:rFonts w:ascii="Arial" w:cs="Arial" w:eastAsia="Arial" w:hAnsi="Arial"/>
                <w:sz w:val="18"/>
                <w:szCs w:val="18"/>
                <w:color w:val="0000FF"/>
                <w:w w:val="87"/>
              </w:rPr>
            </w:pPr>
            <w:hyperlink r:id="rId185">
              <w:r>
                <w:rPr>
                  <w:rFonts w:ascii="Arial" w:cs="Arial" w:eastAsia="Arial" w:hAnsi="Arial"/>
                  <w:sz w:val="18"/>
                  <w:szCs w:val="18"/>
                  <w:color w:val="0000FF"/>
                  <w:w w:val="87"/>
                </w:rPr>
                <w:t>Second Supplemental Indenture dated June 29, 2021 between Columbia Care Inc. and Odyssey Trust Company</w:t>
              </w:r>
            </w:hyperlink>
          </w:p>
        </w:tc>
        <w:tc>
          <w:tcPr>
            <w:tcW w:w="2020" w:type="dxa"/>
            <w:vAlign w:val="bottom"/>
            <w:gridSpan w:val="22"/>
          </w:tcPr>
          <w:p>
            <w:pPr>
              <w:ind w:left="200"/>
              <w:spacing w:after="0" w:line="182" w:lineRule="exact"/>
              <w:rPr>
                <w:rFonts w:ascii="Arial" w:cs="Arial" w:eastAsia="Arial" w:hAnsi="Arial"/>
                <w:sz w:val="18"/>
                <w:szCs w:val="18"/>
                <w:color w:val="0000FF"/>
              </w:rPr>
            </w:pPr>
            <w:hyperlink r:id="rId185">
              <w:r>
                <w:rPr>
                  <w:rFonts w:ascii="Arial" w:cs="Arial" w:eastAsia="Arial" w:hAnsi="Arial"/>
                  <w:sz w:val="18"/>
                  <w:szCs w:val="18"/>
                  <w:color w:val="0000FF"/>
                </w:rPr>
                <w:t>(incorporated by</w:t>
              </w:r>
            </w:hyperlink>
          </w:p>
        </w:tc>
        <w:tc>
          <w:tcPr>
            <w:tcW w:w="0" w:type="dxa"/>
            <w:vAlign w:val="bottom"/>
          </w:tcPr>
          <w:p>
            <w:pPr>
              <w:spacing w:after="0"/>
              <w:rPr>
                <w:sz w:val="1"/>
                <w:szCs w:val="1"/>
                <w:color w:val="auto"/>
              </w:rPr>
            </w:pPr>
          </w:p>
        </w:tc>
      </w:tr>
      <w:tr>
        <w:trPr>
          <w:trHeight w:val="169"/>
        </w:trPr>
        <w:tc>
          <w:tcPr>
            <w:tcW w:w="1200" w:type="dxa"/>
            <w:vAlign w:val="bottom"/>
            <w:vMerge w:val="restart"/>
          </w:tcPr>
          <w:p>
            <w:pPr>
              <w:jc w:val="center"/>
              <w:spacing w:after="0"/>
              <w:rPr>
                <w:sz w:val="20"/>
                <w:szCs w:val="20"/>
                <w:color w:val="auto"/>
              </w:rPr>
            </w:pPr>
            <w:r>
              <w:rPr>
                <w:rFonts w:ascii="Arial" w:cs="Arial" w:eastAsia="Arial" w:hAnsi="Arial"/>
                <w:sz w:val="18"/>
                <w:szCs w:val="18"/>
                <w:color w:val="auto"/>
                <w:w w:val="91"/>
              </w:rPr>
              <w:t>4.11</w:t>
            </w:r>
          </w:p>
        </w:tc>
        <w:tc>
          <w:tcPr>
            <w:tcW w:w="120" w:type="dxa"/>
            <w:vAlign w:val="bottom"/>
          </w:tcPr>
          <w:p>
            <w:pPr>
              <w:spacing w:after="0"/>
              <w:rPr>
                <w:sz w:val="14"/>
                <w:szCs w:val="14"/>
                <w:color w:val="auto"/>
              </w:rPr>
            </w:pPr>
          </w:p>
        </w:tc>
        <w:tc>
          <w:tcPr>
            <w:tcW w:w="9340" w:type="dxa"/>
            <w:vAlign w:val="bottom"/>
            <w:tcBorders>
              <w:top w:val="single" w:sz="8" w:color="0000FF"/>
              <w:bottom w:val="single" w:sz="8" w:color="0000FF"/>
            </w:tcBorders>
            <w:gridSpan w:val="13"/>
          </w:tcPr>
          <w:p>
            <w:pPr>
              <w:spacing w:after="0" w:line="169" w:lineRule="exact"/>
              <w:rPr>
                <w:rFonts w:ascii="Arial" w:cs="Arial" w:eastAsia="Arial" w:hAnsi="Arial"/>
                <w:sz w:val="18"/>
                <w:szCs w:val="18"/>
                <w:color w:val="0000FF"/>
                <w:w w:val="89"/>
              </w:rPr>
            </w:pPr>
            <w:hyperlink r:id="rId185">
              <w:r>
                <w:rPr>
                  <w:rFonts w:ascii="Arial" w:cs="Arial" w:eastAsia="Arial" w:hAnsi="Arial"/>
                  <w:sz w:val="18"/>
                  <w:szCs w:val="18"/>
                  <w:color w:val="0000FF"/>
                  <w:w w:val="89"/>
                </w:rPr>
                <w:t>reference to Exhibit 4.10 of the Registrant’s amended Registration Statement on Form 10, filed with the SEC on January 28, 2022)</w:t>
              </w:r>
            </w:hyperlink>
          </w:p>
        </w:tc>
        <w:tc>
          <w:tcPr>
            <w:tcW w:w="60" w:type="dxa"/>
            <w:vAlign w:val="bottom"/>
            <w:tcBorders>
              <w:bottom w:val="single" w:sz="8" w:color="0000FF"/>
            </w:tcBorders>
          </w:tcPr>
          <w:p>
            <w:pPr>
              <w:spacing w:after="0"/>
              <w:rPr>
                <w:sz w:val="14"/>
                <w:szCs w:val="14"/>
                <w:color w:val="auto"/>
              </w:rPr>
            </w:pPr>
          </w:p>
        </w:tc>
        <w:tc>
          <w:tcPr>
            <w:tcW w:w="6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gridSpan w:val="2"/>
          </w:tcPr>
          <w:p>
            <w:pPr>
              <w:spacing w:after="0"/>
              <w:rPr>
                <w:sz w:val="14"/>
                <w:szCs w:val="14"/>
                <w:color w:val="auto"/>
              </w:rPr>
            </w:pPr>
          </w:p>
        </w:tc>
        <w:tc>
          <w:tcPr>
            <w:tcW w:w="26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2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9400" w:type="dxa"/>
            <w:vAlign w:val="bottom"/>
            <w:tcBorders>
              <w:bottom w:val="single" w:sz="8" w:color="0000FF"/>
            </w:tcBorders>
            <w:gridSpan w:val="14"/>
          </w:tcPr>
          <w:p>
            <w:pPr>
              <w:spacing w:after="0" w:line="182" w:lineRule="exact"/>
              <w:rPr>
                <w:rFonts w:ascii="Arial" w:cs="Arial" w:eastAsia="Arial" w:hAnsi="Arial"/>
                <w:sz w:val="18"/>
                <w:szCs w:val="18"/>
                <w:color w:val="0000FF"/>
                <w:w w:val="90"/>
              </w:rPr>
            </w:pPr>
            <w:hyperlink r:id="rId186">
              <w:r>
                <w:rPr>
                  <w:rFonts w:ascii="Arial" w:cs="Arial" w:eastAsia="Arial" w:hAnsi="Arial"/>
                  <w:sz w:val="18"/>
                  <w:szCs w:val="18"/>
                  <w:color w:val="0000FF"/>
                  <w:w w:val="90"/>
                </w:rPr>
                <w:t>Third Supplemental Indenture dated February 2, 2022 between Columbia Care Inc. and Odyssey Trust Company (incorporated by</w:t>
              </w:r>
            </w:hyperlink>
          </w:p>
        </w:tc>
        <w:tc>
          <w:tcPr>
            <w:tcW w:w="60" w:type="dxa"/>
            <w:vAlign w:val="bottom"/>
            <w:tcBorders>
              <w:bottom w:val="single" w:sz="8" w:color="0000FF"/>
            </w:tcBorders>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gridSpan w:val="2"/>
          </w:tcPr>
          <w:p>
            <w:pPr>
              <w:spacing w:after="0"/>
              <w:rPr>
                <w:sz w:val="15"/>
                <w:szCs w:val="15"/>
                <w:color w:val="auto"/>
              </w:rPr>
            </w:pPr>
          </w:p>
        </w:tc>
        <w:tc>
          <w:tcPr>
            <w:tcW w:w="26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200" w:type="dxa"/>
            <w:vAlign w:val="bottom"/>
            <w:vMerge w:val="restart"/>
          </w:tcPr>
          <w:p>
            <w:pPr>
              <w:jc w:val="center"/>
              <w:spacing w:after="0"/>
              <w:rPr>
                <w:sz w:val="20"/>
                <w:szCs w:val="20"/>
                <w:color w:val="auto"/>
              </w:rPr>
            </w:pPr>
            <w:r>
              <w:rPr>
                <w:rFonts w:ascii="Arial" w:cs="Arial" w:eastAsia="Arial" w:hAnsi="Arial"/>
                <w:sz w:val="18"/>
                <w:szCs w:val="18"/>
                <w:color w:val="auto"/>
                <w:w w:val="91"/>
              </w:rPr>
              <w:t>4.12</w:t>
            </w:r>
          </w:p>
        </w:tc>
        <w:tc>
          <w:tcPr>
            <w:tcW w:w="120" w:type="dxa"/>
            <w:vAlign w:val="bottom"/>
          </w:tcPr>
          <w:p>
            <w:pPr>
              <w:spacing w:after="0"/>
              <w:rPr>
                <w:sz w:val="14"/>
                <w:szCs w:val="14"/>
                <w:color w:val="auto"/>
              </w:rPr>
            </w:pPr>
          </w:p>
        </w:tc>
        <w:tc>
          <w:tcPr>
            <w:tcW w:w="9460" w:type="dxa"/>
            <w:vAlign w:val="bottom"/>
            <w:tcBorders>
              <w:bottom w:val="single" w:sz="8" w:color="0000FF"/>
            </w:tcBorders>
            <w:gridSpan w:val="16"/>
          </w:tcPr>
          <w:p>
            <w:pPr>
              <w:spacing w:after="0" w:line="169" w:lineRule="exact"/>
              <w:rPr>
                <w:rFonts w:ascii="Arial" w:cs="Arial" w:eastAsia="Arial" w:hAnsi="Arial"/>
                <w:sz w:val="18"/>
                <w:szCs w:val="18"/>
                <w:color w:val="0000FF"/>
                <w:w w:val="90"/>
              </w:rPr>
            </w:pPr>
            <w:hyperlink r:id="rId186">
              <w:r>
                <w:rPr>
                  <w:rFonts w:ascii="Arial" w:cs="Arial" w:eastAsia="Arial" w:hAnsi="Arial"/>
                  <w:sz w:val="18"/>
                  <w:szCs w:val="18"/>
                  <w:color w:val="0000FF"/>
                  <w:w w:val="90"/>
                </w:rPr>
                <w:t>reference to Exhibit 4.11 of the Registrant’s amended Registration Statement on Form 10, filed with the SEC on February 15, 2022)</w:t>
              </w:r>
            </w:hyperlink>
          </w:p>
        </w:tc>
        <w:tc>
          <w:tcPr>
            <w:tcW w:w="40" w:type="dxa"/>
            <w:vAlign w:val="bottom"/>
            <w:tcBorders>
              <w:bottom w:val="single" w:sz="8" w:color="0000FF"/>
            </w:tcBorders>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gridSpan w:val="2"/>
          </w:tcPr>
          <w:p>
            <w:pPr>
              <w:spacing w:after="0"/>
              <w:rPr>
                <w:sz w:val="14"/>
                <w:szCs w:val="14"/>
                <w:color w:val="auto"/>
              </w:rPr>
            </w:pPr>
          </w:p>
        </w:tc>
        <w:tc>
          <w:tcPr>
            <w:tcW w:w="26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2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9500" w:type="dxa"/>
            <w:vAlign w:val="bottom"/>
            <w:tcBorders>
              <w:bottom w:val="single" w:sz="8" w:color="0000FF"/>
            </w:tcBorders>
            <w:gridSpan w:val="18"/>
          </w:tcPr>
          <w:p>
            <w:pPr>
              <w:spacing w:after="0" w:line="182" w:lineRule="exact"/>
              <w:rPr>
                <w:rFonts w:ascii="Arial" w:cs="Arial" w:eastAsia="Arial" w:hAnsi="Arial"/>
                <w:sz w:val="18"/>
                <w:szCs w:val="18"/>
                <w:color w:val="0000FF"/>
                <w:w w:val="90"/>
              </w:rPr>
            </w:pPr>
            <w:hyperlink r:id="rId187">
              <w:r>
                <w:rPr>
                  <w:rFonts w:ascii="Arial" w:cs="Arial" w:eastAsia="Arial" w:hAnsi="Arial"/>
                  <w:sz w:val="18"/>
                  <w:szCs w:val="18"/>
                  <w:color w:val="0000FF"/>
                  <w:w w:val="90"/>
                </w:rPr>
                <w:t>Fourth Supplemental Indenture dated February 3, 2022 between Columbia Care Inc. and Odyssey Trust Company (incorporated by</w:t>
              </w:r>
            </w:hyperlink>
          </w:p>
        </w:tc>
        <w:tc>
          <w:tcPr>
            <w:tcW w:w="20" w:type="dxa"/>
            <w:vAlign w:val="bottom"/>
            <w:tcBorders>
              <w:bottom w:val="single" w:sz="8" w:color="0000FF"/>
            </w:tcBorders>
          </w:tcPr>
          <w:p>
            <w:pPr>
              <w:spacing w:after="0"/>
              <w:rPr>
                <w:sz w:val="15"/>
                <w:szCs w:val="15"/>
                <w:color w:val="auto"/>
              </w:rPr>
            </w:pPr>
          </w:p>
        </w:tc>
        <w:tc>
          <w:tcPr>
            <w:tcW w:w="40" w:type="dxa"/>
            <w:vAlign w:val="bottom"/>
            <w:tcBorders>
              <w:bottom w:val="single" w:sz="8" w:color="0000FF"/>
            </w:tcBorders>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gridSpan w:val="2"/>
          </w:tcPr>
          <w:p>
            <w:pPr>
              <w:spacing w:after="0"/>
              <w:rPr>
                <w:sz w:val="15"/>
                <w:szCs w:val="15"/>
                <w:color w:val="auto"/>
              </w:rPr>
            </w:pPr>
          </w:p>
        </w:tc>
        <w:tc>
          <w:tcPr>
            <w:tcW w:w="26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200" w:type="dxa"/>
            <w:vAlign w:val="bottom"/>
            <w:vMerge w:val="restart"/>
          </w:tcPr>
          <w:p>
            <w:pPr>
              <w:jc w:val="center"/>
              <w:spacing w:after="0"/>
              <w:rPr>
                <w:sz w:val="20"/>
                <w:szCs w:val="20"/>
                <w:color w:val="auto"/>
              </w:rPr>
            </w:pPr>
            <w:r>
              <w:rPr>
                <w:rFonts w:ascii="Arial" w:cs="Arial" w:eastAsia="Arial" w:hAnsi="Arial"/>
                <w:sz w:val="18"/>
                <w:szCs w:val="18"/>
                <w:color w:val="auto"/>
                <w:w w:val="95"/>
              </w:rPr>
              <w:t>31.1*</w:t>
            </w:r>
          </w:p>
        </w:tc>
        <w:tc>
          <w:tcPr>
            <w:tcW w:w="120" w:type="dxa"/>
            <w:vAlign w:val="bottom"/>
          </w:tcPr>
          <w:p>
            <w:pPr>
              <w:spacing w:after="0"/>
              <w:rPr>
                <w:sz w:val="14"/>
                <w:szCs w:val="14"/>
                <w:color w:val="auto"/>
              </w:rPr>
            </w:pPr>
          </w:p>
        </w:tc>
        <w:tc>
          <w:tcPr>
            <w:tcW w:w="9560" w:type="dxa"/>
            <w:vAlign w:val="bottom"/>
            <w:gridSpan w:val="21"/>
          </w:tcPr>
          <w:p>
            <w:pPr>
              <w:spacing w:after="0" w:line="169" w:lineRule="exact"/>
              <w:rPr>
                <w:rFonts w:ascii="Arial" w:cs="Arial" w:eastAsia="Arial" w:hAnsi="Arial"/>
                <w:sz w:val="18"/>
                <w:szCs w:val="18"/>
                <w:color w:val="0000FF"/>
                <w:w w:val="91"/>
              </w:rPr>
            </w:pPr>
            <w:hyperlink r:id="rId187">
              <w:r>
                <w:rPr>
                  <w:rFonts w:ascii="Arial" w:cs="Arial" w:eastAsia="Arial" w:hAnsi="Arial"/>
                  <w:sz w:val="18"/>
                  <w:szCs w:val="18"/>
                  <w:color w:val="0000FF"/>
                  <w:w w:val="91"/>
                </w:rPr>
                <w:t>reference to Exhibit 4.12 of the Registrant’s amended Registration Statement on Form 10, filed with the SEC on February 15, 2022)</w:t>
              </w:r>
            </w:hyperlink>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gridSpan w:val="2"/>
          </w:tcPr>
          <w:p>
            <w:pPr>
              <w:spacing w:after="0"/>
              <w:rPr>
                <w:sz w:val="14"/>
                <w:szCs w:val="14"/>
                <w:color w:val="auto"/>
              </w:rPr>
            </w:pPr>
          </w:p>
        </w:tc>
        <w:tc>
          <w:tcPr>
            <w:tcW w:w="26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2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9520" w:type="dxa"/>
            <w:vAlign w:val="bottom"/>
            <w:tcBorders>
              <w:top w:val="single" w:sz="8" w:color="0000FF"/>
            </w:tcBorders>
            <w:gridSpan w:val="19"/>
          </w:tcPr>
          <w:p>
            <w:pPr>
              <w:spacing w:after="0" w:line="182" w:lineRule="exact"/>
              <w:rPr>
                <w:sz w:val="20"/>
                <w:szCs w:val="20"/>
                <w:color w:val="auto"/>
              </w:rPr>
            </w:pPr>
            <w:r>
              <w:rPr>
                <w:rFonts w:ascii="Arial" w:cs="Arial" w:eastAsia="Arial" w:hAnsi="Arial"/>
                <w:sz w:val="18"/>
                <w:szCs w:val="18"/>
                <w:color w:val="0000FF"/>
                <w:w w:val="92"/>
              </w:rPr>
              <w:t>Certification of Principal Executive Officer Pursuant to Rules 13a-14(a) and 15d-14(a) under the Securities Exchange Act of 1934,</w:t>
            </w:r>
          </w:p>
        </w:tc>
        <w:tc>
          <w:tcPr>
            <w:tcW w:w="400" w:type="dxa"/>
            <w:vAlign w:val="bottom"/>
            <w:gridSpan w:val="13"/>
          </w:tcPr>
          <w:p>
            <w:pPr>
              <w:jc w:val="right"/>
              <w:ind w:right="320"/>
              <w:spacing w:after="0"/>
              <w:rPr>
                <w:sz w:val="20"/>
                <w:szCs w:val="20"/>
                <w:color w:val="auto"/>
              </w:rPr>
            </w:pPr>
            <w:r>
              <w:rPr>
                <w:rFonts w:ascii="Arial" w:cs="Arial" w:eastAsia="Arial" w:hAnsi="Arial"/>
                <w:sz w:val="8"/>
                <w:szCs w:val="8"/>
                <w:color w:val="0000FF"/>
                <w:w w:val="70"/>
              </w:rPr>
              <w:t>as</w:t>
            </w:r>
          </w:p>
        </w:tc>
        <w:tc>
          <w:tcPr>
            <w:tcW w:w="0" w:type="dxa"/>
            <w:vAlign w:val="bottom"/>
          </w:tcPr>
          <w:p>
            <w:pPr>
              <w:spacing w:after="0"/>
              <w:rPr>
                <w:sz w:val="1"/>
                <w:szCs w:val="1"/>
                <w:color w:val="auto"/>
              </w:rPr>
            </w:pPr>
          </w:p>
        </w:tc>
      </w:tr>
      <w:tr>
        <w:trPr>
          <w:trHeight w:val="169"/>
        </w:trPr>
        <w:tc>
          <w:tcPr>
            <w:tcW w:w="1200" w:type="dxa"/>
            <w:vAlign w:val="bottom"/>
            <w:vMerge w:val="restart"/>
          </w:tcPr>
          <w:p>
            <w:pPr>
              <w:jc w:val="center"/>
              <w:spacing w:after="0"/>
              <w:rPr>
                <w:sz w:val="20"/>
                <w:szCs w:val="20"/>
                <w:color w:val="auto"/>
              </w:rPr>
            </w:pPr>
            <w:r>
              <w:rPr>
                <w:rFonts w:ascii="Arial" w:cs="Arial" w:eastAsia="Arial" w:hAnsi="Arial"/>
                <w:sz w:val="18"/>
                <w:szCs w:val="18"/>
                <w:color w:val="auto"/>
                <w:w w:val="95"/>
              </w:rPr>
              <w:t>31.2*</w:t>
            </w:r>
          </w:p>
        </w:tc>
        <w:tc>
          <w:tcPr>
            <w:tcW w:w="120" w:type="dxa"/>
            <w:vAlign w:val="bottom"/>
          </w:tcPr>
          <w:p>
            <w:pPr>
              <w:spacing w:after="0"/>
              <w:rPr>
                <w:sz w:val="14"/>
                <w:szCs w:val="14"/>
                <w:color w:val="auto"/>
              </w:rPr>
            </w:pPr>
          </w:p>
        </w:tc>
        <w:tc>
          <w:tcPr>
            <w:tcW w:w="4980" w:type="dxa"/>
            <w:vAlign w:val="bottom"/>
            <w:tcBorders>
              <w:top w:val="single" w:sz="8" w:color="0000FF"/>
              <w:bottom w:val="single" w:sz="8" w:color="0000FF"/>
            </w:tcBorders>
            <w:gridSpan w:val="5"/>
          </w:tcPr>
          <w:p>
            <w:pPr>
              <w:spacing w:after="0" w:line="169" w:lineRule="exact"/>
              <w:rPr>
                <w:sz w:val="20"/>
                <w:szCs w:val="20"/>
                <w:color w:val="auto"/>
              </w:rPr>
            </w:pPr>
            <w:r>
              <w:rPr>
                <w:rFonts w:ascii="Arial" w:cs="Arial" w:eastAsia="Arial" w:hAnsi="Arial"/>
                <w:sz w:val="18"/>
                <w:szCs w:val="18"/>
                <w:color w:val="0000FF"/>
                <w:w w:val="90"/>
              </w:rPr>
              <w:t>Adopted Pursuant to Section 302 of the Sarbanes-Oxley Act of 2002.</w:t>
            </w:r>
          </w:p>
        </w:tc>
        <w:tc>
          <w:tcPr>
            <w:tcW w:w="20" w:type="dxa"/>
            <w:vAlign w:val="bottom"/>
            <w:tcBorders>
              <w:top w:val="single" w:sz="8" w:color="0000FF"/>
              <w:bottom w:val="single" w:sz="8" w:color="0000EE"/>
            </w:tcBorders>
          </w:tcPr>
          <w:p>
            <w:pPr>
              <w:spacing w:after="0"/>
              <w:rPr>
                <w:sz w:val="14"/>
                <w:szCs w:val="14"/>
                <w:color w:val="auto"/>
              </w:rPr>
            </w:pPr>
          </w:p>
        </w:tc>
        <w:tc>
          <w:tcPr>
            <w:tcW w:w="4660" w:type="dxa"/>
            <w:vAlign w:val="bottom"/>
            <w:tcBorders>
              <w:top w:val="single" w:sz="8" w:color="0000FF"/>
            </w:tcBorders>
            <w:gridSpan w:val="22"/>
          </w:tcPr>
          <w:p>
            <w:pPr>
              <w:spacing w:after="0"/>
              <w:rPr>
                <w:sz w:val="14"/>
                <w:szCs w:val="14"/>
                <w:color w:val="auto"/>
              </w:rPr>
            </w:pPr>
          </w:p>
        </w:tc>
        <w:tc>
          <w:tcPr>
            <w:tcW w:w="26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2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9920" w:type="dxa"/>
            <w:vAlign w:val="bottom"/>
            <w:gridSpan w:val="32"/>
          </w:tcPr>
          <w:p>
            <w:pPr>
              <w:spacing w:after="0" w:line="182" w:lineRule="exact"/>
              <w:rPr>
                <w:sz w:val="20"/>
                <w:szCs w:val="20"/>
                <w:color w:val="auto"/>
              </w:rPr>
            </w:pPr>
            <w:r>
              <w:rPr>
                <w:rFonts w:ascii="Arial" w:cs="Arial" w:eastAsia="Arial" w:hAnsi="Arial"/>
                <w:sz w:val="18"/>
                <w:szCs w:val="18"/>
                <w:color w:val="0000FF"/>
                <w:w w:val="94"/>
              </w:rPr>
              <w:t>Certification of Principal Financial Officer Pursuant to Rules 13a-14(a) and 15d-14(a) under the Securities Exchange Act of 1934, as</w:t>
            </w:r>
          </w:p>
        </w:tc>
        <w:tc>
          <w:tcPr>
            <w:tcW w:w="0" w:type="dxa"/>
            <w:vAlign w:val="bottom"/>
          </w:tcPr>
          <w:p>
            <w:pPr>
              <w:spacing w:after="0"/>
              <w:rPr>
                <w:sz w:val="1"/>
                <w:szCs w:val="1"/>
                <w:color w:val="auto"/>
              </w:rPr>
            </w:pPr>
          </w:p>
        </w:tc>
      </w:tr>
      <w:tr>
        <w:trPr>
          <w:trHeight w:val="169"/>
        </w:trPr>
        <w:tc>
          <w:tcPr>
            <w:tcW w:w="1200" w:type="dxa"/>
            <w:vAlign w:val="bottom"/>
            <w:vMerge w:val="restart"/>
          </w:tcPr>
          <w:p>
            <w:pPr>
              <w:jc w:val="center"/>
              <w:spacing w:after="0"/>
              <w:rPr>
                <w:sz w:val="20"/>
                <w:szCs w:val="20"/>
                <w:color w:val="auto"/>
              </w:rPr>
            </w:pPr>
            <w:r>
              <w:rPr>
                <w:rFonts w:ascii="Arial" w:cs="Arial" w:eastAsia="Arial" w:hAnsi="Arial"/>
                <w:sz w:val="18"/>
                <w:szCs w:val="18"/>
                <w:color w:val="auto"/>
                <w:w w:val="88"/>
              </w:rPr>
              <w:t>32.1‡</w:t>
            </w:r>
          </w:p>
        </w:tc>
        <w:tc>
          <w:tcPr>
            <w:tcW w:w="120" w:type="dxa"/>
            <w:vAlign w:val="bottom"/>
          </w:tcPr>
          <w:p>
            <w:pPr>
              <w:spacing w:after="0"/>
              <w:rPr>
                <w:sz w:val="14"/>
                <w:szCs w:val="14"/>
                <w:color w:val="auto"/>
              </w:rPr>
            </w:pPr>
          </w:p>
        </w:tc>
        <w:tc>
          <w:tcPr>
            <w:tcW w:w="4980" w:type="dxa"/>
            <w:vAlign w:val="bottom"/>
            <w:tcBorders>
              <w:top w:val="single" w:sz="8" w:color="0000FF"/>
              <w:bottom w:val="single" w:sz="8" w:color="0000FF"/>
            </w:tcBorders>
            <w:gridSpan w:val="5"/>
          </w:tcPr>
          <w:p>
            <w:pPr>
              <w:spacing w:after="0" w:line="169" w:lineRule="exact"/>
              <w:rPr>
                <w:sz w:val="20"/>
                <w:szCs w:val="20"/>
                <w:color w:val="auto"/>
              </w:rPr>
            </w:pPr>
            <w:r>
              <w:rPr>
                <w:rFonts w:ascii="Arial" w:cs="Arial" w:eastAsia="Arial" w:hAnsi="Arial"/>
                <w:sz w:val="18"/>
                <w:szCs w:val="18"/>
                <w:color w:val="0000FF"/>
                <w:w w:val="90"/>
              </w:rPr>
              <w:t>Adopted Pursuant to Section 302 of the Sarbanes-Oxley Act of 2002.</w:t>
            </w:r>
          </w:p>
        </w:tc>
        <w:tc>
          <w:tcPr>
            <w:tcW w:w="20" w:type="dxa"/>
            <w:vAlign w:val="bottom"/>
            <w:tcBorders>
              <w:top w:val="single" w:sz="8" w:color="0000FF"/>
              <w:bottom w:val="single" w:sz="8" w:color="0000EE"/>
            </w:tcBorders>
          </w:tcPr>
          <w:p>
            <w:pPr>
              <w:spacing w:after="0"/>
              <w:rPr>
                <w:sz w:val="14"/>
                <w:szCs w:val="14"/>
                <w:color w:val="auto"/>
              </w:rPr>
            </w:pPr>
          </w:p>
        </w:tc>
        <w:tc>
          <w:tcPr>
            <w:tcW w:w="4660" w:type="dxa"/>
            <w:vAlign w:val="bottom"/>
            <w:tcBorders>
              <w:top w:val="single" w:sz="8" w:color="0000FF"/>
            </w:tcBorders>
            <w:gridSpan w:val="20"/>
          </w:tcPr>
          <w:p>
            <w:pPr>
              <w:spacing w:after="0"/>
              <w:rPr>
                <w:sz w:val="14"/>
                <w:szCs w:val="14"/>
                <w:color w:val="auto"/>
              </w:rPr>
            </w:pPr>
          </w:p>
        </w:tc>
        <w:tc>
          <w:tcPr>
            <w:tcW w:w="26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2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9920" w:type="dxa"/>
            <w:vAlign w:val="bottom"/>
            <w:gridSpan w:val="32"/>
          </w:tcPr>
          <w:p>
            <w:pPr>
              <w:spacing w:after="0" w:line="182" w:lineRule="exact"/>
              <w:rPr>
                <w:sz w:val="20"/>
                <w:szCs w:val="20"/>
                <w:color w:val="auto"/>
              </w:rPr>
            </w:pPr>
            <w:r>
              <w:rPr>
                <w:rFonts w:ascii="Arial" w:cs="Arial" w:eastAsia="Arial" w:hAnsi="Arial"/>
                <w:sz w:val="18"/>
                <w:szCs w:val="18"/>
                <w:color w:val="0000FF"/>
                <w:w w:val="93"/>
              </w:rPr>
              <w:t>Certification of Principal Executive Officer Pursuant to 18 U.S.C. Section 1350, as Adopted Pursuant to Section 906 of the Sarbanes-</w:t>
            </w:r>
          </w:p>
        </w:tc>
        <w:tc>
          <w:tcPr>
            <w:tcW w:w="0" w:type="dxa"/>
            <w:vAlign w:val="bottom"/>
          </w:tcPr>
          <w:p>
            <w:pPr>
              <w:spacing w:after="0"/>
              <w:rPr>
                <w:sz w:val="1"/>
                <w:szCs w:val="1"/>
                <w:color w:val="auto"/>
              </w:rPr>
            </w:pPr>
          </w:p>
        </w:tc>
      </w:tr>
      <w:tr>
        <w:trPr>
          <w:trHeight w:val="169"/>
        </w:trPr>
        <w:tc>
          <w:tcPr>
            <w:tcW w:w="1200" w:type="dxa"/>
            <w:vAlign w:val="bottom"/>
            <w:vMerge w:val="restart"/>
          </w:tcPr>
          <w:p>
            <w:pPr>
              <w:jc w:val="center"/>
              <w:spacing w:after="0"/>
              <w:rPr>
                <w:sz w:val="20"/>
                <w:szCs w:val="20"/>
                <w:color w:val="auto"/>
              </w:rPr>
            </w:pPr>
            <w:r>
              <w:rPr>
                <w:rFonts w:ascii="Arial" w:cs="Arial" w:eastAsia="Arial" w:hAnsi="Arial"/>
                <w:sz w:val="18"/>
                <w:szCs w:val="18"/>
                <w:color w:val="auto"/>
                <w:w w:val="88"/>
              </w:rPr>
              <w:t>32.2‡</w:t>
            </w:r>
          </w:p>
        </w:tc>
        <w:tc>
          <w:tcPr>
            <w:tcW w:w="120" w:type="dxa"/>
            <w:vAlign w:val="bottom"/>
          </w:tcPr>
          <w:p>
            <w:pPr>
              <w:spacing w:after="0"/>
              <w:rPr>
                <w:sz w:val="14"/>
                <w:szCs w:val="14"/>
                <w:color w:val="auto"/>
              </w:rPr>
            </w:pPr>
          </w:p>
        </w:tc>
        <w:tc>
          <w:tcPr>
            <w:tcW w:w="9640" w:type="dxa"/>
            <w:vAlign w:val="bottom"/>
            <w:tcBorders>
              <w:top w:val="single" w:sz="8" w:color="0000FF"/>
            </w:tcBorders>
            <w:gridSpan w:val="25"/>
          </w:tcPr>
          <w:p>
            <w:pPr>
              <w:spacing w:after="0" w:line="169" w:lineRule="exact"/>
              <w:rPr>
                <w:sz w:val="20"/>
                <w:szCs w:val="20"/>
                <w:color w:val="auto"/>
              </w:rPr>
            </w:pPr>
            <w:r>
              <w:rPr>
                <w:rFonts w:ascii="Arial" w:cs="Arial" w:eastAsia="Arial" w:hAnsi="Arial"/>
                <w:sz w:val="18"/>
                <w:szCs w:val="18"/>
                <w:color w:val="0000FF"/>
              </w:rPr>
              <w:t>Oxley Act of 2002.</w:t>
            </w:r>
          </w:p>
        </w:tc>
        <w:tc>
          <w:tcPr>
            <w:tcW w:w="280" w:type="dxa"/>
            <w:vAlign w:val="bottom"/>
            <w:gridSpan w:val="7"/>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0" w:type="dxa"/>
            <w:vAlign w:val="bottom"/>
            <w:vMerge w:val="continue"/>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EE"/>
            </w:tcBorders>
            <w:gridSpan w:val="3"/>
            <w:shd w:val="clear" w:color="auto" w:fill="0000FF"/>
          </w:tcPr>
          <w:p>
            <w:pPr>
              <w:spacing w:after="0" w:line="20" w:lineRule="exact"/>
              <w:rPr>
                <w:sz w:val="1"/>
                <w:szCs w:val="1"/>
                <w:color w:val="auto"/>
              </w:rPr>
            </w:pPr>
          </w:p>
        </w:tc>
        <w:tc>
          <w:tcPr>
            <w:tcW w:w="8180" w:type="dxa"/>
            <w:vAlign w:val="bottom"/>
            <w:gridSpan w:val="19"/>
          </w:tcPr>
          <w:p>
            <w:pPr>
              <w:spacing w:after="0" w:line="20" w:lineRule="exact"/>
              <w:rPr>
                <w:sz w:val="1"/>
                <w:szCs w:val="1"/>
                <w:color w:val="auto"/>
              </w:rPr>
            </w:pPr>
          </w:p>
        </w:tc>
        <w:tc>
          <w:tcPr>
            <w:tcW w:w="34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2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9920" w:type="dxa"/>
            <w:vAlign w:val="bottom"/>
            <w:gridSpan w:val="32"/>
          </w:tcPr>
          <w:p>
            <w:pPr>
              <w:spacing w:after="0" w:line="182" w:lineRule="exact"/>
              <w:rPr>
                <w:sz w:val="20"/>
                <w:szCs w:val="20"/>
                <w:color w:val="auto"/>
              </w:rPr>
            </w:pPr>
            <w:r>
              <w:rPr>
                <w:rFonts w:ascii="Arial" w:cs="Arial" w:eastAsia="Arial" w:hAnsi="Arial"/>
                <w:sz w:val="18"/>
                <w:szCs w:val="18"/>
                <w:color w:val="0000FF"/>
                <w:w w:val="94"/>
              </w:rPr>
              <w:t>Certification of Principal Financial Officer Pursuant to 18 U.S.C. Section 1350, as Adopted Pursuant to Section 906 of the Sarbanes-</w:t>
            </w:r>
          </w:p>
        </w:tc>
        <w:tc>
          <w:tcPr>
            <w:tcW w:w="0" w:type="dxa"/>
            <w:vAlign w:val="bottom"/>
          </w:tcPr>
          <w:p>
            <w:pPr>
              <w:spacing w:after="0"/>
              <w:rPr>
                <w:sz w:val="1"/>
                <w:szCs w:val="1"/>
                <w:color w:val="auto"/>
              </w:rPr>
            </w:pPr>
          </w:p>
        </w:tc>
      </w:tr>
      <w:tr>
        <w:trPr>
          <w:trHeight w:val="169"/>
        </w:trPr>
        <w:tc>
          <w:tcPr>
            <w:tcW w:w="1200" w:type="dxa"/>
            <w:vAlign w:val="bottom"/>
            <w:vMerge w:val="restart"/>
          </w:tcPr>
          <w:p>
            <w:pPr>
              <w:jc w:val="center"/>
              <w:spacing w:after="0"/>
              <w:rPr>
                <w:sz w:val="20"/>
                <w:szCs w:val="20"/>
                <w:color w:val="auto"/>
              </w:rPr>
            </w:pPr>
            <w:r>
              <w:rPr>
                <w:rFonts w:ascii="Arial" w:cs="Arial" w:eastAsia="Arial" w:hAnsi="Arial"/>
                <w:sz w:val="18"/>
                <w:szCs w:val="18"/>
                <w:color w:val="auto"/>
                <w:w w:val="94"/>
              </w:rPr>
              <w:t>101.INS*</w:t>
            </w:r>
          </w:p>
        </w:tc>
        <w:tc>
          <w:tcPr>
            <w:tcW w:w="120" w:type="dxa"/>
            <w:vAlign w:val="bottom"/>
          </w:tcPr>
          <w:p>
            <w:pPr>
              <w:spacing w:after="0"/>
              <w:rPr>
                <w:sz w:val="14"/>
                <w:szCs w:val="14"/>
                <w:color w:val="auto"/>
              </w:rPr>
            </w:pPr>
          </w:p>
        </w:tc>
        <w:tc>
          <w:tcPr>
            <w:tcW w:w="9580" w:type="dxa"/>
            <w:vAlign w:val="bottom"/>
            <w:tcBorders>
              <w:top w:val="single" w:sz="8" w:color="0000FF"/>
            </w:tcBorders>
            <w:gridSpan w:val="22"/>
          </w:tcPr>
          <w:p>
            <w:pPr>
              <w:spacing w:after="0" w:line="169" w:lineRule="exact"/>
              <w:rPr>
                <w:sz w:val="20"/>
                <w:szCs w:val="20"/>
                <w:color w:val="auto"/>
              </w:rPr>
            </w:pPr>
            <w:r>
              <w:rPr>
                <w:rFonts w:ascii="Arial" w:cs="Arial" w:eastAsia="Arial" w:hAnsi="Arial"/>
                <w:sz w:val="18"/>
                <w:szCs w:val="18"/>
                <w:color w:val="0000FF"/>
              </w:rPr>
              <w:t>Oxley Act of 2002.</w:t>
            </w:r>
          </w:p>
        </w:tc>
        <w:tc>
          <w:tcPr>
            <w:tcW w:w="340" w:type="dxa"/>
            <w:vAlign w:val="bottom"/>
            <w:gridSpan w:val="10"/>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0" w:type="dxa"/>
            <w:vAlign w:val="bottom"/>
            <w:vMerge w:val="continue"/>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EE"/>
            </w:tcBorders>
            <w:gridSpan w:val="3"/>
            <w:shd w:val="clear" w:color="auto" w:fill="0000FF"/>
          </w:tcPr>
          <w:p>
            <w:pPr>
              <w:spacing w:after="0" w:line="20" w:lineRule="exact"/>
              <w:rPr>
                <w:sz w:val="1"/>
                <w:szCs w:val="1"/>
                <w:color w:val="auto"/>
              </w:rPr>
            </w:pPr>
          </w:p>
        </w:tc>
        <w:tc>
          <w:tcPr>
            <w:tcW w:w="8520" w:type="dxa"/>
            <w:vAlign w:val="bottom"/>
            <w:gridSpan w:val="2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2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9920" w:type="dxa"/>
            <w:vAlign w:val="bottom"/>
            <w:gridSpan w:val="32"/>
          </w:tcPr>
          <w:p>
            <w:pPr>
              <w:spacing w:after="0" w:line="182" w:lineRule="exact"/>
              <w:rPr>
                <w:sz w:val="20"/>
                <w:szCs w:val="20"/>
                <w:color w:val="auto"/>
              </w:rPr>
            </w:pPr>
            <w:r>
              <w:rPr>
                <w:rFonts w:ascii="Arial" w:cs="Arial" w:eastAsia="Arial" w:hAnsi="Arial"/>
                <w:sz w:val="18"/>
                <w:szCs w:val="18"/>
                <w:color w:val="auto"/>
                <w:w w:val="90"/>
              </w:rPr>
              <w:t>Inline XBRL Instance Document – the instance document does not appear in the Interactive Data File because XBRL tags are embedded</w:t>
            </w:r>
          </w:p>
        </w:tc>
        <w:tc>
          <w:tcPr>
            <w:tcW w:w="0" w:type="dxa"/>
            <w:vAlign w:val="bottom"/>
          </w:tcPr>
          <w:p>
            <w:pPr>
              <w:spacing w:after="0"/>
              <w:rPr>
                <w:sz w:val="1"/>
                <w:szCs w:val="1"/>
                <w:color w:val="auto"/>
              </w:rPr>
            </w:pPr>
          </w:p>
        </w:tc>
      </w:tr>
      <w:tr>
        <w:trPr>
          <w:trHeight w:val="202"/>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20" w:type="dxa"/>
            <w:vAlign w:val="bottom"/>
            <w:gridSpan w:val="32"/>
          </w:tcPr>
          <w:p>
            <w:pPr>
              <w:spacing w:after="0" w:line="202" w:lineRule="exact"/>
              <w:rPr>
                <w:sz w:val="20"/>
                <w:szCs w:val="20"/>
                <w:color w:val="auto"/>
              </w:rPr>
            </w:pPr>
            <w:r>
              <w:rPr>
                <w:rFonts w:ascii="Arial" w:cs="Arial" w:eastAsia="Arial" w:hAnsi="Arial"/>
                <w:sz w:val="18"/>
                <w:szCs w:val="18"/>
                <w:color w:val="auto"/>
              </w:rPr>
              <w:t>within the Inline XBRL document.</w:t>
            </w:r>
          </w:p>
        </w:tc>
        <w:tc>
          <w:tcPr>
            <w:tcW w:w="0" w:type="dxa"/>
            <w:vAlign w:val="bottom"/>
          </w:tcPr>
          <w:p>
            <w:pPr>
              <w:spacing w:after="0"/>
              <w:rPr>
                <w:sz w:val="1"/>
                <w:szCs w:val="1"/>
                <w:color w:val="auto"/>
              </w:rPr>
            </w:pPr>
          </w:p>
        </w:tc>
      </w:tr>
      <w:tr>
        <w:trPr>
          <w:trHeight w:val="202"/>
        </w:trPr>
        <w:tc>
          <w:tcPr>
            <w:tcW w:w="1200" w:type="dxa"/>
            <w:vAlign w:val="bottom"/>
          </w:tcPr>
          <w:p>
            <w:pPr>
              <w:jc w:val="center"/>
              <w:spacing w:after="0" w:line="202" w:lineRule="exact"/>
              <w:rPr>
                <w:sz w:val="20"/>
                <w:szCs w:val="20"/>
                <w:color w:val="auto"/>
              </w:rPr>
            </w:pPr>
            <w:r>
              <w:rPr>
                <w:rFonts w:ascii="Arial" w:cs="Arial" w:eastAsia="Arial" w:hAnsi="Arial"/>
                <w:sz w:val="18"/>
                <w:szCs w:val="18"/>
                <w:color w:val="auto"/>
                <w:w w:val="94"/>
              </w:rPr>
              <w:t>101.SCH*</w:t>
            </w:r>
          </w:p>
        </w:tc>
        <w:tc>
          <w:tcPr>
            <w:tcW w:w="120" w:type="dxa"/>
            <w:vAlign w:val="bottom"/>
          </w:tcPr>
          <w:p>
            <w:pPr>
              <w:spacing w:after="0"/>
              <w:rPr>
                <w:sz w:val="17"/>
                <w:szCs w:val="17"/>
                <w:color w:val="auto"/>
              </w:rPr>
            </w:pPr>
          </w:p>
        </w:tc>
        <w:tc>
          <w:tcPr>
            <w:tcW w:w="9920" w:type="dxa"/>
            <w:vAlign w:val="bottom"/>
            <w:gridSpan w:val="32"/>
          </w:tcPr>
          <w:p>
            <w:pPr>
              <w:spacing w:after="0" w:line="202" w:lineRule="exact"/>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02"/>
        </w:trPr>
        <w:tc>
          <w:tcPr>
            <w:tcW w:w="1200" w:type="dxa"/>
            <w:vAlign w:val="bottom"/>
          </w:tcPr>
          <w:p>
            <w:pPr>
              <w:jc w:val="center"/>
              <w:spacing w:after="0" w:line="202" w:lineRule="exact"/>
              <w:rPr>
                <w:sz w:val="20"/>
                <w:szCs w:val="20"/>
                <w:color w:val="auto"/>
              </w:rPr>
            </w:pPr>
            <w:r>
              <w:rPr>
                <w:rFonts w:ascii="Arial" w:cs="Arial" w:eastAsia="Arial" w:hAnsi="Arial"/>
                <w:sz w:val="18"/>
                <w:szCs w:val="18"/>
                <w:color w:val="auto"/>
                <w:w w:val="98"/>
              </w:rPr>
              <w:t>101.CAL*</w:t>
            </w:r>
          </w:p>
        </w:tc>
        <w:tc>
          <w:tcPr>
            <w:tcW w:w="120" w:type="dxa"/>
            <w:vAlign w:val="bottom"/>
          </w:tcPr>
          <w:p>
            <w:pPr>
              <w:spacing w:after="0"/>
              <w:rPr>
                <w:sz w:val="17"/>
                <w:szCs w:val="17"/>
                <w:color w:val="auto"/>
              </w:rPr>
            </w:pPr>
          </w:p>
        </w:tc>
        <w:tc>
          <w:tcPr>
            <w:tcW w:w="9920" w:type="dxa"/>
            <w:vAlign w:val="bottom"/>
            <w:gridSpan w:val="32"/>
          </w:tcPr>
          <w:p>
            <w:pPr>
              <w:spacing w:after="0" w:line="202" w:lineRule="exact"/>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02"/>
        </w:trPr>
        <w:tc>
          <w:tcPr>
            <w:tcW w:w="1200" w:type="dxa"/>
            <w:vAlign w:val="bottom"/>
          </w:tcPr>
          <w:p>
            <w:pPr>
              <w:jc w:val="center"/>
              <w:spacing w:after="0" w:line="202" w:lineRule="exact"/>
              <w:rPr>
                <w:sz w:val="20"/>
                <w:szCs w:val="20"/>
                <w:color w:val="auto"/>
              </w:rPr>
            </w:pPr>
            <w:r>
              <w:rPr>
                <w:rFonts w:ascii="Arial" w:cs="Arial" w:eastAsia="Arial" w:hAnsi="Arial"/>
                <w:sz w:val="18"/>
                <w:szCs w:val="18"/>
                <w:color w:val="auto"/>
                <w:w w:val="97"/>
              </w:rPr>
              <w:t>101.DEF*</w:t>
            </w:r>
          </w:p>
        </w:tc>
        <w:tc>
          <w:tcPr>
            <w:tcW w:w="120" w:type="dxa"/>
            <w:vAlign w:val="bottom"/>
          </w:tcPr>
          <w:p>
            <w:pPr>
              <w:spacing w:after="0"/>
              <w:rPr>
                <w:sz w:val="17"/>
                <w:szCs w:val="17"/>
                <w:color w:val="auto"/>
              </w:rPr>
            </w:pPr>
          </w:p>
        </w:tc>
        <w:tc>
          <w:tcPr>
            <w:tcW w:w="9920" w:type="dxa"/>
            <w:vAlign w:val="bottom"/>
            <w:gridSpan w:val="32"/>
          </w:tcPr>
          <w:p>
            <w:pPr>
              <w:spacing w:after="0" w:line="202" w:lineRule="exact"/>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02"/>
        </w:trPr>
        <w:tc>
          <w:tcPr>
            <w:tcW w:w="1200" w:type="dxa"/>
            <w:vAlign w:val="bottom"/>
          </w:tcPr>
          <w:p>
            <w:pPr>
              <w:jc w:val="center"/>
              <w:spacing w:after="0" w:line="202" w:lineRule="exact"/>
              <w:rPr>
                <w:sz w:val="20"/>
                <w:szCs w:val="20"/>
                <w:color w:val="auto"/>
              </w:rPr>
            </w:pPr>
            <w:r>
              <w:rPr>
                <w:rFonts w:ascii="Arial" w:cs="Arial" w:eastAsia="Arial" w:hAnsi="Arial"/>
                <w:sz w:val="18"/>
                <w:szCs w:val="18"/>
                <w:color w:val="auto"/>
                <w:w w:val="99"/>
              </w:rPr>
              <w:t>101.LAB*</w:t>
            </w:r>
          </w:p>
        </w:tc>
        <w:tc>
          <w:tcPr>
            <w:tcW w:w="120" w:type="dxa"/>
            <w:vAlign w:val="bottom"/>
          </w:tcPr>
          <w:p>
            <w:pPr>
              <w:spacing w:after="0"/>
              <w:rPr>
                <w:sz w:val="17"/>
                <w:szCs w:val="17"/>
                <w:color w:val="auto"/>
              </w:rPr>
            </w:pPr>
          </w:p>
        </w:tc>
        <w:tc>
          <w:tcPr>
            <w:tcW w:w="9920" w:type="dxa"/>
            <w:vAlign w:val="bottom"/>
            <w:gridSpan w:val="32"/>
          </w:tcPr>
          <w:p>
            <w:pPr>
              <w:spacing w:after="0" w:line="202" w:lineRule="exact"/>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30"/>
        </w:trPr>
        <w:tc>
          <w:tcPr>
            <w:tcW w:w="1200" w:type="dxa"/>
            <w:vAlign w:val="bottom"/>
          </w:tcPr>
          <w:p>
            <w:pPr>
              <w:jc w:val="center"/>
              <w:spacing w:after="0"/>
              <w:rPr>
                <w:sz w:val="20"/>
                <w:szCs w:val="20"/>
                <w:color w:val="auto"/>
              </w:rPr>
            </w:pPr>
            <w:r>
              <w:rPr>
                <w:rFonts w:ascii="Arial" w:cs="Arial" w:eastAsia="Arial" w:hAnsi="Arial"/>
                <w:sz w:val="18"/>
                <w:szCs w:val="18"/>
                <w:color w:val="auto"/>
                <w:w w:val="91"/>
              </w:rPr>
              <w:t>101.PRE*</w:t>
            </w:r>
          </w:p>
        </w:tc>
        <w:tc>
          <w:tcPr>
            <w:tcW w:w="120" w:type="dxa"/>
            <w:vAlign w:val="bottom"/>
          </w:tcPr>
          <w:p>
            <w:pPr>
              <w:spacing w:after="0"/>
              <w:rPr>
                <w:sz w:val="20"/>
                <w:szCs w:val="20"/>
                <w:color w:val="auto"/>
              </w:rPr>
            </w:pPr>
          </w:p>
        </w:tc>
        <w:tc>
          <w:tcPr>
            <w:tcW w:w="9920" w:type="dxa"/>
            <w:vAlign w:val="bottom"/>
            <w:gridSpan w:val="32"/>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647"/>
        </w:trPr>
        <w:tc>
          <w:tcPr>
            <w:tcW w:w="1200" w:type="dxa"/>
            <w:vAlign w:val="bottom"/>
          </w:tcPr>
          <w:p>
            <w:pPr>
              <w:spacing w:after="0"/>
              <w:rPr>
                <w:sz w:val="24"/>
                <w:szCs w:val="24"/>
                <w:color w:val="auto"/>
              </w:rPr>
            </w:pPr>
          </w:p>
        </w:tc>
        <w:tc>
          <w:tcPr>
            <w:tcW w:w="5100" w:type="dxa"/>
            <w:vAlign w:val="bottom"/>
            <w:gridSpan w:val="6"/>
          </w:tcPr>
          <w:p>
            <w:pPr>
              <w:jc w:val="right"/>
              <w:ind w:right="490"/>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94967277"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2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22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58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294967277"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bookmarkStart w:id="30" w:name="page31"/>
    <w:bookmarkEnd w:id="30"/>
    <w:p>
      <w:pPr>
        <w:ind w:left="420"/>
        <w:spacing w:after="0"/>
        <w:tabs>
          <w:tab w:leader="none" w:pos="13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95059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0">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03" w:lineRule="exact"/>
        <w:rPr>
          <w:sz w:val="20"/>
          <w:szCs w:val="20"/>
          <w:color w:val="auto"/>
        </w:rPr>
      </w:pPr>
    </w:p>
    <w:p>
      <w:pPr>
        <w:ind w:left="520" w:hanging="512"/>
        <w:spacing w:after="0" w:line="255" w:lineRule="auto"/>
        <w:tabs>
          <w:tab w:leader="none" w:pos="146" w:val="left"/>
        </w:tabs>
        <w:numPr>
          <w:ilvl w:val="0"/>
          <w:numId w:val="23"/>
        </w:numPr>
        <w:rPr>
          <w:rFonts w:ascii="Arial" w:cs="Arial" w:eastAsia="Arial" w:hAnsi="Arial"/>
          <w:sz w:val="18"/>
          <w:szCs w:val="18"/>
          <w:color w:val="auto"/>
        </w:rPr>
      </w:pPr>
      <w:r>
        <w:rPr>
          <w:rFonts w:ascii="Arial" w:cs="Arial" w:eastAsia="Arial" w:hAnsi="Arial"/>
          <w:sz w:val="18"/>
          <w:szCs w:val="18"/>
          <w:color w:val="auto"/>
        </w:rPr>
        <w:t>Document has been furnished, is not deemed filed and is not to be incorporated by reference into any of the Company’s filings under the Securities Act of 1933, as amended, or the Securities Exchange Act of 1934, as amended, irrespective of any general incorporation language contained in any such filing.</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14" w:right="37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ind w:left="380" w:right="6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7560" w:type="dxa"/>
            <w:vAlign w:val="bottom"/>
            <w:gridSpan w:val="2"/>
          </w:tcPr>
          <w:p>
            <w:pPr>
              <w:ind w:left="1780"/>
              <w:spacing w:after="0"/>
              <w:rPr>
                <w:sz w:val="20"/>
                <w:szCs w:val="20"/>
                <w:color w:val="auto"/>
              </w:rPr>
            </w:pPr>
            <w:r>
              <w:rPr>
                <w:rFonts w:ascii="Arial" w:cs="Arial" w:eastAsia="Arial" w:hAnsi="Arial"/>
                <w:sz w:val="18"/>
                <w:szCs w:val="18"/>
                <w:b w:val="1"/>
                <w:bCs w:val="1"/>
                <w:color w:val="auto"/>
              </w:rPr>
              <w:t>COLUMBIA CARE INC</w:t>
            </w:r>
          </w:p>
        </w:tc>
      </w:tr>
      <w:tr>
        <w:trPr>
          <w:trHeight w:val="404"/>
        </w:trPr>
        <w:tc>
          <w:tcPr>
            <w:tcW w:w="3680" w:type="dxa"/>
            <w:vAlign w:val="bottom"/>
          </w:tcPr>
          <w:p>
            <w:pPr>
              <w:ind w:left="20"/>
              <w:spacing w:after="0"/>
              <w:rPr>
                <w:sz w:val="20"/>
                <w:szCs w:val="20"/>
                <w:color w:val="auto"/>
              </w:rPr>
            </w:pPr>
            <w:r>
              <w:rPr>
                <w:rFonts w:ascii="Arial" w:cs="Arial" w:eastAsia="Arial" w:hAnsi="Arial"/>
                <w:sz w:val="18"/>
                <w:szCs w:val="18"/>
                <w:color w:val="auto"/>
              </w:rPr>
              <w:t>Date: November 14, 2022</w:t>
            </w:r>
          </w:p>
        </w:tc>
        <w:tc>
          <w:tcPr>
            <w:tcW w:w="2120" w:type="dxa"/>
            <w:vAlign w:val="bottom"/>
          </w:tcPr>
          <w:p>
            <w:pPr>
              <w:ind w:left="1780"/>
              <w:spacing w:after="0"/>
              <w:rPr>
                <w:sz w:val="20"/>
                <w:szCs w:val="20"/>
                <w:color w:val="auto"/>
              </w:rPr>
            </w:pPr>
            <w:r>
              <w:rPr>
                <w:rFonts w:ascii="Arial" w:cs="Arial" w:eastAsia="Arial" w:hAnsi="Arial"/>
                <w:sz w:val="18"/>
                <w:szCs w:val="18"/>
                <w:color w:val="auto"/>
              </w:rPr>
              <w:t>By:</w:t>
            </w:r>
          </w:p>
        </w:tc>
        <w:tc>
          <w:tcPr>
            <w:tcW w:w="5440" w:type="dxa"/>
            <w:vAlign w:val="bottom"/>
            <w:tcBorders>
              <w:bottom w:val="single" w:sz="8" w:color="auto"/>
            </w:tcBorders>
          </w:tcPr>
          <w:p>
            <w:pPr>
              <w:ind w:left="2120"/>
              <w:spacing w:after="0"/>
              <w:rPr>
                <w:sz w:val="20"/>
                <w:szCs w:val="20"/>
                <w:color w:val="auto"/>
              </w:rPr>
            </w:pPr>
            <w:r>
              <w:rPr>
                <w:rFonts w:ascii="Arial" w:cs="Arial" w:eastAsia="Arial" w:hAnsi="Arial"/>
                <w:sz w:val="18"/>
                <w:szCs w:val="18"/>
                <w:color w:val="auto"/>
              </w:rPr>
              <w:t>/s/ Nicholas Vita</w:t>
            </w:r>
          </w:p>
        </w:tc>
      </w:tr>
      <w:tr>
        <w:trPr>
          <w:trHeight w:val="164"/>
        </w:trPr>
        <w:tc>
          <w:tcPr>
            <w:tcW w:w="36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5440" w:type="dxa"/>
            <w:vAlign w:val="bottom"/>
          </w:tcPr>
          <w:p>
            <w:pPr>
              <w:ind w:left="20"/>
              <w:spacing w:after="0" w:line="164" w:lineRule="exact"/>
              <w:rPr>
                <w:sz w:val="20"/>
                <w:szCs w:val="20"/>
                <w:color w:val="auto"/>
              </w:rPr>
            </w:pPr>
            <w:r>
              <w:rPr>
                <w:rFonts w:ascii="Arial" w:cs="Arial" w:eastAsia="Arial" w:hAnsi="Arial"/>
                <w:sz w:val="18"/>
                <w:szCs w:val="18"/>
                <w:b w:val="1"/>
                <w:bCs w:val="1"/>
                <w:color w:val="auto"/>
              </w:rPr>
              <w:t>Nicholas Vita</w:t>
            </w:r>
          </w:p>
        </w:tc>
      </w:tr>
      <w:tr>
        <w:trPr>
          <w:trHeight w:val="234"/>
        </w:trPr>
        <w:tc>
          <w:tcPr>
            <w:tcW w:w="36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5440" w:type="dxa"/>
            <w:vAlign w:val="bottom"/>
          </w:tcPr>
          <w:p>
            <w:pPr>
              <w:ind w:left="20"/>
              <w:spacing w:after="0"/>
              <w:rPr>
                <w:sz w:val="20"/>
                <w:szCs w:val="20"/>
                <w:color w:val="auto"/>
              </w:rPr>
            </w:pPr>
            <w:r>
              <w:rPr>
                <w:rFonts w:ascii="Arial" w:cs="Arial" w:eastAsia="Arial" w:hAnsi="Arial"/>
                <w:sz w:val="18"/>
                <w:szCs w:val="18"/>
                <w:b w:val="1"/>
                <w:bCs w:val="1"/>
                <w:color w:val="auto"/>
              </w:rPr>
              <w:t>Chief Executive Officer and Director</w:t>
            </w:r>
          </w:p>
        </w:tc>
      </w:tr>
      <w:tr>
        <w:trPr>
          <w:trHeight w:val="404"/>
        </w:trPr>
        <w:tc>
          <w:tcPr>
            <w:tcW w:w="3680" w:type="dxa"/>
            <w:vAlign w:val="bottom"/>
          </w:tcPr>
          <w:p>
            <w:pPr>
              <w:ind w:left="20"/>
              <w:spacing w:after="0"/>
              <w:rPr>
                <w:sz w:val="20"/>
                <w:szCs w:val="20"/>
                <w:color w:val="auto"/>
              </w:rPr>
            </w:pPr>
            <w:r>
              <w:rPr>
                <w:rFonts w:ascii="Arial" w:cs="Arial" w:eastAsia="Arial" w:hAnsi="Arial"/>
                <w:sz w:val="18"/>
                <w:szCs w:val="18"/>
                <w:color w:val="auto"/>
              </w:rPr>
              <w:t>Date: November 14, 2022</w:t>
            </w:r>
          </w:p>
        </w:tc>
        <w:tc>
          <w:tcPr>
            <w:tcW w:w="2120" w:type="dxa"/>
            <w:vAlign w:val="bottom"/>
          </w:tcPr>
          <w:p>
            <w:pPr>
              <w:ind w:left="1780"/>
              <w:spacing w:after="0"/>
              <w:rPr>
                <w:sz w:val="20"/>
                <w:szCs w:val="20"/>
                <w:color w:val="auto"/>
              </w:rPr>
            </w:pPr>
            <w:r>
              <w:rPr>
                <w:rFonts w:ascii="Arial" w:cs="Arial" w:eastAsia="Arial" w:hAnsi="Arial"/>
                <w:sz w:val="18"/>
                <w:szCs w:val="18"/>
                <w:color w:val="auto"/>
              </w:rPr>
              <w:t>By:</w:t>
            </w:r>
          </w:p>
        </w:tc>
        <w:tc>
          <w:tcPr>
            <w:tcW w:w="5440" w:type="dxa"/>
            <w:vAlign w:val="bottom"/>
            <w:tcBorders>
              <w:bottom w:val="single" w:sz="8" w:color="auto"/>
            </w:tcBorders>
          </w:tcPr>
          <w:p>
            <w:pPr>
              <w:ind w:left="2100"/>
              <w:spacing w:after="0"/>
              <w:rPr>
                <w:sz w:val="20"/>
                <w:szCs w:val="20"/>
                <w:color w:val="auto"/>
              </w:rPr>
            </w:pPr>
            <w:r>
              <w:rPr>
                <w:rFonts w:ascii="Arial" w:cs="Arial" w:eastAsia="Arial" w:hAnsi="Arial"/>
                <w:sz w:val="18"/>
                <w:szCs w:val="18"/>
                <w:color w:val="auto"/>
              </w:rPr>
              <w:t>/s/ Derek Watson</w:t>
            </w:r>
          </w:p>
        </w:tc>
      </w:tr>
      <w:tr>
        <w:trPr>
          <w:trHeight w:val="164"/>
        </w:trPr>
        <w:tc>
          <w:tcPr>
            <w:tcW w:w="36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5440" w:type="dxa"/>
            <w:vAlign w:val="bottom"/>
          </w:tcPr>
          <w:p>
            <w:pPr>
              <w:ind w:left="20"/>
              <w:spacing w:after="0" w:line="164" w:lineRule="exact"/>
              <w:rPr>
                <w:sz w:val="20"/>
                <w:szCs w:val="20"/>
                <w:color w:val="auto"/>
              </w:rPr>
            </w:pPr>
            <w:r>
              <w:rPr>
                <w:rFonts w:ascii="Arial" w:cs="Arial" w:eastAsia="Arial" w:hAnsi="Arial"/>
                <w:sz w:val="18"/>
                <w:szCs w:val="18"/>
                <w:b w:val="1"/>
                <w:bCs w:val="1"/>
                <w:color w:val="auto"/>
              </w:rPr>
              <w:t>Derek Watson</w:t>
            </w:r>
          </w:p>
        </w:tc>
      </w:tr>
      <w:tr>
        <w:trPr>
          <w:trHeight w:val="234"/>
        </w:trPr>
        <w:tc>
          <w:tcPr>
            <w:tcW w:w="36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5440" w:type="dxa"/>
            <w:vAlign w:val="bottom"/>
          </w:tcPr>
          <w:p>
            <w:pPr>
              <w:ind w:left="20"/>
              <w:spacing w:after="0"/>
              <w:rPr>
                <w:sz w:val="20"/>
                <w:szCs w:val="20"/>
                <w:color w:val="auto"/>
              </w:rPr>
            </w:pPr>
            <w:r>
              <w:rPr>
                <w:rFonts w:ascii="Arial" w:cs="Arial" w:eastAsia="Arial" w:hAnsi="Arial"/>
                <w:sz w:val="18"/>
                <w:szCs w:val="18"/>
                <w:b w:val="1"/>
                <w:bCs w:val="1"/>
                <w:color w:val="auto"/>
              </w:rPr>
              <w:t>Chief Financial Officer</w:t>
            </w:r>
          </w:p>
        </w:tc>
      </w:tr>
      <w:tr>
        <w:trPr>
          <w:trHeight w:val="647"/>
        </w:trPr>
        <w:tc>
          <w:tcPr>
            <w:tcW w:w="3680" w:type="dxa"/>
            <w:vAlign w:val="bottom"/>
          </w:tcPr>
          <w:p>
            <w:pPr>
              <w:spacing w:after="0"/>
              <w:rPr>
                <w:sz w:val="24"/>
                <w:szCs w:val="24"/>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31</w:t>
            </w:r>
          </w:p>
        </w:tc>
        <w:tc>
          <w:tcPr>
            <w:tcW w:w="5440" w:type="dxa"/>
            <w:vAlign w:val="bottom"/>
          </w:tcPr>
          <w:p>
            <w:pPr>
              <w:spacing w:after="0"/>
              <w:rPr>
                <w:sz w:val="24"/>
                <w:szCs w:val="24"/>
                <w:color w:val="auto"/>
              </w:rPr>
            </w:pPr>
          </w:p>
        </w:tc>
      </w:tr>
      <w:tr>
        <w:trPr>
          <w:trHeight w:val="101"/>
        </w:trPr>
        <w:tc>
          <w:tcPr>
            <w:tcW w:w="3680" w:type="dxa"/>
            <w:vAlign w:val="bottom"/>
            <w:tcBorders>
              <w:bottom w:val="single" w:sz="8" w:color="9A9A9A"/>
            </w:tcBorders>
          </w:tcPr>
          <w:p>
            <w:pPr>
              <w:spacing w:after="0"/>
              <w:rPr>
                <w:sz w:val="8"/>
                <w:szCs w:val="8"/>
                <w:color w:val="auto"/>
              </w:rPr>
            </w:pPr>
          </w:p>
        </w:tc>
        <w:tc>
          <w:tcPr>
            <w:tcW w:w="2120" w:type="dxa"/>
            <w:vAlign w:val="bottom"/>
            <w:tcBorders>
              <w:bottom w:val="single" w:sz="8" w:color="9A9A9A"/>
            </w:tcBorders>
          </w:tcPr>
          <w:p>
            <w:pPr>
              <w:spacing w:after="0"/>
              <w:rPr>
                <w:sz w:val="8"/>
                <w:szCs w:val="8"/>
                <w:color w:val="auto"/>
              </w:rPr>
            </w:pPr>
          </w:p>
        </w:tc>
        <w:tc>
          <w:tcPr>
            <w:tcW w:w="54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31.1</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6"/>
          <w:szCs w:val="16"/>
          <w:color w:val="auto"/>
        </w:rPr>
        <w:t>Nicholas Vita</w:t>
      </w:r>
      <w:r>
        <w:rPr>
          <w:rFonts w:ascii="Arial" w:cs="Arial" w:eastAsia="Arial" w:hAnsi="Arial"/>
          <w:sz w:val="18"/>
          <w:szCs w:val="18"/>
          <w:color w:val="auto"/>
        </w:rPr>
        <w:t>, certify that:</w:t>
      </w:r>
    </w:p>
    <w:p>
      <w:pPr>
        <w:spacing w:after="0" w:line="103" w:lineRule="exact"/>
        <w:rPr>
          <w:sz w:val="20"/>
          <w:szCs w:val="20"/>
          <w:color w:val="auto"/>
        </w:rPr>
      </w:pPr>
    </w:p>
    <w:p>
      <w:pPr>
        <w:ind w:left="520" w:hanging="512"/>
        <w:spacing w:after="0"/>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Columbia Care Inc.;</w:t>
      </w:r>
    </w:p>
    <w:p>
      <w:pPr>
        <w:spacing w:after="0" w:line="116" w:lineRule="exact"/>
        <w:rPr>
          <w:rFonts w:ascii="Arial" w:cs="Arial" w:eastAsia="Arial" w:hAnsi="Arial"/>
          <w:sz w:val="18"/>
          <w:szCs w:val="18"/>
          <w:color w:val="auto"/>
        </w:rPr>
      </w:pPr>
    </w:p>
    <w:p>
      <w:pPr>
        <w:jc w:val="both"/>
        <w:ind w:left="520" w:right="260" w:hanging="512"/>
        <w:spacing w:after="0" w:line="247" w:lineRule="auto"/>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520" w:right="240" w:hanging="512"/>
        <w:spacing w:after="0" w:line="290" w:lineRule="auto"/>
        <w:tabs>
          <w:tab w:leader="none" w:pos="5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Arial" w:cs="Arial" w:eastAsia="Arial" w:hAnsi="Arial"/>
          <w:sz w:val="17"/>
          <w:szCs w:val="17"/>
          <w:color w:val="auto"/>
        </w:rPr>
      </w:pPr>
    </w:p>
    <w:p>
      <w:pPr>
        <w:jc w:val="both"/>
        <w:ind w:left="520" w:right="260" w:hanging="512"/>
        <w:spacing w:after="0" w:line="255" w:lineRule="auto"/>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Arial" w:cs="Arial" w:eastAsia="Arial" w:hAnsi="Arial"/>
          <w:sz w:val="18"/>
          <w:szCs w:val="18"/>
          <w:color w:val="auto"/>
        </w:rPr>
      </w:pPr>
    </w:p>
    <w:p>
      <w:pPr>
        <w:ind w:left="1020" w:right="20" w:hanging="504"/>
        <w:spacing w:after="0" w:line="255" w:lineRule="auto"/>
        <w:tabs>
          <w:tab w:leader="none" w:pos="10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Arial" w:cs="Arial" w:eastAsia="Arial" w:hAnsi="Arial"/>
          <w:sz w:val="18"/>
          <w:szCs w:val="18"/>
          <w:color w:val="auto"/>
        </w:rPr>
      </w:pPr>
    </w:p>
    <w:p>
      <w:pPr>
        <w:ind w:left="1020" w:right="340" w:hanging="504"/>
        <w:spacing w:after="0" w:line="255" w:lineRule="auto"/>
        <w:tabs>
          <w:tab w:leader="none" w:pos="10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Arial" w:cs="Arial" w:eastAsia="Arial" w:hAnsi="Arial"/>
          <w:sz w:val="18"/>
          <w:szCs w:val="18"/>
          <w:color w:val="auto"/>
        </w:rPr>
      </w:pPr>
    </w:p>
    <w:p>
      <w:pPr>
        <w:jc w:val="both"/>
        <w:ind w:left="1020" w:right="500" w:hanging="504"/>
        <w:spacing w:after="0" w:line="324" w:lineRule="auto"/>
        <w:tabs>
          <w:tab w:leader="none" w:pos="1020"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020" w:right="40" w:hanging="504"/>
        <w:spacing w:after="0" w:line="247" w:lineRule="auto"/>
        <w:tabs>
          <w:tab w:leader="none" w:pos="10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9" w:lineRule="exact"/>
        <w:rPr>
          <w:rFonts w:ascii="Arial" w:cs="Arial" w:eastAsia="Arial" w:hAnsi="Arial"/>
          <w:sz w:val="18"/>
          <w:szCs w:val="18"/>
          <w:color w:val="auto"/>
        </w:rPr>
      </w:pPr>
    </w:p>
    <w:p>
      <w:pPr>
        <w:ind w:left="520" w:right="240" w:hanging="512"/>
        <w:spacing w:after="0" w:line="324" w:lineRule="auto"/>
        <w:tabs>
          <w:tab w:leader="none" w:pos="5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020" w:right="740" w:hanging="504"/>
        <w:spacing w:after="0" w:line="341" w:lineRule="auto"/>
        <w:tabs>
          <w:tab w:leader="none" w:pos="1020" w:val="left"/>
        </w:tabs>
        <w:numPr>
          <w:ilvl w:val="1"/>
          <w:numId w:val="2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 w:lineRule="exact"/>
        <w:rPr>
          <w:rFonts w:ascii="Arial" w:cs="Arial" w:eastAsia="Arial" w:hAnsi="Arial"/>
          <w:sz w:val="16"/>
          <w:szCs w:val="16"/>
          <w:color w:val="auto"/>
        </w:rPr>
      </w:pPr>
    </w:p>
    <w:p>
      <w:pPr>
        <w:ind w:left="1020" w:right="460" w:hanging="504"/>
        <w:spacing w:after="0" w:line="261" w:lineRule="auto"/>
        <w:tabs>
          <w:tab w:leader="none" w:pos="10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20"/>
        <w:spacing w:after="0"/>
        <w:tabs>
          <w:tab w:leader="none" w:pos="5400" w:val="left"/>
          <w:tab w:leader="none" w:pos="7960" w:val="left"/>
        </w:tabs>
        <w:rPr>
          <w:sz w:val="20"/>
          <w:szCs w:val="20"/>
          <w:color w:val="auto"/>
        </w:rPr>
      </w:pPr>
      <w:r>
        <w:rPr>
          <w:rFonts w:ascii="Arial" w:cs="Arial" w:eastAsia="Arial" w:hAnsi="Arial"/>
          <w:sz w:val="18"/>
          <w:szCs w:val="18"/>
          <w:color w:val="auto"/>
        </w:rPr>
        <w:t>Date: November 14,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Nicholas Vita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3797935</wp:posOffset>
            </wp:positionH>
            <wp:positionV relativeFrom="paragraph">
              <wp:posOffset>14605</wp:posOffset>
            </wp:positionV>
            <wp:extent cx="333946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4">
                      <a:extLst>
                        <a:ext uri="{28A0092B-C50C-407E-A947-70E740481C1C}"/>
                      </a:extLst>
                    </a:blip>
                    <a:srcRect/>
                    <a:stretch>
                      <a:fillRect/>
                    </a:stretch>
                  </pic:blipFill>
                  <pic:spPr bwMode="auto">
                    <a:xfrm>
                      <a:off x="0" y="0"/>
                      <a:ext cx="3339465" cy="8255"/>
                    </a:xfrm>
                    <a:prstGeom prst="rect">
                      <a:avLst/>
                    </a:prstGeom>
                    <a:noFill/>
                  </pic:spPr>
                </pic:pic>
              </a:graphicData>
            </a:graphic>
          </wp:anchor>
        </w:drawing>
      </w:r>
    </w:p>
    <w:p>
      <w:pPr>
        <w:spacing w:after="0" w:line="17" w:lineRule="exact"/>
        <w:rPr>
          <w:sz w:val="20"/>
          <w:szCs w:val="20"/>
          <w:color w:val="auto"/>
        </w:rPr>
      </w:pPr>
    </w:p>
    <w:p>
      <w:pPr>
        <w:jc w:val="center"/>
        <w:ind w:left="5960"/>
        <w:spacing w:after="0"/>
        <w:rPr>
          <w:sz w:val="20"/>
          <w:szCs w:val="20"/>
          <w:color w:val="auto"/>
        </w:rPr>
      </w:pPr>
      <w:r>
        <w:rPr>
          <w:rFonts w:ascii="Arial" w:cs="Arial" w:eastAsia="Arial" w:hAnsi="Arial"/>
          <w:sz w:val="18"/>
          <w:szCs w:val="18"/>
          <w:b w:val="1"/>
          <w:bCs w:val="1"/>
          <w:color w:val="auto"/>
        </w:rPr>
        <w:t xml:space="preserve">Name: </w:t>
      </w:r>
      <w:r>
        <w:rPr>
          <w:rFonts w:ascii="Arial" w:cs="Arial" w:eastAsia="Arial" w:hAnsi="Arial"/>
          <w:sz w:val="16"/>
          <w:szCs w:val="16"/>
          <w:b w:val="1"/>
          <w:bCs w:val="1"/>
          <w:color w:val="auto"/>
        </w:rPr>
        <w:t>Nicholas Vita</w:t>
      </w:r>
    </w:p>
    <w:p>
      <w:pPr>
        <w:spacing w:after="0" w:line="9" w:lineRule="exact"/>
        <w:rPr>
          <w:sz w:val="20"/>
          <w:szCs w:val="20"/>
          <w:color w:val="auto"/>
        </w:rPr>
      </w:pPr>
    </w:p>
    <w:p>
      <w:pPr>
        <w:ind w:left="7700"/>
        <w:spacing w:after="0"/>
        <w:rPr>
          <w:sz w:val="20"/>
          <w:szCs w:val="20"/>
          <w:color w:val="auto"/>
        </w:rPr>
      </w:pPr>
      <w:r>
        <w:rPr>
          <w:rFonts w:ascii="Arial" w:cs="Arial" w:eastAsia="Arial" w:hAnsi="Arial"/>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318135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31.2</w:t>
      </w:r>
    </w:p>
    <w:p>
      <w:pPr>
        <w:spacing w:after="0" w:line="31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CERTIFICATION PURSUANT TO</w:t>
      </w:r>
    </w:p>
    <w:p>
      <w:pPr>
        <w:spacing w:after="0" w:line="24" w:lineRule="exact"/>
        <w:rPr>
          <w:sz w:val="20"/>
          <w:szCs w:val="20"/>
          <w:color w:val="auto"/>
        </w:rPr>
      </w:pPr>
    </w:p>
    <w:p>
      <w:pPr>
        <w:ind w:left="2100"/>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6"/>
          <w:szCs w:val="16"/>
          <w:color w:val="auto"/>
        </w:rPr>
        <w:t>Derek Watson</w:t>
      </w:r>
      <w:r>
        <w:rPr>
          <w:rFonts w:ascii="Arial" w:cs="Arial" w:eastAsia="Arial" w:hAnsi="Arial"/>
          <w:sz w:val="18"/>
          <w:szCs w:val="18"/>
          <w:color w:val="auto"/>
        </w:rPr>
        <w:t>, certify that:</w:t>
      </w:r>
    </w:p>
    <w:p>
      <w:pPr>
        <w:spacing w:after="0" w:line="117" w:lineRule="exact"/>
        <w:rPr>
          <w:sz w:val="20"/>
          <w:szCs w:val="20"/>
          <w:color w:val="auto"/>
        </w:rPr>
      </w:pPr>
    </w:p>
    <w:p>
      <w:pPr>
        <w:ind w:left="520" w:hanging="512"/>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of Columbia Care Inc.;</w:t>
      </w:r>
    </w:p>
    <w:p>
      <w:pPr>
        <w:spacing w:after="0" w:line="103" w:lineRule="exact"/>
        <w:rPr>
          <w:rFonts w:ascii="Arial" w:cs="Arial" w:eastAsia="Arial" w:hAnsi="Arial"/>
          <w:sz w:val="18"/>
          <w:szCs w:val="18"/>
          <w:color w:val="auto"/>
        </w:rPr>
      </w:pPr>
    </w:p>
    <w:p>
      <w:pPr>
        <w:jc w:val="both"/>
        <w:ind w:left="520" w:right="260" w:hanging="512"/>
        <w:spacing w:after="0" w:line="255" w:lineRule="auto"/>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Arial" w:cs="Arial" w:eastAsia="Arial" w:hAnsi="Arial"/>
          <w:sz w:val="18"/>
          <w:szCs w:val="18"/>
          <w:color w:val="auto"/>
        </w:rPr>
      </w:pPr>
    </w:p>
    <w:p>
      <w:pPr>
        <w:ind w:left="520" w:right="240" w:hanging="512"/>
        <w:spacing w:after="0" w:line="307" w:lineRule="auto"/>
        <w:tabs>
          <w:tab w:leader="none" w:pos="5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5" w:lineRule="exact"/>
        <w:rPr>
          <w:rFonts w:ascii="Arial" w:cs="Arial" w:eastAsia="Arial" w:hAnsi="Arial"/>
          <w:sz w:val="17"/>
          <w:szCs w:val="17"/>
          <w:color w:val="auto"/>
        </w:rPr>
      </w:pPr>
    </w:p>
    <w:p>
      <w:pPr>
        <w:jc w:val="both"/>
        <w:ind w:left="520" w:right="260" w:hanging="512"/>
        <w:spacing w:after="0" w:line="255" w:lineRule="auto"/>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Arial" w:cs="Arial" w:eastAsia="Arial" w:hAnsi="Arial"/>
          <w:sz w:val="18"/>
          <w:szCs w:val="18"/>
          <w:color w:val="auto"/>
        </w:rPr>
      </w:pPr>
    </w:p>
    <w:p>
      <w:pPr>
        <w:ind w:left="1020" w:right="20" w:hanging="504"/>
        <w:spacing w:after="0" w:line="247" w:lineRule="auto"/>
        <w:tabs>
          <w:tab w:leader="none" w:pos="10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1020" w:right="340" w:hanging="504"/>
        <w:spacing w:after="0" w:line="247" w:lineRule="auto"/>
        <w:tabs>
          <w:tab w:leader="none" w:pos="10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jc w:val="both"/>
        <w:ind w:left="1020" w:right="500" w:hanging="504"/>
        <w:spacing w:after="0" w:line="324" w:lineRule="auto"/>
        <w:tabs>
          <w:tab w:leader="none" w:pos="1020"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20" w:right="40" w:hanging="504"/>
        <w:spacing w:after="0" w:line="255" w:lineRule="auto"/>
        <w:tabs>
          <w:tab w:leader="none" w:pos="10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Arial" w:cs="Arial" w:eastAsia="Arial" w:hAnsi="Arial"/>
          <w:sz w:val="18"/>
          <w:szCs w:val="18"/>
          <w:color w:val="auto"/>
        </w:rPr>
      </w:pPr>
    </w:p>
    <w:p>
      <w:pPr>
        <w:ind w:left="520" w:right="240" w:hanging="512"/>
        <w:spacing w:after="0" w:line="341" w:lineRule="auto"/>
        <w:tabs>
          <w:tab w:leader="none" w:pos="5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 w:lineRule="exact"/>
        <w:rPr>
          <w:rFonts w:ascii="Arial" w:cs="Arial" w:eastAsia="Arial" w:hAnsi="Arial"/>
          <w:sz w:val="16"/>
          <w:szCs w:val="16"/>
          <w:color w:val="auto"/>
        </w:rPr>
      </w:pPr>
    </w:p>
    <w:p>
      <w:pPr>
        <w:ind w:left="1020" w:right="740" w:hanging="504"/>
        <w:spacing w:after="0" w:line="324" w:lineRule="auto"/>
        <w:tabs>
          <w:tab w:leader="none" w:pos="1020" w:val="left"/>
        </w:tabs>
        <w:numPr>
          <w:ilvl w:val="1"/>
          <w:numId w:val="2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020" w:right="460" w:hanging="504"/>
        <w:spacing w:after="0" w:line="261" w:lineRule="auto"/>
        <w:tabs>
          <w:tab w:leader="none" w:pos="10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ind w:left="20"/>
        <w:spacing w:after="0"/>
        <w:tabs>
          <w:tab w:leader="none" w:pos="5400" w:val="left"/>
          <w:tab w:leader="none" w:pos="7960" w:val="left"/>
        </w:tabs>
        <w:rPr>
          <w:sz w:val="20"/>
          <w:szCs w:val="20"/>
          <w:color w:val="auto"/>
        </w:rPr>
      </w:pPr>
      <w:r>
        <w:rPr>
          <w:rFonts w:ascii="Arial" w:cs="Arial" w:eastAsia="Arial" w:hAnsi="Arial"/>
          <w:sz w:val="18"/>
          <w:szCs w:val="18"/>
          <w:color w:val="auto"/>
        </w:rPr>
        <w:t>Date: November 14,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Derek Watson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3797935</wp:posOffset>
            </wp:positionH>
            <wp:positionV relativeFrom="paragraph">
              <wp:posOffset>14605</wp:posOffset>
            </wp:positionV>
            <wp:extent cx="333946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6">
                      <a:extLst>
                        <a:ext uri="{28A0092B-C50C-407E-A947-70E740481C1C}"/>
                      </a:extLst>
                    </a:blip>
                    <a:srcRect/>
                    <a:stretch>
                      <a:fillRect/>
                    </a:stretch>
                  </pic:blipFill>
                  <pic:spPr bwMode="auto">
                    <a:xfrm>
                      <a:off x="0" y="0"/>
                      <a:ext cx="3339465" cy="8255"/>
                    </a:xfrm>
                    <a:prstGeom prst="rect">
                      <a:avLst/>
                    </a:prstGeom>
                    <a:noFill/>
                  </pic:spPr>
                </pic:pic>
              </a:graphicData>
            </a:graphic>
          </wp:anchor>
        </w:drawing>
      </w:r>
    </w:p>
    <w:p>
      <w:pPr>
        <w:spacing w:after="0" w:line="17" w:lineRule="exact"/>
        <w:rPr>
          <w:sz w:val="20"/>
          <w:szCs w:val="20"/>
          <w:color w:val="auto"/>
        </w:rPr>
      </w:pPr>
    </w:p>
    <w:p>
      <w:pPr>
        <w:jc w:val="center"/>
        <w:ind w:left="5960"/>
        <w:spacing w:after="0"/>
        <w:rPr>
          <w:sz w:val="20"/>
          <w:szCs w:val="20"/>
          <w:color w:val="auto"/>
        </w:rPr>
      </w:pPr>
      <w:r>
        <w:rPr>
          <w:rFonts w:ascii="Arial" w:cs="Arial" w:eastAsia="Arial" w:hAnsi="Arial"/>
          <w:sz w:val="16"/>
          <w:szCs w:val="16"/>
          <w:b w:val="1"/>
          <w:bCs w:val="1"/>
          <w:color w:val="auto"/>
        </w:rPr>
        <w:t>Derek Watson</w:t>
      </w:r>
    </w:p>
    <w:p>
      <w:pPr>
        <w:spacing w:after="0" w:line="26" w:lineRule="exact"/>
        <w:rPr>
          <w:sz w:val="20"/>
          <w:szCs w:val="20"/>
          <w:color w:val="auto"/>
        </w:rPr>
      </w:pPr>
    </w:p>
    <w:p>
      <w:pPr>
        <w:ind w:left="772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32.1</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18 U.S.C. SECTION 1350, AS ADOPTED PURSUANT TO</w:t>
      </w: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9" w:lineRule="exact"/>
        <w:rPr>
          <w:sz w:val="20"/>
          <w:szCs w:val="20"/>
          <w:color w:val="auto"/>
        </w:rPr>
      </w:pPr>
    </w:p>
    <w:p>
      <w:pPr>
        <w:ind w:right="20" w:firstLine="509"/>
        <w:spacing w:after="0" w:line="247" w:lineRule="auto"/>
        <w:rPr>
          <w:sz w:val="20"/>
          <w:szCs w:val="20"/>
          <w:color w:val="auto"/>
        </w:rPr>
      </w:pPr>
      <w:r>
        <w:rPr>
          <w:rFonts w:ascii="Arial" w:cs="Arial" w:eastAsia="Arial" w:hAnsi="Arial"/>
          <w:sz w:val="18"/>
          <w:szCs w:val="18"/>
          <w:color w:val="auto"/>
        </w:rPr>
        <w:t>In connection with the Quarterly Report of Columbia Care Inc. (the “Company”) on Form 10-Q for the period ending September 30, 2022 as filed with the Securities and Exchange Commission on the date hereof (the “Report”), I certify, pursuant to 18 U.S.C. § 1350, as adopted pursuant to § 906 of the Sarbanes-Oxley Act of 2002, that:</w:t>
      </w:r>
    </w:p>
    <w:p>
      <w:pPr>
        <w:spacing w:after="0" w:line="197" w:lineRule="exact"/>
        <w:rPr>
          <w:sz w:val="20"/>
          <w:szCs w:val="20"/>
          <w:color w:val="auto"/>
        </w:rPr>
      </w:pPr>
    </w:p>
    <w:p>
      <w:pPr>
        <w:ind w:left="1020" w:hanging="504"/>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20" w:right="640" w:hanging="504"/>
        <w:spacing w:after="0" w:line="261"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57" w:lineRule="exact"/>
        <w:rPr>
          <w:sz w:val="20"/>
          <w:szCs w:val="20"/>
          <w:color w:val="auto"/>
        </w:rPr>
      </w:pPr>
    </w:p>
    <w:p>
      <w:pPr>
        <w:ind w:left="20"/>
        <w:spacing w:after="0"/>
        <w:tabs>
          <w:tab w:leader="none" w:pos="5560" w:val="left"/>
          <w:tab w:leader="none" w:pos="8000" w:val="left"/>
        </w:tabs>
        <w:rPr>
          <w:sz w:val="20"/>
          <w:szCs w:val="20"/>
          <w:color w:val="auto"/>
        </w:rPr>
      </w:pPr>
      <w:r>
        <w:rPr>
          <w:rFonts w:ascii="Arial" w:cs="Arial" w:eastAsia="Arial" w:hAnsi="Arial"/>
          <w:sz w:val="18"/>
          <w:szCs w:val="18"/>
          <w:color w:val="auto"/>
        </w:rPr>
        <w:t>Date: November 14,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Nicholas Vita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3832225</wp:posOffset>
            </wp:positionH>
            <wp:positionV relativeFrom="paragraph">
              <wp:posOffset>14605</wp:posOffset>
            </wp:positionV>
            <wp:extent cx="330517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8">
                      <a:extLst>
                        <a:ext uri="{28A0092B-C50C-407E-A947-70E740481C1C}"/>
                      </a:extLst>
                    </a:blip>
                    <a:srcRect/>
                    <a:stretch>
                      <a:fillRect/>
                    </a:stretch>
                  </pic:blipFill>
                  <pic:spPr bwMode="auto">
                    <a:xfrm>
                      <a:off x="0" y="0"/>
                      <a:ext cx="3305175" cy="8255"/>
                    </a:xfrm>
                    <a:prstGeom prst="rect">
                      <a:avLst/>
                    </a:prstGeom>
                    <a:noFill/>
                  </pic:spPr>
                </pic:pic>
              </a:graphicData>
            </a:graphic>
          </wp:anchor>
        </w:drawing>
      </w:r>
    </w:p>
    <w:p>
      <w:pPr>
        <w:spacing w:after="0" w:line="17" w:lineRule="exact"/>
        <w:rPr>
          <w:sz w:val="20"/>
          <w:szCs w:val="20"/>
          <w:color w:val="auto"/>
        </w:rPr>
      </w:pPr>
    </w:p>
    <w:p>
      <w:pPr>
        <w:jc w:val="center"/>
        <w:ind w:left="6020"/>
        <w:spacing w:after="0"/>
        <w:rPr>
          <w:sz w:val="20"/>
          <w:szCs w:val="20"/>
          <w:color w:val="auto"/>
        </w:rPr>
      </w:pPr>
      <w:r>
        <w:rPr>
          <w:rFonts w:ascii="Arial" w:cs="Arial" w:eastAsia="Arial" w:hAnsi="Arial"/>
          <w:sz w:val="16"/>
          <w:szCs w:val="16"/>
          <w:b w:val="1"/>
          <w:bCs w:val="1"/>
          <w:color w:val="auto"/>
        </w:rPr>
        <w:t>Nicholas Vita</w:t>
      </w:r>
    </w:p>
    <w:p>
      <w:pPr>
        <w:spacing w:after="0" w:line="6" w:lineRule="exact"/>
        <w:rPr>
          <w:sz w:val="20"/>
          <w:szCs w:val="20"/>
          <w:color w:val="auto"/>
        </w:rPr>
      </w:pPr>
    </w:p>
    <w:p>
      <w:pPr>
        <w:ind w:left="7740"/>
        <w:spacing w:after="0"/>
        <w:rPr>
          <w:sz w:val="20"/>
          <w:szCs w:val="20"/>
          <w:color w:val="auto"/>
        </w:rPr>
      </w:pPr>
      <w:r>
        <w:rPr>
          <w:rFonts w:ascii="Arial" w:cs="Arial" w:eastAsia="Arial" w:hAnsi="Arial"/>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32.2</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18 U.S.C. SECTION 1350, AS ADOPTED PURSUANT TO</w:t>
      </w: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9" w:lineRule="exact"/>
        <w:rPr>
          <w:sz w:val="20"/>
          <w:szCs w:val="20"/>
          <w:color w:val="auto"/>
        </w:rPr>
      </w:pPr>
    </w:p>
    <w:p>
      <w:pPr>
        <w:ind w:right="20" w:firstLine="509"/>
        <w:spacing w:after="0" w:line="247" w:lineRule="auto"/>
        <w:rPr>
          <w:sz w:val="20"/>
          <w:szCs w:val="20"/>
          <w:color w:val="auto"/>
        </w:rPr>
      </w:pPr>
      <w:r>
        <w:rPr>
          <w:rFonts w:ascii="Arial" w:cs="Arial" w:eastAsia="Arial" w:hAnsi="Arial"/>
          <w:sz w:val="18"/>
          <w:szCs w:val="18"/>
          <w:color w:val="auto"/>
        </w:rPr>
        <w:t>In connection with the Quarterly Report of Columbia Care Inc. (the “Company”) on Form 10-Q for the period ending September 30, 2022 as filed with the Securities and Exchange Commission on the date hereof (the “Report”), I certify, pursuant to 18 U.S.C. § 1350, as adopted pursuant to § 906 of the Sarbanes-Oxley Act of 2002, that:</w:t>
      </w:r>
    </w:p>
    <w:p>
      <w:pPr>
        <w:spacing w:after="0" w:line="197" w:lineRule="exact"/>
        <w:rPr>
          <w:sz w:val="20"/>
          <w:szCs w:val="20"/>
          <w:color w:val="auto"/>
        </w:rPr>
      </w:pPr>
    </w:p>
    <w:p>
      <w:pPr>
        <w:ind w:left="1020" w:hanging="504"/>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20" w:right="640" w:hanging="504"/>
        <w:spacing w:after="0" w:line="261"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57" w:lineRule="exact"/>
        <w:rPr>
          <w:sz w:val="20"/>
          <w:szCs w:val="20"/>
          <w:color w:val="auto"/>
        </w:rPr>
      </w:pPr>
    </w:p>
    <w:p>
      <w:pPr>
        <w:ind w:left="20"/>
        <w:spacing w:after="0"/>
        <w:tabs>
          <w:tab w:leader="none" w:pos="5440" w:val="left"/>
          <w:tab w:leader="none" w:pos="7980" w:val="left"/>
        </w:tabs>
        <w:rPr>
          <w:sz w:val="20"/>
          <w:szCs w:val="20"/>
          <w:color w:val="auto"/>
        </w:rPr>
      </w:pPr>
      <w:r>
        <w:rPr>
          <w:rFonts w:ascii="Arial" w:cs="Arial" w:eastAsia="Arial" w:hAnsi="Arial"/>
          <w:sz w:val="18"/>
          <w:szCs w:val="18"/>
          <w:color w:val="auto"/>
        </w:rPr>
        <w:t>Date: November 14,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Derek Watson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3832225</wp:posOffset>
            </wp:positionH>
            <wp:positionV relativeFrom="paragraph">
              <wp:posOffset>14605</wp:posOffset>
            </wp:positionV>
            <wp:extent cx="330517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0">
                      <a:extLst>
                        <a:ext uri="{28A0092B-C50C-407E-A947-70E740481C1C}"/>
                      </a:extLst>
                    </a:blip>
                    <a:srcRect/>
                    <a:stretch>
                      <a:fillRect/>
                    </a:stretch>
                  </pic:blipFill>
                  <pic:spPr bwMode="auto">
                    <a:xfrm>
                      <a:off x="0" y="0"/>
                      <a:ext cx="3305175" cy="8255"/>
                    </a:xfrm>
                    <a:prstGeom prst="rect">
                      <a:avLst/>
                    </a:prstGeom>
                    <a:noFill/>
                  </pic:spPr>
                </pic:pic>
              </a:graphicData>
            </a:graphic>
          </wp:anchor>
        </w:drawing>
      </w:r>
    </w:p>
    <w:p>
      <w:pPr>
        <w:spacing w:after="0" w:line="17" w:lineRule="exact"/>
        <w:rPr>
          <w:sz w:val="20"/>
          <w:szCs w:val="20"/>
          <w:color w:val="auto"/>
        </w:rPr>
      </w:pPr>
    </w:p>
    <w:p>
      <w:pPr>
        <w:jc w:val="center"/>
        <w:ind w:left="6020"/>
        <w:spacing w:after="0"/>
        <w:rPr>
          <w:sz w:val="20"/>
          <w:szCs w:val="20"/>
          <w:color w:val="auto"/>
        </w:rPr>
      </w:pPr>
      <w:r>
        <w:rPr>
          <w:rFonts w:ascii="Arial" w:cs="Arial" w:eastAsia="Arial" w:hAnsi="Arial"/>
          <w:sz w:val="16"/>
          <w:szCs w:val="16"/>
          <w:b w:val="1"/>
          <w:bCs w:val="1"/>
          <w:color w:val="auto"/>
        </w:rPr>
        <w:t>Derek Watson</w:t>
      </w:r>
    </w:p>
    <w:p>
      <w:pPr>
        <w:spacing w:after="0" w:line="6" w:lineRule="exact"/>
        <w:rPr>
          <w:sz w:val="20"/>
          <w:szCs w:val="20"/>
          <w:color w:val="auto"/>
        </w:rPr>
      </w:pPr>
    </w:p>
    <w:p>
      <w:pPr>
        <w:ind w:left="774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36" w:name="page37"/>
    <w:bookmarkEnd w:id="3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1)"/>
      <w:numFmt w:val="decimal"/>
      <w:start w:val="1"/>
    </w:lvl>
  </w:abstractNum>
  <w:abstractNum w:abstractNumId="4">
    <w:nsid w:val="6B68079A"/>
    <w:multiLevelType w:val="hybridMultilevel"/>
    <w:lvl w:ilvl="0">
      <w:lvlJc w:val="left"/>
      <w:lvlText w:val="(%1)"/>
      <w:numFmt w:val="decimal"/>
      <w:start w:val="1"/>
    </w:lvl>
  </w:abstractNum>
  <w:abstractNum w:abstractNumId="5">
    <w:nsid w:val="4E6AFB66"/>
    <w:multiLevelType w:val="hybridMultilevel"/>
    <w:lvl w:ilvl="0">
      <w:lvlJc w:val="left"/>
      <w:lvlText w:val="%1."/>
      <w:numFmt w:val="decimal"/>
      <w:start w:val="1"/>
    </w:lvl>
  </w:abstractNum>
  <w:abstractNum w:abstractNumId="6">
    <w:nsid w:val="25E45D32"/>
    <w:multiLevelType w:val="hybridMultilevel"/>
    <w:lvl w:ilvl="0">
      <w:lvlJc w:val="left"/>
      <w:lvlText w:val="%1."/>
      <w:numFmt w:val="decimal"/>
      <w:start w:val="3"/>
    </w:lvl>
  </w:abstractNum>
  <w:abstractNum w:abstractNumId="7">
    <w:nsid w:val="519B500D"/>
    <w:multiLevelType w:val="hybridMultilevel"/>
    <w:lvl w:ilvl="0">
      <w:lvlJc w:val="left"/>
      <w:lvlText w:val="%1."/>
      <w:numFmt w:val="decimal"/>
      <w:start w:val="4"/>
    </w:lvl>
  </w:abstractNum>
  <w:abstractNum w:abstractNumId="8">
    <w:nsid w:val="431BD7B7"/>
    <w:multiLevelType w:val="hybridMultilevel"/>
    <w:lvl w:ilvl="0">
      <w:lvlJc w:val="left"/>
      <w:lvlText w:val="%1."/>
      <w:numFmt w:val="decimal"/>
      <w:start w:val="5"/>
    </w:lvl>
  </w:abstractNum>
  <w:abstractNum w:abstractNumId="9">
    <w:nsid w:val="3F2DBA31"/>
    <w:multiLevelType w:val="hybridMultilevel"/>
    <w:lvl w:ilvl="0">
      <w:lvlJc w:val="left"/>
      <w:lvlText w:val="%1."/>
      <w:numFmt w:val="decimal"/>
      <w:start w:val="6"/>
    </w:lvl>
  </w:abstractNum>
  <w:abstractNum w:abstractNumId="10">
    <w:nsid w:val="7C83E458"/>
    <w:multiLevelType w:val="hybridMultilevel"/>
    <w:lvl w:ilvl="0">
      <w:lvlJc w:val="left"/>
      <w:lvlText w:val="%1."/>
      <w:numFmt w:val="decimal"/>
      <w:start w:val="7"/>
    </w:lvl>
  </w:abstractNum>
  <w:abstractNum w:abstractNumId="11">
    <w:nsid w:val="257130A3"/>
    <w:multiLevelType w:val="hybridMultilevel"/>
    <w:lvl w:ilvl="0">
      <w:lvlJc w:val="left"/>
      <w:lvlText w:val="%1."/>
      <w:numFmt w:val="decimal"/>
      <w:start w:val="8"/>
    </w:lvl>
  </w:abstractNum>
  <w:abstractNum w:abstractNumId="12">
    <w:nsid w:val="62BBD95A"/>
    <w:multiLevelType w:val="hybridMultilevel"/>
    <w:lvl w:ilvl="0">
      <w:lvlJc w:val="left"/>
      <w:lvlText w:val="%1."/>
      <w:numFmt w:val="decimal"/>
      <w:start w:val="9"/>
    </w:lvl>
  </w:abstractNum>
  <w:abstractNum w:abstractNumId="13">
    <w:nsid w:val="436C6125"/>
    <w:multiLevelType w:val="hybridMultilevel"/>
    <w:lvl w:ilvl="0">
      <w:lvlJc w:val="left"/>
      <w:lvlText w:val="%1."/>
      <w:numFmt w:val="decimal"/>
      <w:start w:val="10"/>
    </w:lvl>
    <w:lvl w:ilvl="1">
      <w:lvlJc w:val="left"/>
      <w:lvlText w:val="•"/>
      <w:numFmt w:val="bullet"/>
      <w:start w:val="1"/>
    </w:lvl>
  </w:abstractNum>
  <w:abstractNum w:abstractNumId="14">
    <w:nsid w:val="628C895D"/>
    <w:multiLevelType w:val="hybridMultilevel"/>
    <w:lvl w:ilvl="0">
      <w:lvlJc w:val="left"/>
      <w:lvlText w:val="%1."/>
      <w:numFmt w:val="decimal"/>
      <w:start w:val="12"/>
    </w:lvl>
  </w:abstractNum>
  <w:abstractNum w:abstractNumId="15">
    <w:nsid w:val="333AB105"/>
    <w:multiLevelType w:val="hybridMultilevel"/>
    <w:lvl w:ilvl="0">
      <w:lvlJc w:val="left"/>
      <w:lvlText w:val="%1."/>
      <w:numFmt w:val="decimal"/>
      <w:start w:val="13"/>
    </w:lvl>
  </w:abstractNum>
  <w:abstractNum w:abstractNumId="16">
    <w:nsid w:val="721DA317"/>
    <w:multiLevelType w:val="hybridMultilevel"/>
    <w:lvl w:ilvl="0">
      <w:lvlJc w:val="left"/>
      <w:lvlText w:val="%1."/>
      <w:numFmt w:val="decimal"/>
      <w:start w:val="14"/>
    </w:lvl>
  </w:abstractNum>
  <w:abstractNum w:abstractNumId="17">
    <w:nsid w:val="2443A858"/>
    <w:multiLevelType w:val="hybridMultilevel"/>
    <w:lvl w:ilvl="0">
      <w:lvlJc w:val="left"/>
      <w:lvlText w:val="%1."/>
      <w:numFmt w:val="decimal"/>
      <w:start w:val="15"/>
    </w:lvl>
  </w:abstractNum>
  <w:abstractNum w:abstractNumId="18">
    <w:nsid w:val="2D1D5AE9"/>
    <w:multiLevelType w:val="hybridMultilevel"/>
    <w:lvl w:ilvl="0">
      <w:lvlJc w:val="left"/>
      <w:lvlText w:val="%1."/>
      <w:numFmt w:val="decimal"/>
      <w:start w:val="16"/>
    </w:lvl>
  </w:abstractNum>
  <w:abstractNum w:abstractNumId="19">
    <w:nsid w:val="6763845E"/>
    <w:multiLevelType w:val="hybridMultilevel"/>
    <w:lvl w:ilvl="0">
      <w:lvlJc w:val="left"/>
      <w:lvlText w:val="%1."/>
      <w:numFmt w:val="decimal"/>
      <w:start w:val="17"/>
    </w:lvl>
  </w:abstractNum>
  <w:abstractNum w:abstractNumId="20">
    <w:nsid w:val="75A2A8D4"/>
    <w:multiLevelType w:val="hybridMultilevel"/>
    <w:lvl w:ilvl="0">
      <w:lvlJc w:val="left"/>
      <w:lvlText w:val="%1."/>
      <w:numFmt w:val="decimal"/>
      <w:start w:val="18"/>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
      <w:numFmt w:val="bullet"/>
      <w:start w:val="1"/>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88" Type="http://schemas.openxmlformats.org/officeDocument/2006/relationships/image" Target="media/image167.png"/><Relationship Id="rId189" Type="http://schemas.openxmlformats.org/officeDocument/2006/relationships/image" Target="media/image168.png"/><Relationship Id="rId190" Type="http://schemas.openxmlformats.org/officeDocument/2006/relationships/image" Target="media/image169.png"/><Relationship Id="rId191" Type="http://schemas.openxmlformats.org/officeDocument/2006/relationships/image" Target="media/image170.png"/><Relationship Id="rId192" Type="http://schemas.openxmlformats.org/officeDocument/2006/relationships/image" Target="media/image171.png"/><Relationship Id="rId193" Type="http://schemas.openxmlformats.org/officeDocument/2006/relationships/image" Target="media/image172.png"/><Relationship Id="rId194" Type="http://schemas.openxmlformats.org/officeDocument/2006/relationships/image" Target="media/image173.png"/><Relationship Id="rId195" Type="http://schemas.openxmlformats.org/officeDocument/2006/relationships/image" Target="media/image174.png"/><Relationship Id="rId196" Type="http://schemas.openxmlformats.org/officeDocument/2006/relationships/image" Target="media/image175.png"/><Relationship Id="rId197" Type="http://schemas.openxmlformats.org/officeDocument/2006/relationships/image" Target="media/image176.png"/><Relationship Id="rId198" Type="http://schemas.openxmlformats.org/officeDocument/2006/relationships/image" Target="media/image177.png"/><Relationship Id="rId199" Type="http://schemas.openxmlformats.org/officeDocument/2006/relationships/image" Target="media/image178.png"/><Relationship Id="rId200" Type="http://schemas.openxmlformats.org/officeDocument/2006/relationships/image" Target="media/image179.png"/><Relationship Id="rId201" Type="http://schemas.openxmlformats.org/officeDocument/2006/relationships/image" Target="media/image180.png"/><Relationship Id="rId174" Type="http://schemas.openxmlformats.org/officeDocument/2006/relationships/hyperlink" Target="https://www.sec.gov/Archives/edgar/data/1776738/000119312522088069/d292116dex21.htm" TargetMode="External"/><Relationship Id="rId175" Type="http://schemas.openxmlformats.org/officeDocument/2006/relationships/hyperlink" Target="https://www.sec.gov/Archives/edgar/data/1776738/000119312521356939/d252333dex31.htm" TargetMode="External"/><Relationship Id="rId176" Type="http://schemas.openxmlformats.org/officeDocument/2006/relationships/hyperlink" Target="https://www.sec.gov/Archives/edgar/data/1776738/000119312521356939/d252333dex41.htm" TargetMode="External"/><Relationship Id="rId177" Type="http://schemas.openxmlformats.org/officeDocument/2006/relationships/hyperlink" Target="https://www.sec.gov/Archives/edgar/data/1776738/000119312521356939/d252333dex42.htm" TargetMode="External"/><Relationship Id="rId178" Type="http://schemas.openxmlformats.org/officeDocument/2006/relationships/hyperlink" Target="https://www.sec.gov/Archives/edgar/data/1776738/000119312521356939/d252333dex43.htm" TargetMode="External"/><Relationship Id="rId179" Type="http://schemas.openxmlformats.org/officeDocument/2006/relationships/hyperlink" Target="https://www.sec.gov/Archives/edgar/data/1776738/000119312521356939/d252333dex44.htm" TargetMode="External"/><Relationship Id="rId180" Type="http://schemas.openxmlformats.org/officeDocument/2006/relationships/hyperlink" Target="https://www.sec.gov/Archives/edgar/data/1776738/000119312521356939/d252333dex45.htm" TargetMode="External"/><Relationship Id="rId181" Type="http://schemas.openxmlformats.org/officeDocument/2006/relationships/hyperlink" Target="https://www.sec.gov/Archives/edgar/data/1776738/000119312521356939/d252333dex46.htm" TargetMode="External"/><Relationship Id="rId182" Type="http://schemas.openxmlformats.org/officeDocument/2006/relationships/hyperlink" Target="https://www.sec.gov/Archives/edgar/data/1776738/000119312521356939/d252333dex47.htm" TargetMode="External"/><Relationship Id="rId183" Type="http://schemas.openxmlformats.org/officeDocument/2006/relationships/hyperlink" Target="https://www.sec.gov/Archives/edgar/data/1776738/000119312521356939/d252333dex48.htm" TargetMode="External"/><Relationship Id="rId184" Type="http://schemas.openxmlformats.org/officeDocument/2006/relationships/hyperlink" Target="https://www.sec.gov/Archives/edgar/data/1776738/000119312521356939/d252333dex49.htm" TargetMode="External"/><Relationship Id="rId185" Type="http://schemas.openxmlformats.org/officeDocument/2006/relationships/hyperlink" Target="https://www.sec.gov/Archives/edgar/data/1776738/000119312522021793/d252333dex410.htm" TargetMode="External"/><Relationship Id="rId186" Type="http://schemas.openxmlformats.org/officeDocument/2006/relationships/hyperlink" Target="https://www.sec.gov/Archives/edgar/data/1776738/000119312522043452/d252333dex411.htm" TargetMode="External"/><Relationship Id="rId187" Type="http://schemas.openxmlformats.org/officeDocument/2006/relationships/hyperlink" Target="https://www.sec.gov/Archives/edgar/data/1776738/000119312522043452/d252333dex41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2022-11-14T20:24:05Z</dcterms:created>
  <dcterms:modified xsi:type="dcterms:W3CDTF">2022-11-14T20:24:05Z</dcterms:modified>
</cp:coreProperties>
</file>