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0377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820" w:right="1640" w:hanging="3794"/>
        <w:spacing w:after="0" w:line="375" w:lineRule="auto"/>
        <w:tabs>
          <w:tab w:leader="none" w:pos="466"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 the transition period from __to __</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000-56294</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211455</wp:posOffset>
            </wp:positionV>
            <wp:extent cx="188595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49"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British Columbia</w:t>
      </w:r>
      <w:r>
        <w:rPr>
          <w:sz w:val="20"/>
          <w:szCs w:val="20"/>
          <w:color w:val="auto"/>
        </w:rPr>
        <w:tab/>
      </w:r>
      <w:r>
        <w:rPr>
          <w:rFonts w:ascii="Times New Roman" w:cs="Times New Roman" w:eastAsia="Times New Roman" w:hAnsi="Times New Roman"/>
          <w:sz w:val="18"/>
          <w:szCs w:val="18"/>
          <w:b w:val="1"/>
          <w:bCs w:val="1"/>
          <w:color w:val="auto"/>
        </w:rPr>
        <w:t>98-1488978</w:t>
      </w:r>
    </w:p>
    <w:p>
      <w:pPr>
        <w:sectPr>
          <w:pgSz w:w="11900" w:h="16838" w:orient="portrait"/>
          <w:cols w:equalWidth="0" w:num="1">
            <w:col w:w="11240"/>
          </w:cols>
          <w:pgMar w:left="320" w:top="229" w:right="339" w:bottom="906" w:gutter="0" w:footer="0" w:header="0"/>
        </w:sectPr>
      </w:pPr>
    </w:p>
    <w:p>
      <w:pPr>
        <w:spacing w:after="0" w:line="5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33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321 Billerica Rd., Suite 204</w:t>
      </w:r>
    </w:p>
    <w:p>
      <w:pPr>
        <w:spacing w:after="0" w:line="3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Chelmsford, Massachusetts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32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01824</w:t>
      </w:r>
    </w:p>
    <w:p>
      <w:pPr>
        <w:spacing w:after="0" w:line="265" w:lineRule="exact"/>
        <w:rPr>
          <w:sz w:val="24"/>
          <w:szCs w:val="24"/>
          <w:color w:val="auto"/>
        </w:rPr>
      </w:pPr>
    </w:p>
    <w:p>
      <w:pPr>
        <w:sectPr>
          <w:pgSz w:w="11900" w:h="16838" w:orient="portrait"/>
          <w:cols w:equalWidth="0" w:num="2">
            <w:col w:w="7480" w:space="720"/>
            <w:col w:w="3040"/>
          </w:cols>
          <w:pgMar w:left="320" w:top="229" w:right="339" w:bottom="906"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740" w:type="dxa"/>
            <w:vAlign w:val="bottom"/>
            <w:gridSpan w:val="5"/>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3"/>
        </w:trPr>
        <w:tc>
          <w:tcPr>
            <w:tcW w:w="294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910-1486</w:t>
            </w:r>
          </w:p>
        </w:tc>
      </w:tr>
      <w:tr>
        <w:trPr>
          <w:trHeight w:val="234"/>
        </w:trPr>
        <w:tc>
          <w:tcPr>
            <w:tcW w:w="2940" w:type="dxa"/>
            <w:vAlign w:val="bottom"/>
          </w:tcPr>
          <w:p>
            <w:pPr>
              <w:spacing w:after="0"/>
              <w:rPr>
                <w:sz w:val="20"/>
                <w:szCs w:val="20"/>
                <w:color w:val="auto"/>
              </w:rPr>
            </w:pPr>
          </w:p>
        </w:tc>
        <w:tc>
          <w:tcPr>
            <w:tcW w:w="8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tc>
      </w:tr>
      <w:tr>
        <w:trPr>
          <w:trHeight w:val="324"/>
        </w:trPr>
        <w:tc>
          <w:tcPr>
            <w:tcW w:w="6740" w:type="dxa"/>
            <w:vAlign w:val="bottom"/>
            <w:gridSpan w:val="5"/>
          </w:tcPr>
          <w:p>
            <w:pPr>
              <w:ind w:left="1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4500" w:type="dxa"/>
            <w:vAlign w:val="bottom"/>
          </w:tcPr>
          <w:p>
            <w:pPr>
              <w:spacing w:after="0"/>
              <w:rPr>
                <w:sz w:val="24"/>
                <w:szCs w:val="24"/>
                <w:color w:val="auto"/>
              </w:rPr>
            </w:pPr>
          </w:p>
        </w:tc>
      </w:tr>
      <w:tr>
        <w:trPr>
          <w:trHeight w:val="342"/>
        </w:trPr>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00" w:type="dxa"/>
            <w:vAlign w:val="bottom"/>
          </w:tcPr>
          <w:p>
            <w:pPr>
              <w:spacing w:after="0"/>
              <w:rPr>
                <w:sz w:val="24"/>
                <w:szCs w:val="24"/>
                <w:color w:val="auto"/>
              </w:rPr>
            </w:pPr>
          </w:p>
        </w:tc>
      </w:tr>
      <w:tr>
        <w:trPr>
          <w:trHeight w:val="259"/>
        </w:trPr>
        <w:tc>
          <w:tcPr>
            <w:tcW w:w="29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71" w:lineRule="exact"/>
        <w:rPr>
          <w:sz w:val="24"/>
          <w:szCs w:val="24"/>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3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x</w:t>
            </w:r>
          </w:p>
        </w:tc>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44" w:lineRule="exact"/>
        <w:rPr>
          <w:sz w:val="24"/>
          <w:szCs w:val="24"/>
          <w:color w:val="auto"/>
        </w:rPr>
      </w:pPr>
    </w:p>
    <w:p>
      <w:pPr>
        <w:ind w:right="7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May 6, 2025, there were 479,804,364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8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037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240"/>
          </w:cols>
          <w:pgMar w:left="320" w:top="229" w:right="339" w:bottom="9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6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7"/>
              </w:rPr>
              <w:t>FORWARD-LOOKING STATEMENTS</w:t>
            </w:r>
          </w:p>
        </w:tc>
        <w:tc>
          <w:tcPr>
            <w:tcW w:w="7260" w:type="dxa"/>
            <w:vAlign w:val="bottom"/>
            <w:gridSpan w:val="11"/>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Interim Balance Sheets</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Operations and Comprehensive Loss</w:t>
            </w:r>
          </w:p>
        </w:tc>
        <w:tc>
          <w:tcPr>
            <w:tcW w:w="296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Changes in Equity</w:t>
            </w:r>
          </w:p>
        </w:tc>
        <w:tc>
          <w:tcPr>
            <w:tcW w:w="428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Interim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vMerge w:val="continue"/>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180" w:type="dxa"/>
            <w:vAlign w:val="bottom"/>
            <w:gridSpan w:val="1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2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30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303" w:lineRule="exact"/>
        <w:rPr>
          <w:sz w:val="20"/>
          <w:szCs w:val="20"/>
          <w:color w:val="auto"/>
        </w:rPr>
      </w:pPr>
    </w:p>
    <w:p>
      <w:pPr>
        <w:ind w:left="900" w:right="120" w:hanging="325"/>
        <w:spacing w:after="0" w:line="258" w:lineRule="auto"/>
        <w:tabs>
          <w:tab w:leader="none" w:pos="88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activities, including, without limitation, the Company’s ability to complete the planned debt restructuring as contemplated by the Support Agreement (as defined below);</w:t>
      </w: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impact of Section 280E of the U.S. Internal Revenue Code of 1986, as amended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Internal Revenue Code</w:t>
      </w:r>
      <w:r>
        <w:rPr>
          <w:rFonts w:ascii="Times New Roman" w:cs="Times New Roman" w:eastAsia="Times New Roman" w:hAnsi="Times New Roman"/>
          <w:sz w:val="16"/>
          <w:szCs w:val="16"/>
          <w:color w:val="auto"/>
        </w:rPr>
        <w:t>”);</w:t>
      </w:r>
    </w:p>
    <w:p>
      <w:pPr>
        <w:spacing w:after="0" w:line="4"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Company’s common shares;</w:t>
      </w:r>
    </w:p>
    <w:p>
      <w:pPr>
        <w:spacing w:after="0" w:line="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5"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8" w:lineRule="exact"/>
        <w:rPr>
          <w:rFonts w:ascii="Times New Roman" w:cs="Times New Roman" w:eastAsia="Times New Roman" w:hAnsi="Times New Roman"/>
          <w:sz w:val="16"/>
          <w:szCs w:val="16"/>
          <w:color w:val="auto"/>
        </w:rPr>
      </w:pPr>
    </w:p>
    <w:p>
      <w:pPr>
        <w:ind w:left="880" w:hanging="305"/>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2024.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Cash</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18,936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33,607</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 net of credit loss allowance of $7,443 and $6,754, respectively</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21,688</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Inventory</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90,688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94,516</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11,794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15,038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15,614</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Assets held for sale</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31,390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17,778</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186,519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194,997</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218,459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228,396</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 of use assets - operating leases, net</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111,686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124,739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Right of use assets - finance leases, net</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23,854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25,515</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51,249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6,073</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11,880</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33,531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32,025</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7,389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11,958</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13,233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15,414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top w:val="single" w:sz="8" w:color="auto"/>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648,779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696,173</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28,832</w:t>
            </w:r>
          </w:p>
        </w:tc>
        <w:tc>
          <w:tcPr>
            <w:tcW w:w="260" w:type="dxa"/>
            <w:vAlign w:val="bottom"/>
            <w:tcBorders>
              <w:bottom w:val="single" w:sz="8" w:color="CFF0FC"/>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41,125</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28,332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32,839</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Income tax payable</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88,834</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87,333</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Current portion of lease liability - operating leases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7,386</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Current portion of lease liability - finance leases</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4,347</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4,910</w:t>
            </w:r>
          </w:p>
        </w:tc>
        <w:tc>
          <w:tcPr>
            <w:tcW w:w="0" w:type="dxa"/>
            <w:vAlign w:val="bottom"/>
          </w:tcPr>
          <w:p>
            <w:pPr>
              <w:spacing w:after="0"/>
              <w:rPr>
                <w:sz w:val="1"/>
                <w:szCs w:val="1"/>
                <w:color w:val="auto"/>
              </w:rPr>
            </w:pPr>
          </w:p>
        </w:tc>
      </w:tr>
      <w:tr>
        <w:trPr>
          <w:trHeight w:val="154"/>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Current portion of long-term debt, net</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54,146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52,461</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Liabilities held for sale</w:t>
            </w:r>
          </w:p>
        </w:tc>
        <w:tc>
          <w:tcPr>
            <w:tcW w:w="20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16,230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2,656</w:t>
            </w:r>
          </w:p>
        </w:tc>
        <w:tc>
          <w:tcPr>
            <w:tcW w:w="0" w:type="dxa"/>
            <w:vAlign w:val="bottom"/>
          </w:tcPr>
          <w:p>
            <w:pPr>
              <w:spacing w:after="0"/>
              <w:rPr>
                <w:sz w:val="1"/>
                <w:szCs w:val="1"/>
                <w:color w:val="auto"/>
              </w:rPr>
            </w:pPr>
          </w:p>
        </w:tc>
      </w:tr>
      <w:tr>
        <w:trPr>
          <w:trHeight w:val="147"/>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227,882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228,710</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 net</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248,460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249,512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Long-term lease liability - operating leases</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113,348</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126,215</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lease liability - finance leases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36,958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37,937</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Derivative liability</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621</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20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83,483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83,237</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710,752</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726,232</w:t>
            </w:r>
          </w:p>
        </w:tc>
        <w:tc>
          <w:tcPr>
            <w:tcW w:w="0" w:type="dxa"/>
            <w:vAlign w:val="bottom"/>
          </w:tcPr>
          <w:p>
            <w:pPr>
              <w:spacing w:after="0"/>
              <w:rPr>
                <w:sz w:val="1"/>
                <w:szCs w:val="1"/>
                <w:color w:val="auto"/>
              </w:rPr>
            </w:pPr>
          </w:p>
        </w:tc>
      </w:tr>
      <w:tr>
        <w:trPr>
          <w:trHeight w:val="147"/>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818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w w:val="98"/>
              </w:rPr>
              <w:t>Common Stock, no par value, unlimited shares authorized as of March 31, 2025 and December 31, 2024, respectively, 465,544,642 and 465,638,304 shares issued and outstanding as</w:t>
            </w:r>
          </w:p>
        </w:tc>
        <w:tc>
          <w:tcPr>
            <w:tcW w:w="20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1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of March 31, 2025 and December 31, 2024, respectively</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Preferred Stock, no par value, unlimited shares authorized as of March 31, 2025 and December 31, 2024, respectively, none issued and outstanding as of March 31, 2025 and</w:t>
            </w:r>
          </w:p>
        </w:tc>
        <w:tc>
          <w:tcPr>
            <w:tcW w:w="2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December 31, 2024</w:t>
            </w:r>
          </w:p>
        </w:tc>
        <w:tc>
          <w:tcPr>
            <w:tcW w:w="20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81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Proportionate voting shares, no par value, unlimited shares authorized as of March 31, 2025 and December 31, 2024, respectively; 7,387,328 and 7,387,328 shares issued and</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outstanding as of March 31, 2025 and December 31, 2024, respectively</w:t>
            </w:r>
          </w:p>
        </w:tc>
        <w:tc>
          <w:tcPr>
            <w:tcW w:w="20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Additional paid-in-capital</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1,157,099</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1,156,807</w:t>
            </w:r>
          </w:p>
        </w:tc>
        <w:tc>
          <w:tcPr>
            <w:tcW w:w="0" w:type="dxa"/>
            <w:vAlign w:val="bottom"/>
          </w:tcPr>
          <w:p>
            <w:pPr>
              <w:spacing w:after="0"/>
              <w:rPr>
                <w:sz w:val="1"/>
                <w:szCs w:val="1"/>
                <w:color w:val="auto"/>
              </w:rPr>
            </w:pPr>
          </w:p>
        </w:tc>
      </w:tr>
      <w:tr>
        <w:trPr>
          <w:trHeight w:val="153"/>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(1,217,705)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(1,185,501)</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8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Equity attributable to The Cannabist Company Holdings Inc.</w:t>
            </w:r>
          </w:p>
        </w:tc>
        <w:tc>
          <w:tcPr>
            <w:tcW w:w="20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(60,606)</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(28,694)</w:t>
            </w:r>
          </w:p>
        </w:tc>
        <w:tc>
          <w:tcPr>
            <w:tcW w:w="0" w:type="dxa"/>
            <w:vAlign w:val="bottom"/>
          </w:tcPr>
          <w:p>
            <w:pPr>
              <w:spacing w:after="0"/>
              <w:rPr>
                <w:sz w:val="1"/>
                <w:szCs w:val="1"/>
                <w:color w:val="auto"/>
              </w:rPr>
            </w:pPr>
          </w:p>
        </w:tc>
      </w:tr>
      <w:tr>
        <w:trPr>
          <w:trHeight w:val="154"/>
        </w:trPr>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0" w:type="dxa"/>
            <w:vAlign w:val="bottom"/>
          </w:tcPr>
          <w:p>
            <w:pPr>
              <w:spacing w:after="0"/>
              <w:rPr>
                <w:sz w:val="1"/>
                <w:szCs w:val="1"/>
                <w:color w:val="auto"/>
              </w:rPr>
            </w:pPr>
          </w:p>
        </w:tc>
      </w:tr>
      <w:tr>
        <w:trPr>
          <w:trHeight w:val="22"/>
        </w:trPr>
        <w:tc>
          <w:tcPr>
            <w:tcW w:w="81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FF0FC"/>
            </w:tcBorders>
            <w:shd w:val="clear" w:color="auto" w:fill="CFF0FC"/>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equity</w:t>
            </w:r>
          </w:p>
        </w:tc>
        <w:tc>
          <w:tcPr>
            <w:tcW w:w="20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(61,973)</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(30,059)</w:t>
            </w:r>
          </w:p>
        </w:tc>
        <w:tc>
          <w:tcPr>
            <w:tcW w:w="0" w:type="dxa"/>
            <w:vAlign w:val="bottom"/>
          </w:tcPr>
          <w:p>
            <w:pPr>
              <w:spacing w:after="0"/>
              <w:rPr>
                <w:sz w:val="1"/>
                <w:szCs w:val="1"/>
                <w:color w:val="auto"/>
              </w:rPr>
            </w:pPr>
          </w:p>
        </w:tc>
      </w:tr>
      <w:tr>
        <w:trPr>
          <w:trHeight w:val="134"/>
        </w:trPr>
        <w:tc>
          <w:tcPr>
            <w:tcW w:w="818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liabilities and equity</w:t>
            </w: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648,779</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696,173</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7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r>
      <w:tr>
        <w:trPr>
          <w:trHeight w:val="31"/>
        </w:trPr>
        <w:tc>
          <w:tcPr>
            <w:tcW w:w="79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87,440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(80,074)</w:t>
            </w:r>
          </w:p>
        </w:tc>
        <w:tc>
          <w:tcPr>
            <w:tcW w:w="100" w:type="dxa"/>
            <w:vAlign w:val="bottom"/>
          </w:tcPr>
          <w:p>
            <w:pPr>
              <w:spacing w:after="0"/>
              <w:rPr>
                <w:sz w:val="18"/>
                <w:szCs w:val="18"/>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29,285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impairment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9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(37,251)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w:t>
            </w:r>
          </w:p>
        </w:tc>
        <w:tc>
          <w:tcPr>
            <w:tcW w:w="100" w:type="dxa"/>
            <w:vAlign w:val="bottom"/>
          </w:tcPr>
          <w:p>
            <w:pPr>
              <w:spacing w:after="0"/>
              <w:rPr>
                <w:sz w:val="17"/>
                <w:szCs w:val="17"/>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3"/>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0"/>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00" w:type="dxa"/>
            <w:vAlign w:val="bottom"/>
          </w:tcPr>
          <w:p>
            <w:pPr>
              <w:spacing w:after="0"/>
              <w:rPr>
                <w:sz w:val="18"/>
                <w:szCs w:val="18"/>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7"/>
        </w:trPr>
        <w:tc>
          <w:tcPr>
            <w:tcW w:w="79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(23,253)</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(25,700)</w:t>
            </w:r>
          </w:p>
        </w:tc>
        <w:tc>
          <w:tcPr>
            <w:tcW w:w="100" w:type="dxa"/>
            <w:vAlign w:val="bottom"/>
          </w:tcPr>
          <w:p>
            <w:pPr>
              <w:spacing w:after="0"/>
              <w:rPr>
                <w:sz w:val="17"/>
                <w:szCs w:val="17"/>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4"/>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(34,568)</w:t>
            </w:r>
          </w:p>
        </w:tc>
        <w:tc>
          <w:tcPr>
            <w:tcW w:w="100" w:type="dxa"/>
            <w:vAlign w:val="bottom"/>
          </w:tcPr>
          <w:p>
            <w:pPr>
              <w:spacing w:after="0"/>
              <w:rPr>
                <w:sz w:val="17"/>
                <w:szCs w:val="17"/>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100" w:type="dxa"/>
            <w:vAlign w:val="bottom"/>
          </w:tcPr>
          <w:p>
            <w:pPr>
              <w:spacing w:after="0"/>
              <w:rPr>
                <w:sz w:val="17"/>
                <w:szCs w:val="17"/>
                <w:color w:val="auto"/>
              </w:rPr>
            </w:pP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9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4"/>
        </w:trPr>
        <w:tc>
          <w:tcPr>
            <w:tcW w:w="7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 - basic and diluted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473,012,103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445,633,865</w:t>
            </w:r>
          </w:p>
        </w:tc>
        <w:tc>
          <w:tcPr>
            <w:tcW w:w="1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8"/>
                <w:szCs w:val="18"/>
                <w:color w:val="auto"/>
              </w:rPr>
            </w:pPr>
          </w:p>
        </w:tc>
      </w:tr>
      <w:tr>
        <w:trPr>
          <w:trHeight w:val="33"/>
        </w:trPr>
        <w:tc>
          <w:tcPr>
            <w:tcW w:w="79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-2699385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-2699385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-3016885</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-3016885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CONDENSED CONSOLIDATED INTERIM STATEMENTS OF CHANGES IN EQUITY</w:t>
      </w: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 The</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2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Cannabist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2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Company Holdings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4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84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1,146,154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(1,079,282)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66,872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65,352</w:t>
            </w: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r>
      <w:tr>
        <w:trPr>
          <w:trHeight w:val="33"/>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3"/>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25,845,259</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5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w:t>
            </w:r>
          </w:p>
        </w:tc>
      </w:tr>
      <w:tr>
        <w:trPr>
          <w:trHeight w:val="263"/>
        </w:trPr>
        <w:tc>
          <w:tcPr>
            <w:tcW w:w="28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1,159,336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(1,115,413)</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43,923</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42,908</w:t>
            </w:r>
          </w:p>
        </w:tc>
      </w:tr>
    </w:tbl>
    <w:p>
      <w:pPr>
        <w:ind w:left="20"/>
        <w:spacing w:after="0"/>
        <w:rPr>
          <w:sz w:val="20"/>
          <w:szCs w:val="20"/>
          <w:color w:val="auto"/>
        </w:rPr>
      </w:pPr>
      <w:r>
        <w:rPr>
          <w:rFonts w:ascii="Times New Roman" w:cs="Times New Roman" w:eastAsia="Times New Roman" w:hAnsi="Times New Roman"/>
          <w:sz w:val="16"/>
          <w:szCs w:val="16"/>
          <w:color w:val="auto"/>
        </w:rPr>
        <w:t>(1) The amount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-107315</wp:posOffset>
            </wp:positionV>
            <wp:extent cx="5332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spacing w:after="0" w:line="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color w:val="auto"/>
        </w:rPr>
        <w:t>CONDENSED CONSOLIDATED INTERIM STATEMENTS OF CHANGES IN EQUITY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jc w:val="center"/>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Total The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Cannabist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7"/>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57"/>
              <w:spacing w:after="0" w:line="175"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7"/>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120" w:type="dxa"/>
            <w:vAlign w:val="bottom"/>
          </w:tcPr>
          <w:p>
            <w:pPr>
              <w:spacing w:after="0"/>
              <w:rPr>
                <w:sz w:val="16"/>
                <w:szCs w:val="16"/>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5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465,638,304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1,156,807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(1,185,501)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(28,694)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(30,059)</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(93,662)</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1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AEEF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380" w:type="dxa"/>
            <w:vAlign w:val="bottom"/>
            <w:tcBorders>
              <w:bottom w:val="single" w:sz="8" w:color="CAEEFB"/>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0" w:type="dxa"/>
            <w:vAlign w:val="bottom"/>
          </w:tcPr>
          <w:p>
            <w:pPr>
              <w:spacing w:after="0"/>
              <w:rPr>
                <w:sz w:val="1"/>
                <w:szCs w:val="1"/>
                <w:color w:val="auto"/>
              </w:rPr>
            </w:pPr>
          </w:p>
        </w:tc>
      </w:tr>
      <w:tr>
        <w:trPr>
          <w:trHeight w:val="277"/>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465,544,642</w:t>
            </w:r>
          </w:p>
        </w:tc>
        <w:tc>
          <w:tcPr>
            <w:tcW w:w="10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80" w:type="dxa"/>
            <w:vAlign w:val="bottom"/>
            <w:shd w:val="clear" w:color="auto" w:fill="CFF0FC"/>
          </w:tcPr>
          <w:p>
            <w:pPr>
              <w:spacing w:after="0"/>
              <w:rPr>
                <w:sz w:val="24"/>
                <w:szCs w:val="24"/>
                <w:color w:val="auto"/>
              </w:rPr>
            </w:pPr>
          </w:p>
        </w:tc>
        <w:tc>
          <w:tcPr>
            <w:tcW w:w="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1,157,099</w:t>
            </w:r>
          </w:p>
        </w:tc>
        <w:tc>
          <w:tcPr>
            <w:tcW w:w="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(1,217,705)</w:t>
            </w:r>
          </w:p>
        </w:tc>
        <w:tc>
          <w:tcPr>
            <w:tcW w:w="520" w:type="dxa"/>
            <w:vAlign w:val="bottom"/>
            <w:gridSpan w:val="2"/>
            <w:shd w:val="clear" w:color="auto" w:fill="CAEEFB"/>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(60,606)</w:t>
            </w:r>
          </w:p>
        </w:tc>
        <w:tc>
          <w:tcPr>
            <w:tcW w:w="48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(61,973)</w:t>
            </w: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AEEF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AEEF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AEEF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The amounts shown are net of any shares withheld by the Company to satisfy certain tax withholdings in connection with vesting of equity-based awards.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ectPr>
          <w:pgSz w:w="11900" w:h="16838" w:orient="portrait"/>
          <w:cols w:equalWidth="0" w:num="1">
            <w:col w:w="11240"/>
          </w:cols>
          <w:pgMar w:left="320" w:top="121" w:right="339" w:bottom="335"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33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7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29"/>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(32,206)</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(34,568)</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13,964</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deconsolidation of subsidiaries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investment fair value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on fixed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193"/>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r>
      <w:tr>
        <w:trPr>
          <w:trHeight w:val="193"/>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Notes receivable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3"/>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7,351</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(7,391)</w:t>
            </w:r>
          </w:p>
        </w:tc>
      </w:tr>
      <w:tr>
        <w:trPr>
          <w:trHeight w:val="193"/>
        </w:trPr>
        <w:tc>
          <w:tcPr>
            <w:tcW w:w="8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8,898</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r>
      <w:tr>
        <w:trPr>
          <w:trHeight w:val="186"/>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w:t>
            </w:r>
          </w:p>
        </w:tc>
      </w:tr>
      <w:tr>
        <w:trPr>
          <w:trHeight w:val="23"/>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license</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proceeds from sale of business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received on deposits,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6"/>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2,403</w:t>
            </w:r>
          </w:p>
        </w:tc>
      </w:tr>
      <w:tr>
        <w:trPr>
          <w:trHeight w:val="23"/>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issuance of convertible debt</w:t>
            </w: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23"/>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93"/>
        </w:trPr>
        <w:tc>
          <w:tcPr>
            <w:tcW w:w="8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3"/>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w:t>
            </w:r>
          </w:p>
        </w:tc>
      </w:tr>
      <w:tr>
        <w:trPr>
          <w:trHeight w:val="20"/>
        </w:trPr>
        <w:tc>
          <w:tcPr>
            <w:tcW w:w="8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-5108575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983" w:gutter="0" w:footer="0" w:header="0"/>
        </w:sectPr>
      </w:pP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Net (decrease) increase in cash</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restricted cash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restricted cash at end of period</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spacing w:after="0"/>
              <w:rPr>
                <w:sz w:val="16"/>
                <w:szCs w:val="16"/>
                <w:color w:val="auto"/>
              </w:rPr>
            </w:pPr>
          </w:p>
        </w:tc>
        <w:tc>
          <w:tcPr>
            <w:tcW w:w="9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(15,859)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8,709</w:t>
            </w:r>
          </w:p>
        </w:tc>
      </w:tr>
      <w:tr>
        <w:trPr>
          <w:trHeight w:val="216"/>
        </w:trPr>
        <w:tc>
          <w:tcPr>
            <w:tcW w:w="540" w:type="dxa"/>
            <w:vAlign w:val="bottom"/>
          </w:tcPr>
          <w:p>
            <w:pPr>
              <w:spacing w:after="0"/>
              <w:rPr>
                <w:sz w:val="18"/>
                <w:szCs w:val="18"/>
                <w:color w:val="auto"/>
              </w:rPr>
            </w:pPr>
          </w:p>
        </w:tc>
        <w:tc>
          <w:tcPr>
            <w:tcW w:w="94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37,930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39,337</w:t>
            </w:r>
          </w:p>
        </w:tc>
      </w:tr>
      <w:tr>
        <w:trPr>
          <w:trHeight w:val="2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22,071</w:t>
            </w:r>
          </w:p>
        </w:tc>
        <w:tc>
          <w:tcPr>
            <w:tcW w:w="12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48,046</w:t>
            </w:r>
          </w:p>
        </w:tc>
      </w:tr>
      <w:tr>
        <w:trPr>
          <w:trHeight w:val="2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7440" w:space="720"/>
            <w:col w:w="3080"/>
          </w:cols>
          <w:pgMar w:left="320" w:top="121" w:right="339" w:bottom="983"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44,473</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22,071</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2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other obligations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2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the recognition of operating right-of-use assets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93"/>
        </w:trPr>
        <w:tc>
          <w:tcPr>
            <w:tcW w:w="91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8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83"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22860</wp:posOffset>
            </wp:positionV>
            <wp:extent cx="1954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20955</wp:posOffset>
            </wp:positionV>
            <wp:extent cx="1954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6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80" w:type="dxa"/>
            <w:vAlign w:val="bottom"/>
          </w:tcPr>
          <w:p>
            <w:pPr>
              <w:spacing w:after="0"/>
              <w:rPr>
                <w:sz w:val="14"/>
                <w:szCs w:val="1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29"/>
        </w:trPr>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9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6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fixed asset additions within accounts payable and accrued expenses</w:t>
            </w:r>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768</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3"/>
        </w:trPr>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on issuance of convertible debt</w:t>
            </w:r>
          </w:p>
        </w:tc>
        <w:tc>
          <w:tcPr>
            <w:tcW w:w="1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w:t>
            </w:r>
          </w:p>
        </w:tc>
      </w:tr>
      <w:tr>
        <w:trPr>
          <w:trHeight w:val="193"/>
        </w:trPr>
        <w:tc>
          <w:tcPr>
            <w:tcW w:w="6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Reduction in debt from debt to equity conversion</w:t>
            </w:r>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3"/>
        </w:trPr>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6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in equity from debt to equity conversion</w:t>
            </w:r>
          </w:p>
        </w:tc>
        <w:tc>
          <w:tcPr>
            <w:tcW w:w="1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3"/>
        </w:trPr>
        <w:tc>
          <w:tcPr>
            <w:tcW w:w="6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held for sale</w:t>
            </w:r>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31,390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23"/>
        </w:trPr>
        <w:tc>
          <w:tcPr>
            <w:tcW w:w="6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1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16,230</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23"/>
        </w:trPr>
        <w:tc>
          <w:tcPr>
            <w:tcW w:w="63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ind w:left="20" w:right="4420"/>
        <w:spacing w:after="0" w:line="250"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MONTHS ENDED MARCH 31, 2025, and 2024 (Expressed in thousands of U.S. dollars, except for share and per share amounts)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20" w:hanging="812"/>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48"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products to qualified patients and consumers. The Company’s head office and principal address is 321 Billerica Rd., Suite 204, Chelmsford, Massachusetts 01824. The Company’s registered and records office address is 666 Burrard St #1700, Vancouver, British Columbia V6C 2X8.</w:t>
      </w:r>
    </w:p>
    <w:p>
      <w:pPr>
        <w:spacing w:after="0" w:line="115" w:lineRule="exact"/>
        <w:rPr>
          <w:rFonts w:ascii="Times New Roman" w:cs="Times New Roman" w:eastAsia="Times New Roman" w:hAnsi="Times New Roman"/>
          <w:sz w:val="18"/>
          <w:szCs w:val="18"/>
          <w:b w:val="1"/>
          <w:bCs w:val="1"/>
          <w:color w:val="auto"/>
        </w:rPr>
      </w:pPr>
    </w:p>
    <w:p>
      <w:pPr>
        <w:jc w:val="both"/>
        <w:ind w:left="8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and transitioned to the OTCQB in April 2025. The Company’s Common Shares are also listed on the Frankfurt Stock Exchange under the symbol “3LP”.</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ind w:left="820" w:right="5720" w:hanging="812"/>
        <w:spacing w:after="0" w:line="417" w:lineRule="auto"/>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08" w:lineRule="exact"/>
        <w:rPr>
          <w:rFonts w:ascii="Times New Roman" w:cs="Times New Roman" w:eastAsia="Times New Roman" w:hAnsi="Times New Roman"/>
          <w:sz w:val="18"/>
          <w:szCs w:val="18"/>
          <w:b w:val="1"/>
          <w:bCs w:val="1"/>
          <w:color w:val="auto"/>
        </w:rPr>
      </w:pPr>
    </w:p>
    <w:p>
      <w:pPr>
        <w:jc w:val="both"/>
        <w:ind w:left="8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months ended March 31, 2025 are not necessarily indicative of the results that may be expected for the current year ending December 31, 2025. The financial data presented herein should be read in conjunction with the audited consolidated financial statements and accompanying notes as of and for the years ended December 31, 2024, and 2023 included in the Annual Report on Form 10-K for the year ended December 31, 2024 (the “2024 Form 10-K”).</w:t>
      </w:r>
    </w:p>
    <w:p>
      <w:pPr>
        <w:spacing w:after="0" w:line="121"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94"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94"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48"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Company’s 2024 Form 10-K, filed with the SEC, on March 17, 2025. There have been no material changes to the Company’s significant accounting policies.</w:t>
      </w:r>
    </w:p>
    <w:p>
      <w:pPr>
        <w:spacing w:after="0" w:line="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condensed consolidated financial statements and notes to conform to the current year presentation. These reclassifications do not impact the gross margin, loss from operations, loss before provision for income taxes, and net loss and comprehensive loss presented on the condensed consolidated statements of operations and comprehensive loss.</w:t>
      </w:r>
    </w:p>
    <w:p>
      <w:pPr>
        <w:spacing w:after="0" w:line="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201" w:lineRule="exact"/>
        <w:rPr>
          <w:sz w:val="20"/>
          <w:szCs w:val="20"/>
          <w:color w:val="auto"/>
        </w:rPr>
      </w:pPr>
    </w:p>
    <w:tbl>
      <w:tblPr>
        <w:tblLayout w:type="fixed"/>
        <w:tblInd w:w="22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6"/>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31"/>
        </w:trPr>
        <w:tc>
          <w:tcPr>
            <w:tcW w:w="36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Dispensary</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71,623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107,238</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Cultivation and wholesale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15,373</w:t>
            </w:r>
          </w:p>
        </w:tc>
      </w:tr>
      <w:tr>
        <w:trPr>
          <w:trHeight w:val="33"/>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2"/>
        </w:trPr>
        <w:tc>
          <w:tcPr>
            <w:tcW w:w="3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netted discounts of $22,317 and $36,379, respectively, against the revenues. Discounts are provided by the Company during promotional days or weekends. Discounts are also provided to employees, seniors, and other categories of customers and may include price reductions and coupons.</w:t>
      </w:r>
    </w:p>
    <w:p>
      <w:pPr>
        <w:spacing w:after="0" w:line="388"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6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Accessories and supplies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66,933</w:t>
            </w:r>
          </w:p>
        </w:tc>
      </w:tr>
      <w:tr>
        <w:trPr>
          <w:trHeight w:val="33"/>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26,519</w:t>
            </w: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90,688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94,516</w:t>
            </w:r>
          </w:p>
        </w:tc>
      </w:tr>
      <w:tr>
        <w:trPr>
          <w:trHeight w:val="24"/>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were write-downs of $1,252 and $5,430 during the three months ended March 31, 2025 and March 31, 2024, respectively.</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Inventory is stated net of provision of $5,274 and $5,478 as of March 31, 2025 and December 31, 2024, respectively.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360" w:type="dxa"/>
            <w:vAlign w:val="bottom"/>
            <w:tcBorders>
              <w:bottom w:val="single" w:sz="8" w:color="CFF0FC"/>
            </w:tcBorders>
          </w:tcPr>
          <w:p>
            <w:pPr>
              <w:spacing w:after="0"/>
              <w:rPr>
                <w:sz w:val="2"/>
                <w:szCs w:val="2"/>
                <w:color w:val="auto"/>
              </w:rPr>
            </w:pPr>
          </w:p>
        </w:tc>
        <w:tc>
          <w:tcPr>
            <w:tcW w:w="55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25,450</w:t>
            </w:r>
          </w:p>
        </w:tc>
      </w:tr>
      <w:tr>
        <w:trPr>
          <w:trHeight w:val="33"/>
        </w:trPr>
        <w:tc>
          <w:tcPr>
            <w:tcW w:w="3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w:t>
            </w:r>
          </w:p>
        </w:tc>
      </w:tr>
      <w:tr>
        <w:trPr>
          <w:trHeight w:val="33"/>
        </w:trPr>
        <w:tc>
          <w:tcPr>
            <w:tcW w:w="360" w:type="dxa"/>
            <w:vAlign w:val="bottom"/>
            <w:tcBorders>
              <w:bottom w:val="single" w:sz="8" w:color="CFF0FC"/>
            </w:tcBorders>
          </w:tcPr>
          <w:p>
            <w:pPr>
              <w:spacing w:after="0"/>
              <w:rPr>
                <w:sz w:val="2"/>
                <w:szCs w:val="2"/>
                <w:color w:val="auto"/>
              </w:rPr>
            </w:pPr>
          </w:p>
        </w:tc>
        <w:tc>
          <w:tcPr>
            <w:tcW w:w="55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6"/>
        </w:trPr>
        <w:tc>
          <w:tcPr>
            <w:tcW w:w="360" w:type="dxa"/>
            <w:vAlign w:val="bottom"/>
            <w:tcBorders>
              <w:bottom w:val="single" w:sz="8" w:color="CFF0FC"/>
            </w:tcBorders>
            <w:shd w:val="clear" w:color="auto" w:fill="CFF0FC"/>
          </w:tcPr>
          <w:p>
            <w:pPr>
              <w:spacing w:after="0"/>
              <w:rPr>
                <w:sz w:val="18"/>
                <w:szCs w:val="18"/>
                <w:color w:val="auto"/>
              </w:rPr>
            </w:pPr>
          </w:p>
        </w:tc>
        <w:tc>
          <w:tcPr>
            <w:tcW w:w="5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310,910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312,873</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33"/>
        </w:trPr>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940" w:type="dxa"/>
            <w:vAlign w:val="bottom"/>
            <w:tcBorders>
              <w:bottom w:val="single" w:sz="8" w:color="CAEEFB"/>
            </w:tcBorders>
            <w:gridSpan w:val="2"/>
            <w:shd w:val="clear" w:color="auto" w:fill="CAEEFB"/>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04"/>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302,606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301,973</w:t>
            </w:r>
          </w:p>
        </w:tc>
      </w:tr>
      <w:tr>
        <w:trPr>
          <w:trHeight w:val="33"/>
        </w:trPr>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net*</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(52,461)</w:t>
            </w:r>
          </w:p>
        </w:tc>
      </w:tr>
      <w:tr>
        <w:trPr>
          <w:trHeight w:val="204"/>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248,460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249,512</w:t>
            </w:r>
          </w:p>
        </w:tc>
      </w:tr>
      <w:tr>
        <w:trPr>
          <w:trHeight w:val="33"/>
        </w:trPr>
        <w:tc>
          <w:tcPr>
            <w:tcW w:w="3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900" w:right="20" w:hanging="103"/>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81"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March 31, 2025.</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60"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11"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60"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 Through March 31, 2025, 983,604 shares were issued to convert $300 principal.</w:t>
      </w:r>
    </w:p>
    <w:p>
      <w:pPr>
        <w:spacing w:after="0" w:line="102"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 Notes are impacted by the 2025 Debt Transaction.</w:t>
      </w:r>
    </w:p>
    <w:p>
      <w:pPr>
        <w:spacing w:after="0" w:line="1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160"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27"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41" w:lineRule="exact"/>
        <w:rPr>
          <w:sz w:val="20"/>
          <w:szCs w:val="20"/>
          <w:color w:val="auto"/>
        </w:rPr>
      </w:pPr>
    </w:p>
    <w:p>
      <w:pPr>
        <w:jc w:val="both"/>
        <w:ind w:left="820"/>
        <w:spacing w:after="0" w:line="245"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 Agreement”), with certain holders of the Company’s 6.0% senior secured 2025 Convertible Notes (the “Holders”), pursuant to which the Company agreed to the repurchase of up to $25 million principal amount of the 2025 Convertible Notes in exchange for Common Shares (the “January 2024 Debt Exchange”).</w:t>
      </w:r>
    </w:p>
    <w:p>
      <w:pPr>
        <w:spacing w:after="0" w:line="1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44" w:lineRule="exact"/>
        <w:rPr>
          <w:sz w:val="20"/>
          <w:szCs w:val="20"/>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108" w:lineRule="exact"/>
        <w:rPr>
          <w:rFonts w:ascii="Times New Roman" w:cs="Times New Roman" w:eastAsia="Times New Roman" w:hAnsi="Times New Roman"/>
          <w:sz w:val="18"/>
          <w:szCs w:val="18"/>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108" w:lineRule="exact"/>
        <w:rPr>
          <w:rFonts w:ascii="Times New Roman" w:cs="Times New Roman" w:eastAsia="Times New Roman" w:hAnsi="Times New Roman"/>
          <w:sz w:val="18"/>
          <w:szCs w:val="18"/>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280"/>
        <w:spacing w:after="0" w:line="256" w:lineRule="auto"/>
        <w:rPr>
          <w:sz w:val="20"/>
          <w:szCs w:val="20"/>
          <w:color w:val="auto"/>
        </w:rPr>
      </w:pPr>
      <w:r>
        <w:rPr>
          <w:rFonts w:ascii="Times New Roman" w:cs="Times New Roman" w:eastAsia="Times New Roman" w:hAnsi="Times New Roman"/>
          <w:sz w:val="18"/>
          <w:szCs w:val="18"/>
          <w:color w:val="auto"/>
        </w:rPr>
        <w:t>than 600,000 Common Shares on the applicable trading dates, from the period commencing on January 1, 2024 and ending on March 31,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18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160"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$18,133 as of March 31, 2025. In connection with this mortgage, the Company incurred financing costs of $655.</w:t>
      </w:r>
    </w:p>
    <w:p>
      <w:pPr>
        <w:spacing w:after="0" w:line="11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$15,734 as of March 31. 2025. In connection with this mortgage, the Company incurred financing costs of $209.</w:t>
      </w:r>
    </w:p>
    <w:p>
      <w:pPr>
        <w:spacing w:after="0" w:line="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58" w:lineRule="exact"/>
        <w:rPr>
          <w:sz w:val="20"/>
          <w:szCs w:val="20"/>
          <w:color w:val="auto"/>
        </w:rPr>
      </w:pPr>
    </w:p>
    <w:p>
      <w:pPr>
        <w:jc w:val="both"/>
        <w:ind w:left="2280" w:hanging="1157"/>
        <w:spacing w:after="0" w:line="261" w:lineRule="auto"/>
        <w:tabs>
          <w:tab w:leader="none" w:pos="2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112" w:lineRule="exact"/>
        <w:rPr>
          <w:rFonts w:ascii="Times New Roman" w:cs="Times New Roman" w:eastAsia="Times New Roman" w:hAnsi="Times New Roman"/>
          <w:sz w:val="18"/>
          <w:szCs w:val="18"/>
          <w:color w:val="auto"/>
        </w:rPr>
      </w:pPr>
    </w:p>
    <w:p>
      <w:pPr>
        <w:jc w:val="both"/>
        <w:ind w:left="2280" w:hanging="1157"/>
        <w:spacing w:after="0" w:line="261" w:lineRule="auto"/>
        <w:tabs>
          <w:tab w:leader="none" w:pos="2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second agreement provides for a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 Company incurred financing costs of $77 and netted $1,723. The mortgage was paid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full on January 15, 2025 with the sale of the property.</w:t>
      </w:r>
    </w:p>
    <w:p>
      <w:pPr>
        <w:spacing w:after="0" w:line="99"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months ended March 31, 2025 and 2024 are as follows:</w:t>
      </w:r>
    </w:p>
    <w:p>
      <w:pPr>
        <w:spacing w:after="0" w:line="137"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31"/>
        </w:trPr>
        <w:tc>
          <w:tcPr>
            <w:tcW w:w="3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w:t>
            </w: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-822325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8.85%.</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2025 Debt Transaction</w:t>
      </w:r>
    </w:p>
    <w:p>
      <w:pPr>
        <w:spacing w:after="0" w:line="18" w:lineRule="exact"/>
        <w:rPr>
          <w:sz w:val="20"/>
          <w:szCs w:val="20"/>
          <w:color w:val="auto"/>
        </w:rPr>
      </w:pPr>
    </w:p>
    <w:p>
      <w:pPr>
        <w:jc w:val="both"/>
        <w:ind w:left="420"/>
        <w:spacing w:after="0" w:line="237" w:lineRule="auto"/>
        <w:rPr>
          <w:sz w:val="20"/>
          <w:szCs w:val="20"/>
          <w:color w:val="auto"/>
        </w:rPr>
      </w:pPr>
      <w:r>
        <w:rPr>
          <w:rFonts w:ascii="Times New Roman" w:cs="Times New Roman" w:eastAsia="Times New Roman" w:hAnsi="Times New Roman"/>
          <w:sz w:val="18"/>
          <w:szCs w:val="18"/>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 (iii) the 2027 Notes (together with the 2025 Notes and the 2026 Notes, the “Senior Notes”). Under the terms of the 2025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420"/>
        <w:spacing w:after="0" w:line="230" w:lineRule="auto"/>
        <w:rPr>
          <w:sz w:val="20"/>
          <w:szCs w:val="20"/>
          <w:color w:val="auto"/>
        </w:rPr>
      </w:pPr>
      <w:r>
        <w:rPr>
          <w:rFonts w:ascii="Times New Roman" w:cs="Times New Roman" w:eastAsia="Times New Roman" w:hAnsi="Times New Roman"/>
          <w:sz w:val="18"/>
          <w:szCs w:val="18"/>
          <w:color w:val="auto"/>
        </w:rPr>
        <w:t>Debt Transaction, among other provisions, the holders of the 2025 Convertible Notes and the 2026 Notes will exchange their Senior Notes for an equal principal amount of 9.25% senior secured notes due December 31, 2028 (subject to two six-month extension options available to the Company upon payment of a 0.5% fee, payable in cash) (the “New Senior Notes”) and the holders of the 2027 Notes will be given the right to elect to receive either (i) an equal principal amount of New Senior Notes or (ii) an equal principal amount of newly issued 9.0% convertible notes, which will have the same conversion price as the existing 2027 Notes but will have the same extended maturity date as the New Senior Notes (the “New Convertible Notes”, and together with the New Senior Notes, the “New Notes”). On April 29, 2025, the holders of Senior Notes (the “Senior Noteholders”) voted to approve the Arrangement (the “Arrangement Resolution”) for the 2025 Debt Transaction at the special meeting of Senior Noteholders (the “Meeting”). The Arrangement Resolution, which required the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votes cast by the Senior Noteholders present in person or by proxy at the Meeting, was approved by over 75% of the votes cast by the Senior Noteholders present in person or by proxy at the Meeting. The 2025 Debt Transaction remains subject to the satisfaction of certain closing conditions, including court approval, which is currently opposed by a holder of the 2025 Notes.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9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and buildings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109,052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r>
      <w:tr>
        <w:trPr>
          <w:trHeight w:val="210"/>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32,112</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34,367</w:t>
            </w:r>
          </w:p>
        </w:tc>
      </w:tr>
      <w:tr>
        <w:trPr>
          <w:trHeight w:val="210"/>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154,351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155,529</w:t>
            </w:r>
          </w:p>
        </w:tc>
      </w:tr>
      <w:tr>
        <w:trPr>
          <w:trHeight w:val="210"/>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r>
      <w:tr>
        <w:trPr>
          <w:trHeight w:val="33"/>
        </w:trPr>
        <w:tc>
          <w:tcPr>
            <w:tcW w:w="59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308,347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320,905</w:t>
            </w:r>
          </w:p>
        </w:tc>
      </w:tr>
      <w:tr>
        <w:trPr>
          <w:trHeight w:val="210"/>
        </w:trPr>
        <w:tc>
          <w:tcPr>
            <w:tcW w:w="5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(92,509)</w:t>
            </w:r>
          </w:p>
        </w:tc>
      </w:tr>
      <w:tr>
        <w:trPr>
          <w:trHeight w:val="33"/>
        </w:trPr>
        <w:tc>
          <w:tcPr>
            <w:tcW w:w="59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5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218,459</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228,396</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600" w:type="dxa"/>
            <w:vAlign w:val="bottom"/>
            <w:tcBorders>
              <w:top w:val="single" w:sz="8" w:color="CFF0FC"/>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262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r>
      <w:tr>
        <w:trPr>
          <w:trHeight w:val="206"/>
        </w:trPr>
        <w:tc>
          <w:tcPr>
            <w:tcW w:w="2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7"/>
                <w:szCs w:val="17"/>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155"/>
        </w:trPr>
        <w:tc>
          <w:tcPr>
            <w:tcW w:w="28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Total depreciation expense for three</w:t>
            </w: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months ended</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2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Costs of sales related to inventory</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production</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175"/>
        </w:trPr>
        <w:tc>
          <w:tcPr>
            <w:tcW w:w="2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201"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1"/>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9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deposits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tax receivable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3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r>
      <w:tr>
        <w:trPr>
          <w:trHeight w:val="33"/>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2"/>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87"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7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 property and other</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liabilities</w:t>
            </w:r>
          </w:p>
        </w:tc>
        <w:tc>
          <w:tcPr>
            <w:tcW w:w="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10,709</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r>
      <w:tr>
        <w:trPr>
          <w:trHeight w:val="33"/>
        </w:trPr>
        <w:tc>
          <w:tcPr>
            <w:tcW w:w="7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28,332</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32,839</w:t>
            </w: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The change in other accrued expenses includes the resolution of a previously disclosed lawsuit relating to the Green Leaf Transaction, as disclosed in the Company's Form 10-Q for the quarter ended March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months ended March 31, 2025:</w:t>
      </w:r>
    </w:p>
    <w:p>
      <w:pPr>
        <w:spacing w:after="0" w:line="31" w:lineRule="exact"/>
        <w:rPr>
          <w:sz w:val="20"/>
          <w:szCs w:val="20"/>
          <w:color w:val="auto"/>
        </w:rPr>
      </w:pPr>
    </w:p>
    <w:p>
      <w:pPr>
        <w:ind w:left="1540" w:hanging="803"/>
        <w:spacing w:after="0"/>
        <w:tabs>
          <w:tab w:leader="none" w:pos="1540" w:val="left"/>
        </w:tabs>
        <w:numPr>
          <w:ilvl w:val="1"/>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Cancelled 93,662 of Restricted Stock Units (RSUs).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and December 31, 2024, outstanding equity-classified warrants to purchase Common Shares consisted of the following:</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06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21, 2026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1E5F5"/>
            </w:tcBorders>
          </w:tcPr>
          <w:p>
            <w:pPr>
              <w:spacing w:after="0"/>
              <w:rPr>
                <w:sz w:val="2"/>
                <w:szCs w:val="2"/>
                <w:color w:val="auto"/>
              </w:rPr>
            </w:pPr>
          </w:p>
        </w:tc>
        <w:tc>
          <w:tcPr>
            <w:tcW w:w="100" w:type="dxa"/>
            <w:vAlign w:val="bottom"/>
            <w:tcBorders>
              <w:bottom w:val="single" w:sz="8" w:color="C1E5F5"/>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1E5F5"/>
            </w:tcBorders>
          </w:tcPr>
          <w:p>
            <w:pPr>
              <w:spacing w:after="0"/>
              <w:rPr>
                <w:sz w:val="2"/>
                <w:szCs w:val="2"/>
                <w:color w:val="auto"/>
              </w:rPr>
            </w:pPr>
          </w:p>
        </w:tc>
        <w:tc>
          <w:tcPr>
            <w:tcW w:w="180" w:type="dxa"/>
            <w:vAlign w:val="bottom"/>
            <w:tcBorders>
              <w:bottom w:val="single" w:sz="8" w:color="C1E5F5"/>
            </w:tcBorders>
          </w:tcPr>
          <w:p>
            <w:pPr>
              <w:spacing w:after="0"/>
              <w:rPr>
                <w:sz w:val="2"/>
                <w:szCs w:val="2"/>
                <w:color w:val="auto"/>
              </w:rPr>
            </w:pPr>
          </w:p>
        </w:tc>
        <w:tc>
          <w:tcPr>
            <w:tcW w:w="1300" w:type="dxa"/>
            <w:vAlign w:val="bottom"/>
            <w:tcBorders>
              <w:bottom w:val="single" w:sz="8" w:color="C1E5F5"/>
            </w:tcBorders>
          </w:tcPr>
          <w:p>
            <w:pPr>
              <w:spacing w:after="0"/>
              <w:rPr>
                <w:sz w:val="2"/>
                <w:szCs w:val="2"/>
                <w:color w:val="auto"/>
              </w:rPr>
            </w:pPr>
          </w:p>
        </w:tc>
        <w:tc>
          <w:tcPr>
            <w:tcW w:w="100" w:type="dxa"/>
            <w:vAlign w:val="bottom"/>
            <w:tcBorders>
              <w:bottom w:val="single" w:sz="8" w:color="C1E5F5"/>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1E5F5"/>
            </w:tcBorders>
          </w:tcPr>
          <w:p>
            <w:pPr>
              <w:spacing w:after="0"/>
              <w:rPr>
                <w:sz w:val="2"/>
                <w:szCs w:val="2"/>
                <w:color w:val="auto"/>
              </w:rPr>
            </w:pPr>
          </w:p>
        </w:tc>
        <w:tc>
          <w:tcPr>
            <w:tcW w:w="180" w:type="dxa"/>
            <w:vAlign w:val="bottom"/>
            <w:tcBorders>
              <w:bottom w:val="single" w:sz="8" w:color="C1E5F5"/>
            </w:tcBorders>
          </w:tcPr>
          <w:p>
            <w:pPr>
              <w:spacing w:after="0"/>
              <w:rPr>
                <w:sz w:val="2"/>
                <w:szCs w:val="2"/>
                <w:color w:val="auto"/>
              </w:rPr>
            </w:pPr>
          </w:p>
        </w:tc>
        <w:tc>
          <w:tcPr>
            <w:tcW w:w="1320" w:type="dxa"/>
            <w:vAlign w:val="bottom"/>
            <w:tcBorders>
              <w:bottom w:val="single" w:sz="8" w:color="C1E5F5"/>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700" w:type="dxa"/>
            <w:vAlign w:val="bottom"/>
            <w:tcBorders>
              <w:bottom w:val="single" w:sz="8" w:color="C1E5F5"/>
            </w:tcBorders>
            <w:shd w:val="clear" w:color="auto" w:fill="C1E5F5"/>
          </w:tcPr>
          <w:p>
            <w:pPr>
              <w:spacing w:after="0"/>
              <w:rPr>
                <w:sz w:val="22"/>
                <w:szCs w:val="22"/>
                <w:color w:val="auto"/>
              </w:rPr>
            </w:pPr>
          </w:p>
        </w:tc>
        <w:tc>
          <w:tcPr>
            <w:tcW w:w="100" w:type="dxa"/>
            <w:vAlign w:val="bottom"/>
            <w:tcBorders>
              <w:bottom w:val="single" w:sz="8" w:color="C1E5F5"/>
            </w:tcBorders>
            <w:shd w:val="clear" w:color="auto" w:fill="C1E5F5"/>
          </w:tcPr>
          <w:p>
            <w:pPr>
              <w:spacing w:after="0"/>
              <w:rPr>
                <w:sz w:val="22"/>
                <w:szCs w:val="22"/>
                <w:color w:val="auto"/>
              </w:rPr>
            </w:pPr>
          </w:p>
        </w:tc>
        <w:tc>
          <w:tcPr>
            <w:tcW w:w="146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280" w:type="dxa"/>
            <w:vAlign w:val="bottom"/>
            <w:tcBorders>
              <w:bottom w:val="single" w:sz="8" w:color="C1E5F5"/>
            </w:tcBorders>
            <w:gridSpan w:val="2"/>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1E5F5"/>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1E5F5"/>
            </w:tcBorders>
            <w:shd w:val="clear" w:color="auto" w:fill="C1E5F5"/>
          </w:tcPr>
          <w:p>
            <w:pPr>
              <w:spacing w:after="0"/>
              <w:rPr>
                <w:sz w:val="22"/>
                <w:szCs w:val="22"/>
                <w:color w:val="auto"/>
              </w:rPr>
            </w:pPr>
          </w:p>
        </w:tc>
        <w:tc>
          <w:tcPr>
            <w:tcW w:w="1460" w:type="dxa"/>
            <w:vAlign w:val="bottom"/>
            <w:tcBorders>
              <w:bottom w:val="single" w:sz="8" w:color="auto"/>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280" w:type="dxa"/>
            <w:vAlign w:val="bottom"/>
            <w:tcBorders>
              <w:bottom w:val="single" w:sz="8" w:color="C1E5F5"/>
            </w:tcBorders>
            <w:gridSpan w:val="2"/>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1E5F5"/>
            </w:tcBorders>
            <w:shd w:val="clear" w:color="auto" w:fill="C1E5F5"/>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
        </w:trPr>
        <w:tc>
          <w:tcPr>
            <w:tcW w:w="2700" w:type="dxa"/>
            <w:vAlign w:val="bottom"/>
            <w:tcBorders>
              <w:top w:val="single" w:sz="8" w:color="C1E5F5"/>
            </w:tcBorders>
          </w:tcPr>
          <w:p>
            <w:pPr>
              <w:spacing w:after="0" w:line="20" w:lineRule="exact"/>
              <w:rPr>
                <w:sz w:val="1"/>
                <w:szCs w:val="1"/>
                <w:color w:val="auto"/>
              </w:rPr>
            </w:pPr>
          </w:p>
        </w:tc>
        <w:tc>
          <w:tcPr>
            <w:tcW w:w="100" w:type="dxa"/>
            <w:vAlign w:val="bottom"/>
            <w:tcBorders>
              <w:top w:val="single" w:sz="8" w:color="C1E5F5"/>
            </w:tcBorders>
          </w:tcPr>
          <w:p>
            <w:pPr>
              <w:spacing w:after="0" w:line="20" w:lineRule="exact"/>
              <w:rPr>
                <w:sz w:val="1"/>
                <w:szCs w:val="1"/>
                <w:color w:val="auto"/>
              </w:rPr>
            </w:pPr>
          </w:p>
        </w:tc>
        <w:tc>
          <w:tcPr>
            <w:tcW w:w="1460" w:type="dxa"/>
            <w:vAlign w:val="bottom"/>
            <w:tcBorders>
              <w:top w:val="single" w:sz="8" w:color="C1E5F5"/>
              <w:bottom w:val="single" w:sz="8" w:color="auto"/>
            </w:tcBorders>
          </w:tcPr>
          <w:p>
            <w:pPr>
              <w:spacing w:after="0" w:line="20" w:lineRule="exact"/>
              <w:rPr>
                <w:sz w:val="1"/>
                <w:szCs w:val="1"/>
                <w:color w:val="auto"/>
              </w:rPr>
            </w:pPr>
          </w:p>
        </w:tc>
        <w:tc>
          <w:tcPr>
            <w:tcW w:w="100" w:type="dxa"/>
            <w:vAlign w:val="bottom"/>
            <w:tcBorders>
              <w:top w:val="single" w:sz="8" w:color="C1E5F5"/>
            </w:tcBorders>
          </w:tcPr>
          <w:p>
            <w:pPr>
              <w:spacing w:after="0" w:line="20" w:lineRule="exact"/>
              <w:rPr>
                <w:sz w:val="1"/>
                <w:szCs w:val="1"/>
                <w:color w:val="auto"/>
              </w:rPr>
            </w:pPr>
          </w:p>
        </w:tc>
        <w:tc>
          <w:tcPr>
            <w:tcW w:w="180" w:type="dxa"/>
            <w:vAlign w:val="bottom"/>
            <w:tcBorders>
              <w:top w:val="single" w:sz="8" w:color="C1E5F5"/>
            </w:tcBorders>
          </w:tcPr>
          <w:p>
            <w:pPr>
              <w:spacing w:after="0" w:line="20" w:lineRule="exact"/>
              <w:rPr>
                <w:sz w:val="1"/>
                <w:szCs w:val="1"/>
                <w:color w:val="auto"/>
              </w:rPr>
            </w:pPr>
          </w:p>
        </w:tc>
        <w:tc>
          <w:tcPr>
            <w:tcW w:w="1300" w:type="dxa"/>
            <w:vAlign w:val="bottom"/>
            <w:tcBorders>
              <w:top w:val="single" w:sz="8" w:color="C1E5F5"/>
            </w:tcBorders>
          </w:tcPr>
          <w:p>
            <w:pPr>
              <w:spacing w:after="0" w:line="20" w:lineRule="exact"/>
              <w:rPr>
                <w:sz w:val="1"/>
                <w:szCs w:val="1"/>
                <w:color w:val="auto"/>
              </w:rPr>
            </w:pPr>
          </w:p>
        </w:tc>
        <w:tc>
          <w:tcPr>
            <w:tcW w:w="100" w:type="dxa"/>
            <w:vAlign w:val="bottom"/>
            <w:tcBorders>
              <w:top w:val="single" w:sz="8" w:color="C1E5F5"/>
            </w:tcBorders>
          </w:tcPr>
          <w:p>
            <w:pPr>
              <w:spacing w:after="0" w:line="20" w:lineRule="exact"/>
              <w:rPr>
                <w:sz w:val="1"/>
                <w:szCs w:val="1"/>
                <w:color w:val="auto"/>
              </w:rPr>
            </w:pPr>
          </w:p>
        </w:tc>
        <w:tc>
          <w:tcPr>
            <w:tcW w:w="1460" w:type="dxa"/>
            <w:vAlign w:val="bottom"/>
            <w:tcBorders>
              <w:top w:val="single" w:sz="8" w:color="C1E5F5"/>
              <w:bottom w:val="single" w:sz="8" w:color="auto"/>
            </w:tcBorders>
          </w:tcPr>
          <w:p>
            <w:pPr>
              <w:spacing w:after="0" w:line="20" w:lineRule="exact"/>
              <w:rPr>
                <w:sz w:val="1"/>
                <w:szCs w:val="1"/>
                <w:color w:val="auto"/>
              </w:rPr>
            </w:pPr>
          </w:p>
        </w:tc>
        <w:tc>
          <w:tcPr>
            <w:tcW w:w="100" w:type="dxa"/>
            <w:vAlign w:val="bottom"/>
            <w:tcBorders>
              <w:top w:val="single" w:sz="8" w:color="C1E5F5"/>
            </w:tcBorders>
          </w:tcPr>
          <w:p>
            <w:pPr>
              <w:spacing w:after="0" w:line="20" w:lineRule="exact"/>
              <w:rPr>
                <w:sz w:val="1"/>
                <w:szCs w:val="1"/>
                <w:color w:val="auto"/>
              </w:rPr>
            </w:pPr>
          </w:p>
        </w:tc>
        <w:tc>
          <w:tcPr>
            <w:tcW w:w="180" w:type="dxa"/>
            <w:vAlign w:val="bottom"/>
            <w:tcBorders>
              <w:top w:val="single" w:sz="8" w:color="C1E5F5"/>
            </w:tcBorders>
          </w:tcPr>
          <w:p>
            <w:pPr>
              <w:spacing w:after="0" w:line="20" w:lineRule="exact"/>
              <w:rPr>
                <w:sz w:val="1"/>
                <w:szCs w:val="1"/>
                <w:color w:val="auto"/>
              </w:rPr>
            </w:pPr>
          </w:p>
        </w:tc>
        <w:tc>
          <w:tcPr>
            <w:tcW w:w="1320" w:type="dxa"/>
            <w:vAlign w:val="bottom"/>
            <w:tcBorders>
              <w:top w:val="single" w:sz="8" w:color="C1E5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Warrant activity for the nine months ended March 31, 2025 and 2024 are summarized in the table below:</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0" w:type="dxa"/>
            <w:vAlign w:val="bottom"/>
          </w:tcPr>
          <w:p>
            <w:pPr>
              <w:spacing w:after="0"/>
              <w:rPr>
                <w:sz w:val="1"/>
                <w:szCs w:val="1"/>
                <w:color w:val="auto"/>
              </w:rPr>
            </w:pPr>
          </w:p>
        </w:tc>
      </w:tr>
      <w:tr>
        <w:trPr>
          <w:trHeight w:val="217"/>
        </w:trPr>
        <w:tc>
          <w:tcPr>
            <w:tcW w:w="5940" w:type="dxa"/>
            <w:vAlign w:val="bottom"/>
            <w:tcBorders>
              <w:top w:val="single" w:sz="8" w:color="CCEEFF"/>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940" w:type="dxa"/>
            <w:vAlign w:val="bottom"/>
            <w:vMerge w:val="continue"/>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580" w:type="dxa"/>
            <w:vAlign w:val="bottom"/>
            <w:tcBorders>
              <w:bottom w:val="single" w:sz="8" w:color="CFF0FC"/>
            </w:tcBorders>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640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31"/>
        </w:trPr>
        <w:tc>
          <w:tcPr>
            <w:tcW w:w="64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r>
      <w:tr>
        <w:trPr>
          <w:trHeight w:val="210"/>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w:t>
            </w:r>
          </w:p>
        </w:tc>
      </w:tr>
      <w:tr>
        <w:trPr>
          <w:trHeight w:val="3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net profit attributable to non-controlling interests</w:t>
            </w: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04"/>
        </w:trPr>
        <w:tc>
          <w:tcPr>
            <w:tcW w:w="6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100" w:type="dxa"/>
            <w:vAlign w:val="bottom"/>
          </w:tcPr>
          <w:p>
            <w:pPr>
              <w:spacing w:after="0"/>
              <w:rPr>
                <w:sz w:val="17"/>
                <w:szCs w:val="17"/>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w:t>
            </w:r>
          </w:p>
        </w:tc>
      </w:tr>
      <w:tr>
        <w:trPr>
          <w:trHeight w:val="3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473,012,103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445,633,865</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7"/>
                <w:szCs w:val="17"/>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3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-668020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-1319530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37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1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Except as described below,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6"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Murchinson Ltd., an investment manager of holders of 2025 Notes and 2027 Notes (the “Applicant”), filed an application in the Ontario Superior Court of Justice (Commercial List) on March 27, 2025, opposing the 2025 Debt Transaction and claiming the transaction was oppressive to the Applicant. The application filed by the Applicant also</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claims breach of contract and civil conspiracy. The Applicant seeks from the court, among other forms of relief, that the 2025 Debt Transaction be declared unlawful under the terms of the Canadian Business Corporations Act, an award of unspecified damages, and recovery of costs. A hearing is scheduled for May 12, 2025. Although the Company believes in the merits of its legal and factual arguments, the final outcome of the legal proceedings with respect to the 2025 Debt Transaction, including the oppression application, cannot be determined at this time.</w:t>
      </w:r>
    </w:p>
    <w:p>
      <w:pPr>
        <w:spacing w:after="0" w:line="392" w:lineRule="exact"/>
        <w:rPr>
          <w:sz w:val="20"/>
          <w:szCs w:val="20"/>
          <w:color w:val="auto"/>
        </w:rPr>
      </w:pPr>
    </w:p>
    <w:p>
      <w:pPr>
        <w:ind w:left="820" w:right="5400" w:hanging="812"/>
        <w:spacing w:after="0" w:line="417" w:lineRule="auto"/>
        <w:tabs>
          <w:tab w:leader="none" w:pos="3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tcBorders>
              <w:top w:val="single" w:sz="8" w:color="CFF0FC"/>
            </w:tcBorders>
            <w:vMerge w:val="continue"/>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37"/>
        </w:trPr>
        <w:tc>
          <w:tcPr>
            <w:tcW w:w="2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tcBorders>
              <w:top w:val="single" w:sz="8" w:color="CFF0FC"/>
              <w:bottom w:val="single" w:sz="8" w:color="CFF0FC"/>
            </w:tcBorders>
            <w:vMerge w:val="continue"/>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investment securities are stated at observable inputs such as quoted prices in active markets.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21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Financial asset/financial</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18"/>
        </w:trPr>
        <w:tc>
          <w:tcPr>
            <w:tcW w:w="218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40" w:type="dxa"/>
            <w:vAlign w:val="bottom"/>
            <w:vMerge w:val="continue"/>
          </w:tcPr>
          <w:p>
            <w:pPr>
              <w:spacing w:after="0"/>
              <w:rPr>
                <w:sz w:val="10"/>
                <w:szCs w:val="10"/>
                <w:color w:val="auto"/>
              </w:rPr>
            </w:pPr>
          </w:p>
        </w:tc>
        <w:tc>
          <w:tcPr>
            <w:tcW w:w="210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Derivative liability</w:t>
            </w:r>
          </w:p>
        </w:tc>
        <w:tc>
          <w:tcPr>
            <w:tcW w:w="2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 approach</w:t>
            </w:r>
          </w:p>
        </w:tc>
        <w:tc>
          <w:tcPr>
            <w:tcW w:w="2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Conversion Period</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or decrease in conversion</w:t>
            </w:r>
          </w:p>
        </w:tc>
        <w:tc>
          <w:tcPr>
            <w:tcW w:w="0" w:type="dxa"/>
            <w:vAlign w:val="bottom"/>
          </w:tcPr>
          <w:p>
            <w:pPr>
              <w:spacing w:after="0"/>
              <w:rPr>
                <w:sz w:val="1"/>
                <w:szCs w:val="1"/>
                <w:color w:val="auto"/>
              </w:rPr>
            </w:pPr>
          </w:p>
        </w:tc>
      </w:tr>
      <w:tr>
        <w:trPr>
          <w:trHeight w:val="189"/>
        </w:trPr>
        <w:tc>
          <w:tcPr>
            <w:tcW w:w="218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period will result in an increase or</w:t>
            </w: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decrease in fair value</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There has been no change in the valuation methodology for the three months ended March 31, 2025. The carrying amounts of cash and restricted cash, accounts receivable, other current assets, accounts payable, accrued expenses, other current liabilities, the current portion of long-term debt, and lease liability as of March 31, 2025 and December 31, 2024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10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March 31, 2025 and December 31, 2024. These estimates require management's judgment and may not be indicative of the future fair values of the assets and liabilities.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INTANGIBLE ASSETS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0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108,127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109,973</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23,810</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147,200</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149,046</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(97,797)</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48,035</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51,249</w:t>
            </w:r>
          </w:p>
        </w:tc>
      </w:tr>
      <w:tr>
        <w:trPr>
          <w:trHeight w:val="23"/>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-985520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2025 and 2024 are as follows: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366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spacing w:after="0"/>
              <w:rPr>
                <w:sz w:val="17"/>
                <w:szCs w:val="17"/>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31"/>
        </w:trPr>
        <w:tc>
          <w:tcPr>
            <w:tcW w:w="366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4"/>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33"/>
        </w:trPr>
        <w:tc>
          <w:tcPr>
            <w:tcW w:w="366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87" w:lineRule="exact"/>
        <w:rPr>
          <w:sz w:val="20"/>
          <w:szCs w:val="20"/>
          <w:color w:val="auto"/>
        </w:rPr>
      </w:pPr>
    </w:p>
    <w:tbl>
      <w:tblPr>
        <w:tblLayout w:type="fixed"/>
        <w:tblInd w:w="26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25,774</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7,080</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promotion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fees and expenses</w:t>
            </w: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167"/>
        </w:trPr>
        <w:tc>
          <w:tcPr>
            <w:tcW w:w="28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Total selling, general and administrative</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37,251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is summarized in the table below:</w:t>
      </w:r>
    </w:p>
    <w:p>
      <w:pPr>
        <w:spacing w:after="0" w:line="187" w:lineRule="exact"/>
        <w:rPr>
          <w:sz w:val="20"/>
          <w:szCs w:val="20"/>
          <w:color w:val="auto"/>
        </w:rPr>
      </w:pPr>
    </w:p>
    <w:tbl>
      <w:tblPr>
        <w:tblLayout w:type="fixed"/>
        <w:tblInd w:w="266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Change in fair value of the derivative</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liability</w:t>
            </w:r>
          </w:p>
        </w:tc>
        <w:tc>
          <w:tcPr>
            <w:tcW w:w="160" w:type="dxa"/>
            <w:vAlign w:val="bottom"/>
            <w:vMerge w:val="continue"/>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investments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1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1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-1370965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$2,696 and $2,576 in restructuring expense, respectively. As of March 31, 2025 and 2024, the balance outstanding on the Company’s restructuring reserve was $1,827 and $4,921 respectively.</w:t>
      </w:r>
    </w:p>
    <w:p>
      <w:pPr>
        <w:spacing w:after="0" w:line="175"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Loss on disposal arose primarily on the divestitures of a California store and related real estate as delineated in Note 17 below, and is stated net of any gains and losses attributable to minority investors.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1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8" w:lineRule="exact"/>
        <w:rPr>
          <w:sz w:val="20"/>
          <w:szCs w:val="20"/>
          <w:color w:val="auto"/>
        </w:rPr>
      </w:pPr>
    </w:p>
    <w:p>
      <w:pPr>
        <w:jc w:val="both"/>
        <w:ind w:left="820"/>
        <w:spacing w:after="0" w:line="237"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 and the Company received an early settlement of the Seller note on April 1, 2025 in the amount of $2.0 million.</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Arizona Divestiture</w:t>
      </w:r>
    </w:p>
    <w:p>
      <w:pPr>
        <w:spacing w:after="0" w:line="16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is being divested for gross proceeds of $15 million, with approximately all $15 million which was received on signing of the definitive agreement.</w:t>
      </w:r>
    </w:p>
    <w:p>
      <w:pPr>
        <w:spacing w:after="0" w:line="1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Eastern Virginia Divestiture</w:t>
      </w:r>
    </w:p>
    <w:p>
      <w:pPr>
        <w:spacing w:after="0" w:line="146" w:lineRule="exact"/>
        <w:rPr>
          <w:sz w:val="20"/>
          <w:szCs w:val="20"/>
          <w:color w:val="auto"/>
        </w:rPr>
      </w:pPr>
    </w:p>
    <w:p>
      <w:pPr>
        <w:jc w:val="both"/>
        <w:ind w:left="820"/>
        <w:spacing w:after="0" w:line="281" w:lineRule="auto"/>
        <w:rPr>
          <w:sz w:val="20"/>
          <w:szCs w:val="20"/>
          <w:color w:val="auto"/>
        </w:rPr>
      </w:pPr>
      <w:r>
        <w:rPr>
          <w:rFonts w:ascii="Times New Roman" w:cs="Times New Roman" w:eastAsia="Times New Roman" w:hAnsi="Times New Roman"/>
          <w:sz w:val="17"/>
          <w:szCs w:val="17"/>
          <w:color w:val="auto"/>
        </w:rPr>
        <w:t>On July 29, 2024, the Company entered into a definitive agreement, subject to closing conditions, to dispose of a portion of its Virginia operations (the "East Virginia Business") which are comprised of six dispensaries and one cultivation / manufacturing facility. The East Virginia Business is being divested for gross proceeds of $90 million, consisting of approximately $20 million in cash, $40 million of equity in the Buyer, Verano Holdings Corp., due on closing of the transaction, and a $30 million seller note payable to the Company over a 14 month period.</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Florida Business Divestiture</w:t>
      </w:r>
    </w:p>
    <w:p>
      <w:pPr>
        <w:spacing w:after="0" w:line="227"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On November 7, 2024, the Company sold the majority of its Florida operations (the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cultivation facility in the state, neither of which remained in active operation. On April 17, 2025, the Company sold the license for $5 million in cash, with the potential for an additional $2.5 million contingent payment in the event of an adult use program in the state. On April 25, 2025, the Company entered into a definitive agreement, subject to closing conditions, to sell the cultivation facility for $11 million.</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Milford, Delaware Divestiture</w:t>
      </w:r>
    </w:p>
    <w:p>
      <w:pPr>
        <w:spacing w:after="0" w:line="146" w:lineRule="exact"/>
        <w:rPr>
          <w:sz w:val="20"/>
          <w:szCs w:val="20"/>
          <w:color w:val="auto"/>
        </w:rPr>
      </w:pPr>
    </w:p>
    <w:p>
      <w:pPr>
        <w:ind w:left="820" w:right="140"/>
        <w:spacing w:after="0" w:line="266" w:lineRule="auto"/>
        <w:rPr>
          <w:sz w:val="20"/>
          <w:szCs w:val="20"/>
          <w:color w:val="auto"/>
        </w:rPr>
      </w:pPr>
      <w:r>
        <w:rPr>
          <w:rFonts w:ascii="Times New Roman" w:cs="Times New Roman" w:eastAsia="Times New Roman" w:hAnsi="Times New Roman"/>
          <w:sz w:val="18"/>
          <w:szCs w:val="18"/>
          <w:color w:val="auto"/>
        </w:rPr>
        <w:t>On January 15, 2025, the Company sold its Milford II cultivation property, which had not yet been developed and was a non-operating asset. Gross proceeds from the sale were $3.37 million, approximately $1.8 million of which was used to fully settle the outstanding mortgage on the property.</w:t>
      </w:r>
    </w:p>
    <w:p>
      <w:pPr>
        <w:spacing w:after="0" w:line="1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North Hollywood, California Divestiture</w:t>
      </w:r>
    </w:p>
    <w:p>
      <w:pPr>
        <w:spacing w:after="0" w:line="160" w:lineRule="exact"/>
        <w:rPr>
          <w:sz w:val="20"/>
          <w:szCs w:val="20"/>
          <w:color w:val="auto"/>
        </w:rPr>
      </w:pPr>
    </w:p>
    <w:p>
      <w:pPr>
        <w:ind w:left="820" w:right="340"/>
        <w:spacing w:after="0" w:line="266" w:lineRule="auto"/>
        <w:rPr>
          <w:sz w:val="20"/>
          <w:szCs w:val="20"/>
          <w:color w:val="auto"/>
        </w:rPr>
      </w:pPr>
      <w:r>
        <w:rPr>
          <w:rFonts w:ascii="Times New Roman" w:cs="Times New Roman" w:eastAsia="Times New Roman" w:hAnsi="Times New Roman"/>
          <w:sz w:val="18"/>
          <w:szCs w:val="18"/>
          <w:color w:val="auto"/>
        </w:rPr>
        <w:t>On March 18, 2025, the Company entered into a Definitive Agreement, subject to closing conditions, to dispose of its North Hollywood dispensary (the "NoHo store"). The NoHo store was divested for gross proceeds of approximately $1.375 million, with approximately $715 thousand paid up-front and the balance due on completion of closing conditions.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table below summarizes the operating results of the disposed of business for the three months ended March 31, 2025, and 2024:</w:t>
      </w:r>
    </w:p>
    <w:p>
      <w:pPr>
        <w:spacing w:after="0" w:line="18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41" w:lineRule="exact"/>
        <w:rPr>
          <w:sz w:val="20"/>
          <w:szCs w:val="20"/>
          <w:color w:val="auto"/>
        </w:rPr>
      </w:pPr>
    </w:p>
    <w:tbl>
      <w:tblPr>
        <w:tblLayout w:type="fixed"/>
        <w:tblInd w:w="2530" w:type="dxa"/>
        <w:tblCellMar>
          <w:top w:w="0" w:type="dxa"/>
          <w:left w:w="0" w:type="dxa"/>
          <w:bottom w:w="0" w:type="dxa"/>
          <w:right w:w="0" w:type="dxa"/>
        </w:tblCellMar>
      </w:tblPr>
      <w:tr>
        <w:trPr>
          <w:trHeight w:val="226"/>
        </w:trPr>
        <w:tc>
          <w:tcPr>
            <w:tcW w:w="3060" w:type="dxa"/>
            <w:vAlign w:val="bottom"/>
            <w:tcBorders>
              <w:top w:val="single" w:sz="8" w:color="auto"/>
              <w:left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 w:type="dxa"/>
            <w:vAlign w:val="bottom"/>
            <w:tcBorders>
              <w:top w:val="single" w:sz="8" w:color="auto"/>
            </w:tcBorders>
            <w:shd w:val="clear" w:color="auto" w:fill="000000"/>
          </w:tcPr>
          <w:p>
            <w:pPr>
              <w:spacing w:after="0"/>
              <w:rPr>
                <w:sz w:val="19"/>
                <w:szCs w:val="19"/>
                <w:color w:val="auto"/>
              </w:rPr>
            </w:pPr>
          </w:p>
        </w:tc>
      </w:tr>
      <w:tr>
        <w:trPr>
          <w:trHeight w:val="31"/>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9"/>
        </w:trPr>
        <w:tc>
          <w:tcPr>
            <w:tcW w:w="30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Utah</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8"/>
                <w:szCs w:val="18"/>
                <w:color w:val="auto"/>
              </w:rPr>
            </w:pPr>
          </w:p>
        </w:tc>
      </w:tr>
      <w:tr>
        <w:trPr>
          <w:trHeight w:val="219"/>
        </w:trPr>
        <w:tc>
          <w:tcPr>
            <w:tcW w:w="30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 w:type="dxa"/>
            <w:vAlign w:val="bottom"/>
          </w:tcPr>
          <w:p>
            <w:pPr>
              <w:spacing w:after="0"/>
              <w:rPr>
                <w:sz w:val="19"/>
                <w:szCs w:val="19"/>
                <w:color w:val="auto"/>
              </w:rPr>
            </w:pPr>
          </w:p>
        </w:tc>
      </w:tr>
      <w:tr>
        <w:trPr>
          <w:trHeight w:val="21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0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199"/>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0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9"/>
                <w:szCs w:val="19"/>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NET ASSETS HELD FOR SALE</w:t>
      </w:r>
    </w:p>
    <w:p>
      <w:pPr>
        <w:spacing w:after="0" w:line="209"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During 2023, the Company committed to a plan to sell its Utah operations. Accordingly, certain of the assets and liabilities held by the Company’s Utah subsidiary were presented as a disposal group held for sale on the consolidated balance sheet as of December 31, 2023. The sale of the Utah assets was completed on March 7, 2024.</w:t>
      </w:r>
    </w:p>
    <w:p>
      <w:pPr>
        <w:spacing w:after="0" w:line="189" w:lineRule="exact"/>
        <w:rPr>
          <w:sz w:val="20"/>
          <w:szCs w:val="20"/>
          <w:color w:val="auto"/>
        </w:rPr>
      </w:pPr>
    </w:p>
    <w:p>
      <w:pPr>
        <w:jc w:val="both"/>
        <w:ind w:left="420"/>
        <w:spacing w:after="0" w:line="241" w:lineRule="auto"/>
        <w:rPr>
          <w:sz w:val="20"/>
          <w:szCs w:val="20"/>
          <w:color w:val="auto"/>
        </w:rPr>
      </w:pPr>
      <w:r>
        <w:rPr>
          <w:rFonts w:ascii="Times New Roman" w:cs="Times New Roman" w:eastAsia="Times New Roman" w:hAnsi="Times New Roman"/>
          <w:sz w:val="18"/>
          <w:szCs w:val="18"/>
          <w:color w:val="auto"/>
        </w:rPr>
        <w:t>On November 7, 2024, the Company sold its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cultivation facility in the state, neither of which remained in active operation. On April 17, 2025, the Company sold the license for $5 million in cash, with the potential for an additional $2.5 million contingent payment in the event of an adult use program in the state. On April 25, 2025, the Company entered into a definitive agreement, subject to closing conditions, to sell the cultivation facility for $11 million.</w:t>
      </w:r>
    </w:p>
    <w:p>
      <w:pPr>
        <w:spacing w:after="0" w:line="224"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In early 2024, the Company committed to a plan to sell its Illinois operations (the “Illinois Business) which are comprised of two dispensaries and one cultivation / manufacturing facility. On February 4, 2024, the Company entered into a definitive agreement, subject to closing conditions, to dispose of its Illinois operations for gross proceeds of $7.2 million due on closing of the transaction. On expiration of the related exclusivity period, the Company has entered into a Letter of Intent with an alternative Buyer for gross proceeds of $7.5 million. Terms of that alternative transaction are still to be finalized.</w:t>
      </w:r>
    </w:p>
    <w:p>
      <w:pPr>
        <w:spacing w:after="0" w:line="21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The planned disposals as of March 31, 2025 did not represent a strategic shift of the Company that had or will have a major effect on the Company’s operations and financial results. Accordingly, the operations were not segregated and were presented as continuing operations in the consolidated statements of operations and comprehensive loss as of March 31, 2025 and December 31, 2024. The disposal group was stated at fair value less costs to sell and comprised the following assets and liabilities: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5040" w:type="dxa"/>
            <w:vAlign w:val="bottom"/>
            <w:tcBorders>
              <w:bottom w:val="single" w:sz="8" w:color="CAEEF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40" w:type="dxa"/>
            <w:vAlign w:val="bottom"/>
            <w:tcBorders>
              <w:bottom w:val="single" w:sz="8" w:color="CAEEF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16"/>
        </w:trPr>
        <w:tc>
          <w:tcPr>
            <w:tcW w:w="50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shd w:val="clear" w:color="auto" w:fill="CAEEFB"/>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50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24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50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24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9"/>
        </w:trPr>
        <w:tc>
          <w:tcPr>
            <w:tcW w:w="50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Right of use assets - finance leases, net</w:t>
            </w:r>
          </w:p>
        </w:tc>
        <w:tc>
          <w:tcPr>
            <w:tcW w:w="260" w:type="dxa"/>
            <w:vAlign w:val="bottom"/>
            <w:shd w:val="clear" w:color="auto" w:fill="CAEEFB"/>
          </w:tcPr>
          <w:p>
            <w:pPr>
              <w:spacing w:after="0"/>
              <w:rPr>
                <w:sz w:val="19"/>
                <w:szCs w:val="19"/>
                <w:color w:val="auto"/>
              </w:rPr>
            </w:pPr>
          </w:p>
        </w:tc>
        <w:tc>
          <w:tcPr>
            <w:tcW w:w="13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shd w:val="clear" w:color="auto" w:fill="CAEEFB"/>
          </w:tcPr>
          <w:p>
            <w:pPr>
              <w:spacing w:after="0"/>
              <w:rPr>
                <w:sz w:val="19"/>
                <w:szCs w:val="19"/>
                <w:color w:val="auto"/>
              </w:rPr>
            </w:pPr>
          </w:p>
        </w:tc>
        <w:tc>
          <w:tcPr>
            <w:tcW w:w="200" w:type="dxa"/>
            <w:vAlign w:val="bottom"/>
            <w:shd w:val="clear" w:color="auto" w:fill="CAEEFB"/>
          </w:tcPr>
          <w:p>
            <w:pPr>
              <w:spacing w:after="0"/>
              <w:rPr>
                <w:sz w:val="19"/>
                <w:szCs w:val="19"/>
                <w:color w:val="auto"/>
              </w:rPr>
            </w:pPr>
          </w:p>
        </w:tc>
        <w:tc>
          <w:tcPr>
            <w:tcW w:w="14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AEEFB"/>
            </w:tcBorders>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240" w:type="dxa"/>
            <w:vAlign w:val="bottom"/>
            <w:tcBorders>
              <w:bottom w:val="single" w:sz="8" w:color="CAEEF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31,390</w:t>
            </w:r>
          </w:p>
        </w:tc>
        <w:tc>
          <w:tcPr>
            <w:tcW w:w="240" w:type="dxa"/>
            <w:vAlign w:val="bottom"/>
            <w:tcBorders>
              <w:bottom w:val="single" w:sz="8" w:color="CAEEFB"/>
            </w:tcBorders>
            <w:shd w:val="clear" w:color="auto" w:fill="CAEEFB"/>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20"/>
        </w:trPr>
        <w:tc>
          <w:tcPr>
            <w:tcW w:w="5040" w:type="dxa"/>
            <w:vAlign w:val="bottom"/>
            <w:tcBorders>
              <w:top w:val="single" w:sz="8" w:color="CAEEFB"/>
              <w:bottom w:val="single" w:sz="8" w:color="CAEEFB"/>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AEEFB"/>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4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50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Borders>
              <w:bottom w:val="single" w:sz="8" w:color="auto"/>
            </w:tcBorders>
            <w:shd w:val="clear" w:color="auto" w:fill="CAEEFB"/>
          </w:tcPr>
          <w:p>
            <w:pPr>
              <w:spacing w:after="0"/>
              <w:rPr>
                <w:sz w:val="19"/>
                <w:szCs w:val="19"/>
                <w:color w:val="auto"/>
              </w:rPr>
            </w:pPr>
          </w:p>
        </w:tc>
        <w:tc>
          <w:tcPr>
            <w:tcW w:w="13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(13,361)</w:t>
            </w:r>
          </w:p>
        </w:tc>
        <w:tc>
          <w:tcPr>
            <w:tcW w:w="240" w:type="dxa"/>
            <w:vAlign w:val="bottom"/>
            <w:shd w:val="clear" w:color="auto" w:fill="CAEEFB"/>
          </w:tcPr>
          <w:p>
            <w:pPr>
              <w:spacing w:after="0"/>
              <w:rPr>
                <w:sz w:val="19"/>
                <w:szCs w:val="19"/>
                <w:color w:val="auto"/>
              </w:rPr>
            </w:pPr>
          </w:p>
        </w:tc>
        <w:tc>
          <w:tcPr>
            <w:tcW w:w="200" w:type="dxa"/>
            <w:vAlign w:val="bottom"/>
            <w:tcBorders>
              <w:bottom w:val="single" w:sz="8" w:color="auto"/>
            </w:tcBorders>
            <w:shd w:val="clear" w:color="auto" w:fill="CAEEFB"/>
          </w:tcPr>
          <w:p>
            <w:pPr>
              <w:spacing w:after="0"/>
              <w:rPr>
                <w:sz w:val="19"/>
                <w:szCs w:val="19"/>
                <w:color w:val="auto"/>
              </w:rPr>
            </w:pPr>
          </w:p>
        </w:tc>
        <w:tc>
          <w:tcPr>
            <w:tcW w:w="14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held for sale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line="282" w:lineRule="auto"/>
        <w:rPr>
          <w:sz w:val="20"/>
          <w:szCs w:val="20"/>
          <w:color w:val="auto"/>
        </w:rPr>
      </w:pPr>
      <w:r>
        <w:rPr>
          <w:rFonts w:ascii="Times New Roman" w:cs="Times New Roman" w:eastAsia="Times New Roman" w:hAnsi="Times New Roman"/>
          <w:sz w:val="18"/>
          <w:szCs w:val="18"/>
          <w:color w:val="auto"/>
        </w:rPr>
        <w:t>The non-recurring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37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53" w:lineRule="exact"/>
        <w:rPr>
          <w:rFonts w:ascii="Times New Roman" w:cs="Times New Roman" w:eastAsia="Times New Roman" w:hAnsi="Times New Roman"/>
          <w:sz w:val="18"/>
          <w:szCs w:val="18"/>
          <w:b w:val="1"/>
          <w:bCs w:val="1"/>
          <w:color w:val="auto"/>
        </w:rPr>
      </w:pPr>
    </w:p>
    <w:p>
      <w:pPr>
        <w:ind w:left="1460" w:hanging="318"/>
        <w:spacing w:after="0" w:line="234" w:lineRule="auto"/>
        <w:tabs>
          <w:tab w:leader="none" w:pos="1455" w:val="left"/>
        </w:tabs>
        <w:numPr>
          <w:ilvl w:val="1"/>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On April 3, 2025, the Company entered into definitive agreements to divest its DeSoto, San Diego, CA store for $1 million in gross proceeds.</w:t>
      </w:r>
    </w:p>
    <w:p>
      <w:pPr>
        <w:spacing w:after="0" w:line="1" w:lineRule="exact"/>
        <w:rPr>
          <w:rFonts w:ascii="Arial" w:cs="Arial" w:eastAsia="Arial" w:hAnsi="Arial"/>
          <w:sz w:val="22"/>
          <w:szCs w:val="22"/>
          <w:color w:val="auto"/>
        </w:rPr>
      </w:pPr>
    </w:p>
    <w:p>
      <w:pPr>
        <w:ind w:left="1460" w:hanging="318"/>
        <w:spacing w:after="0" w:line="250"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2025, the Company entered into definitive agreements to divest its THC, San Diego, CA store for $1 million in gross proceeds</w:t>
      </w:r>
    </w:p>
    <w:p>
      <w:pPr>
        <w:spacing w:after="0" w:line="22" w:lineRule="exact"/>
        <w:rPr>
          <w:rFonts w:ascii="Times New Roman" w:cs="Times New Roman" w:eastAsia="Times New Roman" w:hAnsi="Times New Roman"/>
          <w:sz w:val="18"/>
          <w:szCs w:val="18"/>
          <w:color w:val="auto"/>
        </w:rPr>
      </w:pPr>
    </w:p>
    <w:p>
      <w:pPr>
        <w:ind w:left="1460" w:hanging="318"/>
        <w:spacing w:after="0" w:line="234" w:lineRule="auto"/>
        <w:tabs>
          <w:tab w:leader="none" w:pos="1455" w:val="left"/>
        </w:tabs>
        <w:numPr>
          <w:ilvl w:val="1"/>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On April 17, 2025, the Company sold its remaining license in Florida for $5 million in cash, with the potential for an additional $2.5 million contingent payment in the event of an adult use program in the state.</w:t>
      </w:r>
    </w:p>
    <w:p>
      <w:pPr>
        <w:spacing w:after="0" w:line="1" w:lineRule="exact"/>
        <w:rPr>
          <w:rFonts w:ascii="Arial" w:cs="Arial" w:eastAsia="Arial" w:hAnsi="Arial"/>
          <w:sz w:val="22"/>
          <w:szCs w:val="22"/>
          <w:color w:val="auto"/>
        </w:rPr>
      </w:pPr>
    </w:p>
    <w:p>
      <w:pPr>
        <w:jc w:val="both"/>
        <w:ind w:left="1460" w:hanging="318"/>
        <w:spacing w:after="0" w:line="234" w:lineRule="auto"/>
        <w:tabs>
          <w:tab w:leader="none" w:pos="14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2025 the holders of Senior Notes (the “Senior Noteholders”) voted to approve the Arrangement (the “Arrangement Resolution”) at the special meeting of Senior Noteholders held on April 29, 2025 (the “Meeting”). The Arrangement Resolution, which required the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votes cast by the Senior Noteholders present in person or by proxy at the Meeting, was approved by over 75% of the votes cast by the Senior Noteholders present in person or by proxy at the Meeting.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months ended March 31, 2025 and 2024.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2024 Form 10-K filed with the SEC on March 17, 2025 and subsequent securities filings.</w:t>
      </w:r>
    </w:p>
    <w:p>
      <w:pPr>
        <w:spacing w:after="0" w:line="1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Cannabist Company, formerly known as Columbia Care, is one of the most experienced cultivators, manufacturers and providers of cannabis products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related services, with licenses in 13 U.S. jurisdictions. The Company operates </w:t>
      </w:r>
      <w:r>
        <w:rPr>
          <w:rFonts w:ascii="Times New Roman" w:cs="Times New Roman" w:eastAsia="Times New Roman" w:hAnsi="Times New Roman"/>
          <w:sz w:val="21"/>
          <w:szCs w:val="21"/>
          <w:color w:val="auto"/>
        </w:rPr>
        <w:t>84</w:t>
      </w:r>
      <w:r>
        <w:rPr>
          <w:rFonts w:ascii="Times New Roman" w:cs="Times New Roman" w:eastAsia="Times New Roman" w:hAnsi="Times New Roman"/>
          <w:sz w:val="18"/>
          <w:szCs w:val="18"/>
          <w:color w:val="auto"/>
        </w:rPr>
        <w:t xml:space="preserve"> facilities including 66 dispensaries and 18 cultivation and manufacturing facilities, including those under development. Columbia Care, now The Cannabist Company, is one of the original multi-state providers of cannabis in the U.S. and now delivers industry-leading products and services to both the medical and adult-use markets. In 2021, the Company launched Cannabist, its retail brand, creating a national dispensary network that leverages proprietary technology platforms. The company offers products spanning flower, edibles, oils and tablets, and manufactures popular brands including dreamt, Seed &amp; Strain, Triple Seven, Hedy, gLeaf, Classix, Press, and Amber.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62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87,440</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122,611</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(35,171)</w:t>
            </w:r>
          </w:p>
        </w:tc>
        <w:tc>
          <w:tcPr>
            <w:tcW w:w="1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(58,155)</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(80,074)</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21,919</w:t>
            </w:r>
          </w:p>
        </w:tc>
        <w:tc>
          <w:tcPr>
            <w:tcW w:w="13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FF0FC"/>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2"/>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(37,251)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2"/>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w:t>
            </w:r>
          </w:p>
        </w:tc>
        <w:tc>
          <w:tcPr>
            <w:tcW w:w="100" w:type="dxa"/>
            <w:vAlign w:val="bottom"/>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1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2"/>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3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share attributable to The Cannabist Company Holdings Inc.—based and diluted</w:t>
            </w: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60" w:type="dxa"/>
            <w:vAlign w:val="bottom"/>
            <w:tcBorders>
              <w:top w:val="single" w:sz="8" w:color="CFF0FC"/>
            </w:tcBorders>
            <w:vMerge w:val="continue"/>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outstanding—basic and diluted</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473,012,103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445,633,865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169" w:lineRule="exact"/>
        <w:rPr>
          <w:sz w:val="20"/>
          <w:szCs w:val="20"/>
          <w:color w:val="auto"/>
        </w:rPr>
      </w:pPr>
    </w:p>
    <w:tbl>
      <w:tblPr>
        <w:tblLayout w:type="fixed"/>
        <w:tblInd w:w="1040" w:type="dxa"/>
        <w:tblCellMar>
          <w:top w:w="0" w:type="dxa"/>
          <w:left w:w="0" w:type="dxa"/>
          <w:bottom w:w="0" w:type="dxa"/>
          <w:right w:w="0" w:type="dxa"/>
        </w:tblCellMar>
      </w:tblPr>
      <w:tr>
        <w:trPr>
          <w:trHeight w:val="228"/>
        </w:trPr>
        <w:tc>
          <w:tcPr>
            <w:tcW w:w="5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648,779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696,173</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710,752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726,232</w:t>
            </w:r>
          </w:p>
        </w:tc>
      </w:tr>
      <w:tr>
        <w:trPr>
          <w:trHeight w:val="21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482,870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497,522</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(61,973)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(30,059)</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55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gridSpan w:val="2"/>
          </w:tcPr>
          <w:p>
            <w:pPr>
              <w:jc w:val="right"/>
              <w:ind w:right="57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87,440</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122,611</w:t>
            </w:r>
          </w:p>
        </w:tc>
        <w:tc>
          <w:tcPr>
            <w:tcW w:w="360" w:type="dxa"/>
            <w:vAlign w:val="bottom"/>
            <w:tcBorders>
              <w:top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(35,171)</w:t>
            </w:r>
          </w:p>
        </w:tc>
        <w:tc>
          <w:tcPr>
            <w:tcW w:w="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(80,074)</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21,919</w:t>
            </w:r>
          </w:p>
        </w:tc>
        <w:tc>
          <w:tcPr>
            <w:tcW w:w="15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80" w:type="dxa"/>
            <w:vAlign w:val="bottom"/>
            <w:tcBorders>
              <w:top w:val="single" w:sz="8" w:color="CFF0FC"/>
            </w:tcBorders>
            <w:shd w:val="clear" w:color="auto" w:fill="CFF0FC"/>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(31,412)</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(25,700)</w:t>
            </w:r>
          </w:p>
        </w:tc>
        <w:tc>
          <w:tcPr>
            <w:tcW w:w="10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80" w:type="dxa"/>
            <w:vAlign w:val="bottom"/>
            <w:shd w:val="clear" w:color="auto" w:fill="CFF0FC"/>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80" w:type="dxa"/>
            <w:vAlign w:val="bottom"/>
            <w:tcBorders>
              <w:bottom w:val="single" w:sz="8" w:color="CFF0FC"/>
            </w:tcBorders>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w:t>
            </w:r>
          </w:p>
        </w:tc>
        <w:tc>
          <w:tcPr>
            <w:tcW w:w="100" w:type="dxa"/>
            <w:vAlign w:val="bottom"/>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80" w:type="dxa"/>
            <w:vAlign w:val="bottom"/>
            <w:shd w:val="clear" w:color="auto" w:fill="CFF0FC"/>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in revenue of $35,171 for the three months ended March 31, 2025, as compared to the prior year period, was driven by the net decline in revenue of $17,195 in our existing retail and wholesale operations and a decline of $24,393 from the sale or closure of certain operations. This was partly offset by changes in regulation to adult use, and expansion of new retail facilities and which contributed to a revenue growth of $6,417 during the three months ended March 31, 2025, as compared to the prior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cost of sales of $21,919 for the three months ended March 31, 2025, as compared to the prior year period, was driven by a cost of sales decrease of $9,373 in our existing retail and wholesale operations, including from inventory impairment, and from the sale or closure of certain operations of $14,269. This was partly offset by an increase of $1,723 from the expansion of new retail facilities, as compared to the prior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decrease in gross profit of $13,252 for the three months ended March 31, 2025, as compared to the prior year period, was directly attributable to the decline in revenues and the decline in cost of sales as described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of $15,829 in operating expenses for the three months ended March 31, 2025, as compared to the prior year period, was primarily attributable to a decrease in salary and benefits expenses of $9,335, operating facilities costs of $3,378, depreciation and amortization of $2,349, professional fees of $767, and operating office and general expenses of $332. This was partially offset by an increase in other fees and expenses of $115, advertisement and promotion expense of $24, and a fixed asset impairment charge of $193 for the three months ended March 31, 2025.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other expenses, net of $8,289 for the three months ended March 31, 2025, as compared to the prior year period, was primarily due to a decrease in change in fair value of investments of $5,807, an increase in loss on held for sale of $3,519, loss on disposal group of $3,027, restructuring expense of $120, interest expense, net of $120, and a decrease in rental income of $33. This was partially offset by a decrease in expenses related to change in fair value of the derivative liability of $2,347, a decrease in interest expense on leases of $210, and a decrease in other income (expense), net of $1,780.</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Company recorded income tax expense of $794 for the three months ended March 31, 2025, as compared to an income tax expense of $8,868 for the three months ended March 31,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months ended March 31,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63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(32,206)</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(34,568)</w:t>
            </w:r>
          </w:p>
        </w:tc>
      </w:tr>
      <w:tr>
        <w:trPr>
          <w:trHeight w:val="213"/>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8,868</w:t>
            </w:r>
          </w:p>
        </w:tc>
      </w:tr>
      <w:tr>
        <w:trPr>
          <w:trHeight w:val="21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8,646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13,964</w:t>
            </w:r>
          </w:p>
        </w:tc>
      </w:tr>
      <w:tr>
        <w:trPr>
          <w:trHeight w:val="213"/>
        </w:trPr>
        <w:tc>
          <w:tcPr>
            <w:tcW w:w="6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12,559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12,480</w:t>
            </w:r>
          </w:p>
        </w:tc>
      </w:tr>
      <w:tr>
        <w:trPr>
          <w:trHeight w:val="212"/>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(Non-GAAP measure)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(10,207)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744</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3,182</w:t>
            </w:r>
          </w:p>
        </w:tc>
      </w:tr>
      <w:tr>
        <w:trPr>
          <w:trHeight w:val="213"/>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Fair-value changes on investments and derivative liabilities</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2,346</w:t>
            </w:r>
          </w:p>
        </w:tc>
      </w:tr>
      <w:tr>
        <w:trPr>
          <w:trHeight w:val="21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2,755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6,245</w:t>
            </w:r>
          </w:p>
        </w:tc>
      </w:tr>
      <w:tr>
        <w:trPr>
          <w:trHeight w:val="213"/>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2,576</w:t>
            </w:r>
          </w:p>
        </w:tc>
      </w:tr>
      <w:tr>
        <w:trPr>
          <w:trHeight w:val="21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Fixed asset impairment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Loss on disposal group</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3,238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211</w:t>
            </w:r>
          </w:p>
        </w:tc>
      </w:tr>
      <w:tr>
        <w:trPr>
          <w:trHeight w:val="207"/>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8,293</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15,304</w:t>
            </w:r>
          </w:p>
        </w:tc>
      </w:tr>
      <w:tr>
        <w:trPr>
          <w:trHeight w:val="20"/>
        </w:trPr>
        <w:tc>
          <w:tcPr>
            <w:tcW w:w="63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87,440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122,611</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8,293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15,304</w:t>
            </w:r>
          </w:p>
        </w:tc>
      </w:tr>
      <w:tr>
        <w:trPr>
          <w:trHeight w:val="21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87,440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122,611</w:t>
            </w:r>
          </w:p>
        </w:tc>
      </w:tr>
      <w:tr>
        <w:trPr>
          <w:trHeight w:val="21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29,285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42,537</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EBITDA for the three months ended March 31, 2025,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focus on profitability, we endeavor to remain opportunistic on growth through expansion or acquisition, therefore our cash flow requirements and obligations could materially change.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2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 Through March 31, 2025, 983,604 shares were issued to convert $300 principal.</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 Notes are impacted by the 2025 Debt Transaction.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Convertible Notes at a Redemption Price equal to 100.0% of the principal amount of the 2025 Convertible Notes redeemed, plus accrued but unpaid interest, if any, up to but excluding the Redemption Date.</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 Agreement”), with certain holders of the Company’s 6.0% senior secured 2025 Convertible Notes (the “Holders”), pursuant to which the Company agreed to the repurchase of up to $25 million principal amount of the 2025 Convertible Notes in exchange for Common Shares (the “January 2024 Debt Exchange”).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293" w:lineRule="exact"/>
        <w:rPr>
          <w:sz w:val="20"/>
          <w:szCs w:val="20"/>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23"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March 31,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$18,133 as of March 31, 2025. In connection with this mortgage, the Company incurred financing costs of $655.</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$15,734 as of March 31. 2025. In connection with this mortgage, the Company incurred financing costs of $209.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293" w:lineRule="exact"/>
        <w:rPr>
          <w:sz w:val="20"/>
          <w:szCs w:val="20"/>
          <w:color w:val="auto"/>
        </w:rPr>
      </w:pPr>
    </w:p>
    <w:p>
      <w:pPr>
        <w:jc w:val="both"/>
        <w:ind w:left="660" w:hanging="328"/>
        <w:spacing w:after="0" w:line="239"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267" w:lineRule="exact"/>
        <w:rPr>
          <w:rFonts w:ascii="Arial" w:cs="Arial" w:eastAsia="Arial" w:hAnsi="Arial"/>
          <w:sz w:val="22"/>
          <w:szCs w:val="22"/>
          <w:color w:val="auto"/>
        </w:rPr>
      </w:pPr>
    </w:p>
    <w:p>
      <w:pPr>
        <w:jc w:val="both"/>
        <w:ind w:left="660" w:right="20" w:hanging="328"/>
        <w:spacing w:after="0" w:line="239"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231F20"/>
        </w:rPr>
        <w:t>The second agreement provides for a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incurred financing costs of $77 and netted $1,723. The mortgage was paid in full on January 15, 2025 with the sale of the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8.85%.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Debt Transaction</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w:t>
      </w:r>
    </w:p>
    <w:p>
      <w:pPr>
        <w:spacing w:after="0" w:line="1" w:lineRule="exact"/>
        <w:rPr>
          <w:sz w:val="20"/>
          <w:szCs w:val="20"/>
          <w:color w:val="auto"/>
        </w:rPr>
      </w:pPr>
    </w:p>
    <w:p>
      <w:pPr>
        <w:jc w:val="both"/>
        <w:ind w:firstLine="8"/>
        <w:spacing w:after="0" w:line="228"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2027 Notes (together with the 2025 Notes and the 2026 Notes, the “Senior Notes”). Under the terms of the 2025 Debt Transaction, among other provisions, the holders of the 2025 Convertible Notes and the 2026 Notes will exchange their Senior Notes for an equal principal amount of 9.25% senior secured notes due December 31, 2028 (subject to two six-month extension options available to the Company upon payment of a 0.5% fee, payable in cash) (the “New Senior Notes”) and the holders of the 2027 Notes will be given the right to elect to receive either (i) an equal principal amount of New Senior Notes or (ii) an equal principal amount of newly issued 9.0% convertible notes, which will have the same conversion price as the existing 2027 Notes but will have the same extended maturity date as the New Senior Notes (the “New Convertible Notes”, and together with the New Senior Notes, the “New Notes”). On April 29, 2025, the holders of Senior Notes (the “Senior Noteholders”) voted to approve the Arrangement (the “Arrangement Resolution”) for the 2025 Debt Transaction at the special meeting of Senior Noteholders (the “Meeting”). The Arrangement Resolution, which required the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votes cast by the Senior Noteholders present in person or by proxy at the Meeting, was approved by over 75% of the votes cast by the Senior Noteholders present in person or by proxy at the Meeting. The 2025 Debt Transaction remains subject to the satisfaction of certain closing conditions, including court approval, which is currently opposed by a holder of the 2025 Notes.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5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(15,176)</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(6,211)</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12,517</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r>
      <w:tr>
        <w:trPr>
          <w:trHeight w:val="23"/>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$15,176 of cash, primarily resulting from a net loss of $32,206, deferred tax of $1,636, other expenses of $291, and net change in operating assets and liabilities of $6,586;</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was partly offset by, primarily, depreciation and amortization of $8,646, equity based compensation of $292, debt amortization expenses of $2,596, loss on deconsolidation of subsidiary of $6,757, provision for obsolete inventory and other assets of $1,252, change in investment fair value of $5,807, and impairment of fixed assets of $193. The net change in operating assets and liabilities was primarily due to a decrease in accounts payable of $10,642, accrued expenses and other current liabilities of $2,556, other long-term liabilities of $2,112, and an increase in inventory of $1,372; this was partially offset by a decrease in accounts receivable of $1,122, prepaid expenses and other current assets of $23, other assets of $2,753, and a decrease in income tax payable of $1,501.</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$6,211 of cash, primarily resulting from a net loss of $34,568, deferred taxes of $834, and other expenses of $92; this was partially offset by depreciation and amortization of $13,964, equity-based compensation expense of $3,182, loss on deconsolidation of subsidiary of $211, debt amortization expense of $1,857, provision for obsolete inventory and other assets of $5,430, change in fair value of derivative liability of $2,347, and net changes in operating assets and liabilities of $2,292. The net change in operating assets and liabilities was primarily due to a decrease in accounts receivable of $1,012, other assets of $129, increase in accounts payable of $7,351, and income tax payable of $8,898; this was offset by an increase in inventory of $5,297, prepaid and other expenses of $823, a decrease in accrued expenses and other current liabilities of $7,391, and other long-term liabilities of $1,587.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provided $2,746 of cash, mainly due to the proceeds from the sale of the Milford, DE property and a part the CA business of $4,683, and cash received on deposits, net of $108. This was partially offset by purchases of property and equipment of $2,045.</w:t>
      </w:r>
    </w:p>
    <w:p>
      <w:pPr>
        <w:spacing w:after="0" w:line="19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provided $2,403 of cash mainly due to the proceeds from the sale of the UT business of $2,999, proceeds from sale of license of $329, and cash received on deposits, net of $40. This was partially offset by purchases of property and equipment of $965.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used $3,429 of cash, mainly due to payment of lease liabilities of $1,466, and repayment of mortgage notes of $1,963.</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financing activities provided $12,517 of cash, mainly due to proceeds from issuance of convertible debt of $15,600. This was partially offset by payment of lease liabilities of $1,762, payment of debt issuance costs of $802, repayment of sellers note of $375, and repayment of mortgage notes of $144.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March 31, 2025 and the effects that such obligations are expected to have on our liquidity and cash flows in future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w:t>
            </w:r>
          </w:p>
        </w:tc>
        <w:tc>
          <w:tcPr>
            <w:tcW w:w="200" w:type="dxa"/>
            <w:vAlign w:val="bottom"/>
          </w:tcPr>
          <w:p>
            <w:pPr>
              <w:spacing w:after="0"/>
              <w:rPr>
                <w:sz w:val="15"/>
                <w:szCs w:val="15"/>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180" w:type="dxa"/>
            <w:vAlign w:val="bottom"/>
          </w:tcPr>
          <w:p>
            <w:pPr>
              <w:spacing w:after="0"/>
              <w:rPr>
                <w:sz w:val="15"/>
                <w:szCs w:val="15"/>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Year 2</w:t>
            </w:r>
          </w:p>
        </w:tc>
        <w:tc>
          <w:tcPr>
            <w:tcW w:w="2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20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120" w:type="dxa"/>
            <w:vAlign w:val="bottom"/>
          </w:tcPr>
          <w:p>
            <w:pPr>
              <w:spacing w:after="0"/>
              <w:rPr>
                <w:sz w:val="15"/>
                <w:szCs w:val="15"/>
                <w:color w:val="auto"/>
              </w:rPr>
            </w:pPr>
          </w:p>
        </w:tc>
        <w:tc>
          <w:tcPr>
            <w:tcW w:w="900" w:type="dxa"/>
            <w:vAlign w:val="bottom"/>
          </w:tcPr>
          <w:p>
            <w:pPr>
              <w:jc w:val="right"/>
              <w:ind w:right="59"/>
              <w:spacing w:after="0" w:line="181" w:lineRule="exact"/>
              <w:rPr>
                <w:sz w:val="20"/>
                <w:szCs w:val="20"/>
                <w:color w:val="auto"/>
              </w:rPr>
            </w:pPr>
            <w:r>
              <w:rPr>
                <w:rFonts w:ascii="Times New Roman" w:cs="Times New Roman" w:eastAsia="Times New Roman" w:hAnsi="Times New Roman"/>
                <w:sz w:val="16"/>
                <w:szCs w:val="16"/>
                <w:b w:val="1"/>
                <w:bCs w:val="1"/>
                <w:color w:val="auto"/>
                <w:w w:val="97"/>
              </w:rPr>
              <w:t>Year 5 and</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beyond</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266,352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22,742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152,462</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155,709</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2025 notes and 2026 notes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debt (principal)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818,590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102,800</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253,071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81,839</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40,612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32,097</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308,171</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March 31, 2025 and December 31, 2024,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the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had no hedging agreements in place with respect to foreign exchange rates. We have not entered into any agreements or purchased any instruments to hedge possible currency risks at this time.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2024 Form 10-K. See also Financial Risk Management in Part I, Item 2 of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three months ended March 31, 2025 that have materially affected, or are reasonably likely to materially affect, the Company’s internal control over financial reporting.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Murchinson Ltd., an investment manager of holders of 2025 Notes and 2027 Notes (the “Applicant”), filed an application in the Ontario Superior Court of Justice (Commercial List) on March 27, 2025, opposing the 2025 Debt Transaction and claiming the transaction was oppressive to the Applicant. The application filed by the Applicant also claims breach of contract and civil conspiracy. The Applicant seeks from the court, among other forms of relief, that the 2025 Debt Transaction be declared unlawful under the terms of the Canadian Business Corporations Act, an award of unspecified damages, and recovery of costs. A hearing is scheduled for May 12, 2025. Although the Company believes in the merits of its legal and factual arguments, the final outcome of the legal proceedings with respect to the 2025 Debt Transaction, including the oppression application, cannot be determined at this time.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except as noted below, there have been no material changes in our risk factors from those disclosed in Part I, Item 1A, of the Company’s 2024 Form 10-K, which is incorporated by reference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completion of the 2025 Debt Transaction may not occur or may be delayed by litigation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Debt Transaction may not occur or may be delayed because it is currently the subject of litigation (as further described in Item 1. Legal Proceedings above) and could be the subject of future litigation. If the 2025 Debt Transaction is not completed or its completion is materially delayed, then the market price or value of the Senior Notes and/or of the Common Shares may decline. The Company’s business, financial condition or results of operations could also be subject to various material adverse consequences, including in connection with, in particular, the upcoming maturity of 2025 Notes. If the 2025 Debt Transaction is not completed, the Company will more than likely face significant liquidity challenges starting in mid-2025 unless an alternative transaction can be completed.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may not be able to retain or hire necessary qualified personnel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retain or hire qualified personnel is subject to a variety of uncertainties due to the challenging financial conditions facing both the</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industry and the Company. If the Company is unable to retain or hire sufficiently qualified resources, the Company may have difficulty executing on its operational and strategic plans.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260" w:hanging="1118"/>
        <w:spacing w:after="0"/>
        <w:tabs>
          <w:tab w:leader="none" w:pos="2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 Index</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797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2.2</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4.2</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4.3</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4.4</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4.5</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4.6</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4.7</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4.8</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4.10</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4.11</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4.12</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292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61"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Arrangement Agreement, dated March 23, 2022,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Exhibit 2.1 of the Registrant’s Current Report on Form 8-K, filed with the SEC on March 29, 2022)</w:t>
        </w:r>
      </w:hyperlink>
    </w:p>
    <w:p>
      <w:pPr>
        <w:spacing w:after="0" w:line="27"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Amending Agreement, dated February 27, 2023,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Exhibit 2.1 of the Registrant’s Current Report on Form 8-K, filed with the SEC on February 28, 2023)</w:t>
        </w:r>
      </w:hyperlink>
    </w:p>
    <w:p>
      <w:pPr>
        <w:spacing w:after="0" w:line="27"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Articles, dated April 26, 2019 (incorporated by reference to Exhibit 3.1 of the Registrant’s Form 8-K, filed with the SEC on September</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22, 2023)</w:t>
        </w:r>
      </w:hyperlink>
    </w:p>
    <w:p>
      <w:pPr>
        <w:spacing w:after="0" w:line="27"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Certificate of Change of Name, dated September 19, 2023 (incorporated by reference to Exhibit 3.2 of the Registrant’s Form 8-K, filed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with the SEC on September 22, 2023)</w:t>
        </w:r>
      </w:hyperlink>
    </w:p>
    <w:p>
      <w:pPr>
        <w:spacing w:after="0" w:line="27" w:lineRule="exact"/>
        <w:rPr>
          <w:sz w:val="20"/>
          <w:szCs w:val="20"/>
          <w:color w:val="auto"/>
        </w:rPr>
      </w:pPr>
    </w:p>
    <w:p>
      <w:pPr>
        <w:ind w:right="180"/>
        <w:spacing w:after="0" w:line="258"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Warrant Agency Agreement dated September 20, 2018 between Canaccord Genuity Growth Corp. and Odyssey Trust Company</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(incorporated by reference to Exhibit 4.1 of the Registrant’s Registration Statement on Form 10, filed with the SEC on December 14,</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2021)</w:t>
        </w:r>
      </w:hyperlink>
    </w:p>
    <w:p>
      <w:pPr>
        <w:spacing w:after="0" w:line="21" w:lineRule="exact"/>
        <w:rPr>
          <w:rFonts w:ascii="Times New Roman" w:cs="Times New Roman" w:eastAsia="Times New Roman" w:hAnsi="Times New Roman"/>
          <w:sz w:val="18"/>
          <w:szCs w:val="18"/>
          <w:u w:val="single" w:color="auto"/>
          <w:color w:val="0000FF"/>
        </w:rPr>
      </w:pPr>
    </w:p>
    <w:p>
      <w:pPr>
        <w:ind w:right="360"/>
        <w:spacing w:after="0" w:line="266"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Warrant Agreement dated April 26, 2019 between Columbia Care Inc. and Canaccord Genuity Corp. (incorporated by reference to</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Exhibit 4.2 of the Registrant’s Registration Statement on Form 10, filed with the SEC on December 14, 2021)</w:t>
        </w:r>
      </w:hyperlink>
    </w:p>
    <w:p>
      <w:pPr>
        <w:spacing w:after="0" w:line="27" w:lineRule="exact"/>
        <w:rPr>
          <w:sz w:val="20"/>
          <w:szCs w:val="20"/>
          <w:color w:val="auto"/>
        </w:rPr>
      </w:pPr>
    </w:p>
    <w:p>
      <w:pPr>
        <w:ind w:right="260"/>
        <w:spacing w:after="0" w:line="266"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Trust Indenture made as of March 31,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Exhibit 4.3 of the Registrant’s Registration Statement on Form 10, filed with the SEC on December 14, 2021)</w:t>
        </w:r>
      </w:hyperlink>
    </w:p>
    <w:p>
      <w:pPr>
        <w:spacing w:after="0" w:line="27"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Warrant Indenture dated March 31,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Exhibit 4.4 of the Registrant’s Registration Statement on Form 10, filed with the SEC on December 14, 2021)</w:t>
        </w:r>
      </w:hyperlink>
    </w:p>
    <w:p>
      <w:pPr>
        <w:spacing w:after="0" w:line="27" w:lineRule="exact"/>
        <w:rPr>
          <w:sz w:val="20"/>
          <w:szCs w:val="20"/>
          <w:color w:val="auto"/>
        </w:rPr>
      </w:pPr>
    </w:p>
    <w:p>
      <w:pPr>
        <w:ind w:right="400"/>
        <w:spacing w:after="0" w:line="266"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Trust Indenture made as of May 14,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Exhibit 4.5 of the Registrant’s Registration Statement on Form 10, filed with the SEC on December 14, 2021)</w:t>
        </w:r>
      </w:hyperlink>
    </w:p>
    <w:p>
      <w:pPr>
        <w:spacing w:after="0" w:line="27"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Warrant Indenture dated May 14, 2020 between Columbia Care Inc. and Odyssey Trust Company (incorporated by reference to Exhibit</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4.6 of the Registrant’s Registration Statement on Form 10, filed with the SEC on December 14, 2021)</w:t>
        </w:r>
      </w:hyperlink>
    </w:p>
    <w:p>
      <w:pPr>
        <w:spacing w:after="0" w:line="27" w:lineRule="exact"/>
        <w:rPr>
          <w:sz w:val="20"/>
          <w:szCs w:val="20"/>
          <w:color w:val="auto"/>
        </w:rPr>
      </w:pPr>
    </w:p>
    <w:p>
      <w:pPr>
        <w:ind w:right="280"/>
        <w:spacing w:after="0" w:line="266"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First Supplemental Indentures dated as of June 19, 2020 between Columbia Care Inc and Odyssey Trust Company (incorporated by</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reference to Exhibit 4.7 of the Registrant’s Registration Statement on Form 10, filed with the SEC on December 14, 2021)</w:t>
        </w:r>
      </w:hyperlink>
    </w:p>
    <w:p>
      <w:pPr>
        <w:spacing w:after="0" w:line="27"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Warrant Indenture dated July 2, 2020 between Columbia Care Inc. and Odyssey Trust Company (incorporated by reference to Exhibit</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4.8 of the Registrant’s Registration Statement on Form 10, filed with the SEC on December 14, 2021)</w:t>
        </w:r>
      </w:hyperlink>
    </w:p>
    <w:p>
      <w:pPr>
        <w:spacing w:after="0" w:line="27" w:lineRule="exact"/>
        <w:rPr>
          <w:sz w:val="20"/>
          <w:szCs w:val="20"/>
          <w:color w:val="auto"/>
        </w:rPr>
      </w:pPr>
    </w:p>
    <w:p>
      <w:pPr>
        <w:ind w:right="340"/>
        <w:spacing w:after="0" w:line="26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Warrant Indenture dated October 29,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Exhibit 4.9 of the Registrant’s Registration Statement on Form 10, filed with the SEC on December 14, 2021)</w:t>
        </w:r>
      </w:hyperlink>
    </w:p>
    <w:p>
      <w:pPr>
        <w:spacing w:after="0" w:line="27" w:lineRule="exact"/>
        <w:rPr>
          <w:sz w:val="20"/>
          <w:szCs w:val="20"/>
          <w:color w:val="auto"/>
        </w:rPr>
      </w:pPr>
    </w:p>
    <w:p>
      <w:pPr>
        <w:ind w:right="340"/>
        <w:spacing w:after="0" w:line="296"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Second Supplemental Indenture dated June 29, 2021 between Columbia Care Inc. and Odyssey Trust Company (incorporated by</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reference to Exhibit 4.10 of the Registrant’s amended Registration Statement on Form 10, filed with the SEC on January 28, 2022)</w:t>
        </w:r>
      </w:hyperlink>
    </w:p>
    <w:p>
      <w:pPr>
        <w:spacing w:after="0" w:line="4" w:lineRule="exact"/>
        <w:rPr>
          <w:sz w:val="20"/>
          <w:szCs w:val="20"/>
          <w:color w:val="auto"/>
        </w:rPr>
      </w:pPr>
    </w:p>
    <w:p>
      <w:pPr>
        <w:ind w:right="260"/>
        <w:spacing w:after="0" w:line="296" w:lineRule="auto"/>
        <w:rPr>
          <w:rFonts w:ascii="Times New Roman" w:cs="Times New Roman" w:eastAsia="Times New Roman" w:hAnsi="Times New Roman"/>
          <w:sz w:val="17"/>
          <w:szCs w:val="17"/>
          <w:u w:val="single" w:color="auto"/>
          <w:color w:val="0000FF"/>
        </w:rPr>
      </w:pPr>
      <w:hyperlink r:id="rId77">
        <w:r>
          <w:rPr>
            <w:rFonts w:ascii="Times New Roman" w:cs="Times New Roman" w:eastAsia="Times New Roman" w:hAnsi="Times New Roman"/>
            <w:sz w:val="17"/>
            <w:szCs w:val="17"/>
            <w:u w:val="single" w:color="auto"/>
            <w:color w:val="0000FF"/>
          </w:rPr>
          <w:t>Third Supplemental Indenture dated February 2, 2022 between Columbia Care Inc. and Odyssey Trust Company (incorporated by</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reference to Exhibit 4.11 of the Registrant’s amended Registration Statement on Form 10, filed with the SEC on February 15, 2022)</w:t>
        </w:r>
      </w:hyperlink>
    </w:p>
    <w:p>
      <w:pPr>
        <w:spacing w:after="0" w:line="4" w:lineRule="exact"/>
        <w:rPr>
          <w:sz w:val="20"/>
          <w:szCs w:val="20"/>
          <w:color w:val="auto"/>
        </w:rPr>
      </w:pPr>
    </w:p>
    <w:p>
      <w:pPr>
        <w:jc w:val="both"/>
        <w:ind w:right="260"/>
        <w:spacing w:after="0" w:line="296"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Fourth Supplemental Indenture dated February 3, 2022 between Columbia Care Inc. and Odyssey Trust Company (incorporated by</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reference to Exhibit 4.12 of the Registrant’s amended Registration Statement on Form 10, filed with the SEC on February 15, 2022)</w:t>
        </w:r>
      </w:hyperlink>
    </w:p>
    <w:p>
      <w:pPr>
        <w:spacing w:after="0" w:line="4"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Fifth Supplemental Indenture dated May 5, 2022 between Columbia Care Inc. and Odyssey Trust Company (incorporated by reference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to Exhibit 4.1 of the Registrant’s Form 8-K, filed with the SEC on May 11, 2022)</w:t>
        </w:r>
      </w:hyperlink>
    </w:p>
    <w:p>
      <w:pPr>
        <w:spacing w:after="0" w:line="200" w:lineRule="exact"/>
        <w:rPr>
          <w:sz w:val="20"/>
          <w:szCs w:val="20"/>
          <w:color w:val="auto"/>
        </w:rPr>
      </w:pPr>
    </w:p>
    <w:p>
      <w:pPr>
        <w:sectPr>
          <w:pgSz w:w="11900" w:h="16838" w:orient="portrait"/>
          <w:cols w:equalWidth="0" w:num="2">
            <w:col w:w="940" w:space="400"/>
            <w:col w:w="9760"/>
          </w:cols>
          <w:pgMar w:left="320" w:top="121" w:right="479" w:bottom="1440" w:gutter="0" w:footer="0" w:header="0"/>
          <w:type w:val="continuous"/>
        </w:sectPr>
      </w:pP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4.14</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Extension Notice dated March 28, 2023 to Odyssey Trust Company (incorporated by reference to Exhibit 4.14 of the Registrant’s</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32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Annual Report on Form 10-K for the fiscal year ended December 31, 2022, filed with the SEC on March 29, 2023)</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4.15</w:t>
            </w:r>
          </w:p>
        </w:tc>
        <w:tc>
          <w:tcPr>
            <w:tcW w:w="9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vMerge w:val="continue"/>
          </w:tcPr>
          <w:p>
            <w:pPr>
              <w:spacing w:after="0"/>
              <w:rPr>
                <w:sz w:val="22"/>
                <w:szCs w:val="22"/>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Sixth Supplemental Indenture dated September 20, 2023 between The Cannabist Company Holdings Inc. and Odyssey Trust Company</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(incorporated by reference to Exhibit 4.15 of the Registrant's Form 10-Q for the quarter ended March 31, 2024, filed with the SEC on</w:t>
              </w:r>
            </w:hyperlink>
          </w:p>
        </w:tc>
        <w:tc>
          <w:tcPr>
            <w:tcW w:w="6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May 9, 2024)</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4.16</w:t>
            </w:r>
          </w:p>
        </w:tc>
        <w:tc>
          <w:tcPr>
            <w:tcW w:w="9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vMerge w:val="continue"/>
          </w:tcPr>
          <w:p>
            <w:pPr>
              <w:spacing w:after="0"/>
              <w:rPr>
                <w:sz w:val="21"/>
                <w:szCs w:val="21"/>
                <w:color w:val="auto"/>
              </w:rPr>
            </w:pPr>
          </w:p>
        </w:tc>
        <w:tc>
          <w:tcPr>
            <w:tcW w:w="9860" w:type="dxa"/>
            <w:vAlign w:val="bottom"/>
            <w:gridSpan w:val="22"/>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Seventh Supplemental Indenture dated March 19, 2024 between The Cannabist Company Holdings Inc. and Odyssey Trust Company</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6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4.1 of the Registrant’s Form 8-K, filed with the SEC on March 20,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4.17</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Eighth Supplemental Indenture dated March 12, 2025 between The Cannabist Company Holdings Inc., The Cannabist Company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9680" w:type="dxa"/>
            <w:vAlign w:val="bottom"/>
            <w:tcBorders>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Holdings (Canada) Inc., and Odyssey Trust Company (incorporated by reference to Exhibit 4.17 of the Registrant’s Annual Report on</w:t>
              </w:r>
            </w:hyperlink>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9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Form 10-K for the fiscal year ended December 31, 2024, filed with the SEC on March 17, 2025)</w:t>
              </w:r>
            </w:hyperlink>
          </w:p>
        </w:tc>
        <w:tc>
          <w:tcPr>
            <w:tcW w:w="2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10.1#†</w:t>
            </w:r>
          </w:p>
        </w:tc>
        <w:tc>
          <w:tcPr>
            <w:tcW w:w="93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Support Agreement dated February 27, 2025 between The Cannabist Company Holdings Inc., The Cannabist Company Holdings</w:t>
              </w:r>
            </w:hyperlink>
          </w:p>
        </w:tc>
        <w:tc>
          <w:tcPr>
            <w:tcW w:w="5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860" w:type="dxa"/>
            <w:vAlign w:val="bottom"/>
            <w:gridSpan w:val="22"/>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(Canada) Inc., each of their respective direct and indirect subsidiaries signatory thereto and the certain noteholders signatory thereto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(incorporated by reference to Exhibit 10.1 of the Registrant’s Current Report on Form 8-K, filed with the SEC on February 27, 2025)</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Fractional CHRO Engagement Agreement, dated August 6, 2024, between ourCHRO, LLC and The Cannabist Company Holdings Inc.</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81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(incorporated by reference to Exhibit 10.6 of the Registrant's Form 10-Q, filed with the SEC on August 8, 2024)</w:t>
              </w:r>
            </w:hyperlink>
          </w:p>
        </w:tc>
        <w:tc>
          <w:tcPr>
            <w:tcW w:w="1660" w:type="dxa"/>
            <w:vAlign w:val="bottom"/>
            <w:tcBorders>
              <w:top w:val="single" w:sz="8" w:color="0000FF"/>
            </w:tcBorders>
            <w:gridSpan w:val="14"/>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10.3*</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Amendment #1, dated April 29, 2025, to Fractional CHRO Engagement Agreement between our CHRO, LLC and The Cannabist</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Holdings Inc.</w:t>
            </w:r>
          </w:p>
        </w:tc>
        <w:tc>
          <w:tcPr>
            <w:tcW w:w="7600" w:type="dxa"/>
            <w:vAlign w:val="bottom"/>
            <w:tcBorders>
              <w:top w:val="single" w:sz="8" w:color="0000FF"/>
            </w:tcBorders>
            <w:gridSpan w:val="8"/>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31.1*</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60" w:type="dxa"/>
            <w:vAlign w:val="bottom"/>
            <w:tcBorders>
              <w:top w:val="single" w:sz="8" w:color="0000FF"/>
            </w:tcBorders>
            <w:gridSpan w:val="14"/>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31.2*</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580" w:type="dxa"/>
            <w:vAlign w:val="bottom"/>
            <w:tcBorders>
              <w:top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32.1‡</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20" w:type="dxa"/>
            <w:vAlign w:val="bottom"/>
            <w:tcBorders>
              <w:top w:val="single" w:sz="8" w:color="0000FF"/>
            </w:tcBorders>
            <w:gridSpan w:val="14"/>
          </w:tcPr>
          <w:p>
            <w:pPr>
              <w:spacing w:after="0"/>
              <w:rPr>
                <w:sz w:val="15"/>
                <w:szCs w:val="15"/>
                <w:color w:val="auto"/>
              </w:rPr>
            </w:pPr>
          </w:p>
        </w:tc>
        <w:tc>
          <w:tcPr>
            <w:tcW w:w="2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32.2‡</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11"/>
          </w:tcPr>
          <w:p>
            <w:pPr>
              <w:spacing w:after="0"/>
              <w:rPr>
                <w:sz w:val="15"/>
                <w:szCs w:val="15"/>
                <w:color w:val="auto"/>
              </w:rPr>
            </w:pPr>
          </w:p>
        </w:tc>
        <w:tc>
          <w:tcPr>
            <w:tcW w:w="3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101.INS*</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56"/>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101.CAL*</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101.DEF*</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101.LAB*</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101.PRE*</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6"/>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104*</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4" w:lineRule="exact"/>
        <w:rPr>
          <w:sz w:val="20"/>
          <w:szCs w:val="20"/>
          <w:color w:val="auto"/>
        </w:rPr>
      </w:pPr>
    </w:p>
    <w:p>
      <w:pPr>
        <w:jc w:val="both"/>
        <w:ind w:left="120" w:hanging="11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 Certain identified information has been omitted pursuant to Item 601(b)(10) of Regulation S-K because such information is both (i) not material and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the type that the Registrant customarily and actually treats as private or</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confidential. The Registrant hereby undertakes to furnish supplemental copies of the unredacted exhibit upon request by the SEC.</w:t>
      </w:r>
    </w:p>
    <w:p>
      <w:pPr>
        <w:spacing w:after="0" w:line="11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8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8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/s/ David Hart</w:t>
            </w:r>
          </w:p>
        </w:tc>
      </w:tr>
      <w:tr>
        <w:trPr>
          <w:trHeight w:val="243"/>
        </w:trPr>
        <w:tc>
          <w:tcPr>
            <w:tcW w:w="34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Hart</w:t>
            </w:r>
          </w:p>
        </w:tc>
      </w:tr>
      <w:tr>
        <w:trPr>
          <w:trHeight w:val="257"/>
        </w:trPr>
        <w:tc>
          <w:tcPr>
            <w:tcW w:w="34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53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8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43"/>
        </w:trPr>
        <w:tc>
          <w:tcPr>
            <w:tcW w:w="34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56"/>
        </w:trPr>
        <w:tc>
          <w:tcPr>
            <w:tcW w:w="34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594"/>
        </w:trPr>
        <w:tc>
          <w:tcPr>
            <w:tcW w:w="3440" w:type="dxa"/>
            <w:vAlign w:val="bottom"/>
          </w:tcPr>
          <w:p>
            <w:pPr>
              <w:spacing w:after="0"/>
              <w:rPr>
                <w:sz w:val="24"/>
                <w:szCs w:val="24"/>
                <w:color w:val="auto"/>
              </w:rPr>
            </w:pPr>
          </w:p>
        </w:tc>
        <w:tc>
          <w:tcPr>
            <w:tcW w:w="2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ind w:left="20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 xml:space="preserve">Amendment #1 to </w:t>
      </w:r>
      <w:r>
        <w:rPr>
          <w:rFonts w:ascii="Arial" w:cs="Arial" w:eastAsia="Arial" w:hAnsi="Arial"/>
          <w:sz w:val="21"/>
          <w:szCs w:val="21"/>
          <w:b w:val="1"/>
          <w:bCs w:val="1"/>
          <w:color w:val="auto"/>
        </w:rPr>
        <w:t>Exhibit 10.3</w:t>
      </w:r>
    </w:p>
    <w:p>
      <w:pPr>
        <w:spacing w:after="0" w:line="36"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Fractional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#1</w:t>
      </w:r>
      <w:r>
        <w:rPr>
          <w:rFonts w:ascii="Arial" w:cs="Arial" w:eastAsia="Arial" w:hAnsi="Arial"/>
          <w:sz w:val="20"/>
          <w:szCs w:val="20"/>
          <w:color w:val="auto"/>
        </w:rPr>
        <w:t xml:space="preserve"> (the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to that certain </w:t>
      </w:r>
      <w:r>
        <w:rPr>
          <w:rFonts w:ascii="Arial" w:cs="Arial" w:eastAsia="Arial" w:hAnsi="Arial"/>
          <w:sz w:val="20"/>
          <w:szCs w:val="20"/>
          <w:b w:val="1"/>
          <w:bCs w:val="1"/>
          <w:color w:val="auto"/>
        </w:rPr>
        <w:t>FRACTIONAL CHRO ENGAGEMENT AGREEMENT</w:t>
      </w:r>
      <w:r>
        <w:rPr>
          <w:rFonts w:ascii="Arial" w:cs="Arial" w:eastAsia="Arial" w:hAnsi="Arial"/>
          <w:sz w:val="20"/>
          <w:szCs w:val="20"/>
          <w:color w:val="auto"/>
        </w:rPr>
        <w:t xml:space="preserve"> dated as of August 6, 2024 is entered into between ourCHRO, LLC and The Cannabist Company Holdings Inc. (the “</w:t>
      </w:r>
      <w:r>
        <w:rPr>
          <w:rFonts w:ascii="Arial" w:cs="Arial" w:eastAsia="Arial" w:hAnsi="Arial"/>
          <w:sz w:val="20"/>
          <w:szCs w:val="20"/>
          <w:b w:val="1"/>
          <w:bCs w:val="1"/>
          <w:color w:val="auto"/>
        </w:rPr>
        <w:t>Agreement</w:t>
      </w:r>
      <w:r>
        <w:rPr>
          <w:rFonts w:ascii="Arial" w:cs="Arial" w:eastAsia="Arial" w:hAnsi="Arial"/>
          <w:sz w:val="20"/>
          <w:szCs w:val="20"/>
          <w:color w:val="auto"/>
        </w:rPr>
        <w:t>”) is effective as of April 29, 2025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amendments are made to the Agreement:</w:t>
      </w:r>
    </w:p>
    <w:p>
      <w:pPr>
        <w:spacing w:after="0" w:line="108"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u w:val="single" w:color="auto"/>
          <w:color w:val="auto"/>
        </w:rPr>
        <w:t>Section</w:t>
      </w:r>
      <w:r>
        <w:rPr>
          <w:sz w:val="20"/>
          <w:szCs w:val="20"/>
          <w:color w:val="auto"/>
        </w:rPr>
        <w:tab/>
      </w:r>
      <w:r>
        <w:rPr>
          <w:rFonts w:ascii="Arial" w:cs="Arial" w:eastAsia="Arial" w:hAnsi="Arial"/>
          <w:sz w:val="20"/>
          <w:szCs w:val="20"/>
          <w:u w:val="single" w:color="auto"/>
          <w:color w:val="auto"/>
        </w:rPr>
        <w:t>(1) shall be amended to read as follows</w:t>
      </w:r>
      <w:r>
        <w:rPr>
          <w:rFonts w:ascii="Arial" w:cs="Arial" w:eastAsia="Arial" w:hAnsi="Arial"/>
          <w:sz w:val="20"/>
          <w:szCs w:val="20"/>
          <w:color w:val="auto"/>
        </w:rPr>
        <w:t>:</w:t>
      </w:r>
    </w:p>
    <w:p>
      <w:pPr>
        <w:spacing w:after="0" w:line="254" w:lineRule="exact"/>
        <w:rPr>
          <w:sz w:val="20"/>
          <w:szCs w:val="20"/>
          <w:color w:val="auto"/>
        </w:rPr>
      </w:pPr>
    </w:p>
    <w:p>
      <w:pPr>
        <w:jc w:val="both"/>
        <w:ind w:left="660" w:firstLine="644"/>
        <w:spacing w:after="0" w:line="254" w:lineRule="auto"/>
        <w:tabs>
          <w:tab w:leader="none" w:pos="1825"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SERVICES </w:t>
      </w:r>
      <w:r>
        <w:rPr>
          <w:rFonts w:ascii="Arial" w:cs="Arial" w:eastAsia="Arial" w:hAnsi="Arial"/>
          <w:sz w:val="20"/>
          <w:szCs w:val="20"/>
          <w:color w:val="auto"/>
        </w:rPr>
        <w:t>– Under this Agreement, we will provide to you the consulting services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Services</w:t>
      </w:r>
      <w:r>
        <w:rPr>
          <w:rFonts w:ascii="Arial" w:cs="Arial" w:eastAsia="Arial" w:hAnsi="Arial"/>
          <w:sz w:val="20"/>
          <w:szCs w:val="20"/>
          <w:color w:val="auto"/>
        </w:rPr>
        <w:t xml:space="preserve">”). As of the May 1, 2025, we will also provide to you the consulting services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color w:val="auto"/>
        </w:rPr>
        <w:t>Additional Services</w:t>
      </w:r>
      <w:r>
        <w:rPr>
          <w:rFonts w:ascii="Arial" w:cs="Arial" w:eastAsia="Arial" w:hAnsi="Arial"/>
          <w:sz w:val="20"/>
          <w:szCs w:val="20"/>
          <w:color w:val="auto"/>
        </w:rPr>
        <w:t>”). All Services and Additional Services will be performed in a professional manner consistent with the level of care, skill, practice, and judgment exercised by other senior HR professionals performing services of a similar nature under similar circumstances by personnel with requisite skills, needed to carry out such work. The Services and Additional Services shall materially conform to any mutually agreed upon specifications or descriptions of Services or Additional Services, as applicable.</w:t>
      </w:r>
    </w:p>
    <w:p>
      <w:pPr>
        <w:spacing w:after="0" w:line="20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u w:val="single" w:color="auto"/>
          <w:color w:val="auto"/>
        </w:rPr>
        <w:t>Section</w:t>
      </w:r>
      <w:r>
        <w:rPr>
          <w:sz w:val="20"/>
          <w:szCs w:val="20"/>
          <w:color w:val="auto"/>
        </w:rPr>
        <w:tab/>
      </w:r>
      <w:r>
        <w:rPr>
          <w:rFonts w:ascii="Arial" w:cs="Arial" w:eastAsia="Arial" w:hAnsi="Arial"/>
          <w:sz w:val="20"/>
          <w:szCs w:val="20"/>
          <w:u w:val="single" w:color="auto"/>
          <w:color w:val="auto"/>
        </w:rPr>
        <w:t>(2.1) shall be amended to add the following sentence</w:t>
      </w:r>
      <w:r>
        <w:rPr>
          <w:rFonts w:ascii="Arial" w:cs="Arial" w:eastAsia="Arial" w:hAnsi="Arial"/>
          <w:sz w:val="20"/>
          <w:szCs w:val="20"/>
          <w:color w:val="auto"/>
        </w:rPr>
        <w:t>:</w:t>
      </w:r>
    </w:p>
    <w:p>
      <w:pPr>
        <w:spacing w:after="0" w:line="256" w:lineRule="exact"/>
        <w:rPr>
          <w:sz w:val="20"/>
          <w:szCs w:val="20"/>
          <w:color w:val="auto"/>
        </w:rPr>
      </w:pPr>
    </w:p>
    <w:p>
      <w:pPr>
        <w:jc w:val="both"/>
        <w:ind w:left="1300"/>
        <w:spacing w:after="0" w:line="268" w:lineRule="auto"/>
        <w:rPr>
          <w:sz w:val="20"/>
          <w:szCs w:val="20"/>
          <w:color w:val="auto"/>
        </w:rPr>
      </w:pPr>
      <w:r>
        <w:rPr>
          <w:rFonts w:ascii="Arial" w:cs="Arial" w:eastAsia="Arial" w:hAnsi="Arial"/>
          <w:sz w:val="20"/>
          <w:szCs w:val="20"/>
          <w:color w:val="auto"/>
        </w:rPr>
        <w:t>Beginning on the Amendment Effective Date, for so long as ourCHRO is providing the Additional Services, Cannabist will pay ourCHRO an additional Three Thousand Dollars ($3,000) per month within the first fifteen (15) days of each month during the Term (each a “</w:t>
      </w:r>
      <w:r>
        <w:rPr>
          <w:rFonts w:ascii="Arial" w:cs="Arial" w:eastAsia="Arial" w:hAnsi="Arial"/>
          <w:sz w:val="20"/>
          <w:szCs w:val="20"/>
          <w:b w:val="1"/>
          <w:bCs w:val="1"/>
          <w:color w:val="auto"/>
        </w:rPr>
        <w:t>Monthly Additional Fee</w:t>
      </w:r>
      <w:r>
        <w:rPr>
          <w:rFonts w:ascii="Arial" w:cs="Arial" w:eastAsia="Arial" w:hAnsi="Arial"/>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(4.2) shall be amended to add the following paragraph:</w:t>
      </w:r>
    </w:p>
    <w:p>
      <w:pPr>
        <w:spacing w:after="0" w:line="243" w:lineRule="exact"/>
        <w:rPr>
          <w:sz w:val="20"/>
          <w:szCs w:val="20"/>
          <w:color w:val="auto"/>
        </w:rPr>
      </w:pPr>
    </w:p>
    <w:p>
      <w:pPr>
        <w:jc w:val="both"/>
        <w:ind w:left="1300"/>
        <w:spacing w:after="0" w:line="277" w:lineRule="auto"/>
        <w:rPr>
          <w:sz w:val="20"/>
          <w:szCs w:val="20"/>
          <w:color w:val="auto"/>
        </w:rPr>
      </w:pPr>
      <w:r>
        <w:rPr>
          <w:rFonts w:ascii="Arial" w:cs="Arial" w:eastAsia="Arial" w:hAnsi="Arial"/>
          <w:sz w:val="19"/>
          <w:szCs w:val="19"/>
          <w:color w:val="auto"/>
        </w:rPr>
        <w:t xml:space="preserve">Through this Amendment, Cannabist provides notice of termination of the Agreement, as amended, effective April 30, 2026 (the “Termination Date”). ourCHRO acknowledges receipt of the notice of termination. For the avoidance of doubt, this termination is </w:t>
      </w:r>
      <w:r>
        <w:rPr>
          <w:rFonts w:ascii="Arial" w:cs="Arial" w:eastAsia="Arial" w:hAnsi="Arial"/>
          <w:sz w:val="19"/>
          <w:szCs w:val="19"/>
          <w:i w:val="1"/>
          <w:iCs w:val="1"/>
          <w:color w:val="auto"/>
        </w:rPr>
        <w:t>without</w:t>
      </w:r>
      <w:r>
        <w:rPr>
          <w:rFonts w:ascii="Arial" w:cs="Arial" w:eastAsia="Arial" w:hAnsi="Arial"/>
          <w:sz w:val="19"/>
          <w:szCs w:val="19"/>
          <w:color w:val="auto"/>
        </w:rPr>
        <w:t xml:space="preserve"> immediate effect. Cannabist’s present intention is to fully utilize the Services, as defined, and contracted for, in the Agreement, from the Amendment Effective Date to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-506095</wp:posOffset>
            </wp:positionV>
            <wp:extent cx="34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The following new Section (4.3) shall be added</w:t>
      </w:r>
      <w:r>
        <w:rPr>
          <w:rFonts w:ascii="Arial" w:cs="Arial" w:eastAsia="Arial" w:hAnsi="Arial"/>
          <w:sz w:val="20"/>
          <w:szCs w:val="20"/>
          <w:color w:val="auto"/>
        </w:rPr>
        <w:t>:</w:t>
      </w:r>
    </w:p>
    <w:p>
      <w:pPr>
        <w:spacing w:after="0" w:line="241"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0"/>
          <w:szCs w:val="20"/>
          <w:b w:val="1"/>
          <w:bCs w:val="1"/>
          <w:color w:val="auto"/>
        </w:rPr>
        <w:t xml:space="preserve">(4.3) TERMINATION OF THE ADDITIONAL SERVICES </w:t>
      </w:r>
      <w:r>
        <w:rPr>
          <w:rFonts w:ascii="Arial" w:cs="Arial" w:eastAsia="Arial" w:hAnsi="Arial"/>
          <w:sz w:val="20"/>
          <w:szCs w:val="20"/>
          <w:color w:val="auto"/>
        </w:rPr>
        <w:t>– Cannabist may terminate ourCHRO’s</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of the Additional Services at any time and for any reason, provided that written notice is sent at least thirty (30) days prior to the effective date of termination.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The following Exhibit B shall be added the Agreement</w:t>
      </w:r>
      <w:r>
        <w:rPr>
          <w:rFonts w:ascii="Arial" w:cs="Arial" w:eastAsia="Arial" w:hAnsi="Arial"/>
          <w:sz w:val="20"/>
          <w:szCs w:val="20"/>
          <w:color w:val="auto"/>
        </w:rPr>
        <w:t>:</w:t>
      </w:r>
    </w:p>
    <w:p>
      <w:pPr>
        <w:spacing w:after="0" w:line="25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u w:val="single" w:color="auto"/>
          <w:color w:val="auto"/>
        </w:rPr>
        <w:t>Exhibit B</w:t>
      </w:r>
    </w:p>
    <w:p>
      <w:pPr>
        <w:spacing w:after="0" w:line="20"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Description of Services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Additional Services to be provided under this Agreement are as follows:</w:t>
      </w:r>
    </w:p>
    <w:p>
      <w:pPr>
        <w:spacing w:after="0" w:line="243" w:lineRule="exact"/>
        <w:rPr>
          <w:sz w:val="20"/>
          <w:szCs w:val="20"/>
          <w:color w:val="auto"/>
        </w:rPr>
      </w:pPr>
    </w:p>
    <w:p>
      <w:pPr>
        <w:jc w:val="both"/>
        <w:ind w:left="1300" w:hanging="320"/>
        <w:spacing w:after="0" w:line="269" w:lineRule="auto"/>
        <w:tabs>
          <w:tab w:leader="none" w:pos="1288" w:val="left"/>
        </w:tabs>
        <w:numPr>
          <w:ilvl w:val="0"/>
          <w:numId w:val="22"/>
        </w:numPr>
        <w:rPr>
          <w:rFonts w:ascii="Times New Roman" w:cs="Times New Roman" w:eastAsia="Times New Roman" w:hAnsi="Times New Roman"/>
          <w:sz w:val="20"/>
          <w:szCs w:val="20"/>
          <w:color w:val="auto"/>
        </w:rPr>
      </w:pPr>
      <w:r>
        <w:rPr>
          <w:rFonts w:ascii="Arial" w:cs="Arial" w:eastAsia="Arial" w:hAnsi="Arial"/>
          <w:sz w:val="20"/>
          <w:szCs w:val="20"/>
          <w:color w:val="auto"/>
        </w:rPr>
        <w:t>An average of fourteen (14) hours per month of equity compensation program management and/or other compensation consulting services. Such Services may be performed by Sherry Gingerich, or another qualified agent of ourCHRO.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 xml:space="preserve">1 | </w:t>
      </w:r>
      <w:r>
        <w:rPr>
          <w:rFonts w:ascii="Arial" w:cs="Arial" w:eastAsia="Arial" w:hAnsi="Arial"/>
          <w:sz w:val="19"/>
          <w:szCs w:val="19"/>
          <w:color w:val="7F7F7F"/>
        </w:rPr>
        <w:t>Page</w:t>
      </w:r>
    </w:p>
    <w:p>
      <w:pPr>
        <w:sectPr>
          <w:pgSz w:w="11900" w:h="16838" w:orient="portrait"/>
          <w:cols w:equalWidth="0" w:num="1">
            <w:col w:w="11240"/>
          </w:cols>
          <w:pgMar w:left="320" w:top="790" w:right="339" w:bottom="1440" w:gutter="0" w:footer="0" w:header="0"/>
          <w:type w:val="continuous"/>
        </w:sectPr>
      </w:pPr>
    </w:p>
    <w:bookmarkStart w:id="37" w:name="page38"/>
    <w:bookmarkEnd w:id="37"/>
    <w:p>
      <w:pPr>
        <w:ind w:left="20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 xml:space="preserve">Amendment #1 to </w:t>
      </w:r>
      <w:r>
        <w:rPr>
          <w:rFonts w:ascii="Arial" w:cs="Arial" w:eastAsia="Arial" w:hAnsi="Arial"/>
          <w:sz w:val="21"/>
          <w:szCs w:val="21"/>
          <w:b w:val="1"/>
          <w:bCs w:val="1"/>
          <w:color w:val="auto"/>
        </w:rPr>
        <w:t>Exhibit 10.3</w:t>
      </w:r>
    </w:p>
    <w:p>
      <w:pPr>
        <w:spacing w:after="0" w:line="36"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Fractional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 All other provisions of the Agreement will remain in full effect through the end of the newly extended Term.</w:t>
      </w: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 Any defined terms not specifically defined in this Amendment will have the meanings ascribed to them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GOVERNNING LAW </w:t>
      </w:r>
      <w:r>
        <w:rPr>
          <w:rFonts w:ascii="Arial" w:cs="Arial" w:eastAsia="Arial" w:hAnsi="Arial"/>
          <w:sz w:val="20"/>
          <w:szCs w:val="20"/>
          <w:color w:val="auto"/>
        </w:rPr>
        <w:t>– This Amendment will be governed by the laws of the State of Florida. In the event of any dispute or</w:t>
      </w:r>
      <w:r>
        <w:rPr>
          <w:rFonts w:ascii="Arial" w:cs="Arial" w:eastAsia="Arial" w:hAnsi="Arial"/>
          <w:sz w:val="20"/>
          <w:szCs w:val="20"/>
          <w:b w:val="1"/>
          <w:bCs w:val="1"/>
          <w:color w:val="auto"/>
        </w:rPr>
        <w:t xml:space="preserve"> </w:t>
      </w:r>
      <w:r>
        <w:rPr>
          <w:rFonts w:ascii="Arial" w:cs="Arial" w:eastAsia="Arial" w:hAnsi="Arial"/>
          <w:sz w:val="20"/>
          <w:szCs w:val="20"/>
          <w:color w:val="auto"/>
        </w:rPr>
        <w:t>controversy between the parties with respect to the matters contemplated in the Amendment, the parties consent to the sole and exclusive jurisdiction of the state and federal courts sitting in the State of Florida and waive any defense to the jurisdiction thereof based on lack of jurisdiction, improper venue, forum non conveniens, or otherwise.</w:t>
      </w:r>
    </w:p>
    <w:p>
      <w:pPr>
        <w:spacing w:after="0" w:line="205"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 xml:space="preserve">SUCESSORS AND ASSIGNS </w:t>
      </w:r>
      <w:r>
        <w:rPr>
          <w:rFonts w:ascii="Arial" w:cs="Arial" w:eastAsia="Arial" w:hAnsi="Arial"/>
          <w:sz w:val="20"/>
          <w:szCs w:val="20"/>
          <w:color w:val="auto"/>
        </w:rPr>
        <w:t>– This Amendment will be binding on and inure to the benefit of the successors and assigns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respective parties, including (without limitation) any successor organization to your company.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 This Amendment and the Agreement (together the “</w:t>
      </w:r>
      <w:r>
        <w:rPr>
          <w:rFonts w:ascii="Arial" w:cs="Arial" w:eastAsia="Arial" w:hAnsi="Arial"/>
          <w:sz w:val="20"/>
          <w:szCs w:val="20"/>
          <w:b w:val="1"/>
          <w:bCs w:val="1"/>
          <w:color w:val="auto"/>
        </w:rPr>
        <w:t>Agreement Documents</w:t>
      </w:r>
      <w:r>
        <w:rPr>
          <w:rFonts w:ascii="Arial" w:cs="Arial" w:eastAsia="Arial" w:hAnsi="Arial"/>
          <w:sz w:val="20"/>
          <w:szCs w:val="20"/>
          <w:color w:val="auto"/>
        </w:rPr>
        <w:t>”) contain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parties with respect to the subject matter contained in the Agreement Documents. All express or implied representations, agreements and understandings with respect to the subject matter of the Agreement Documents, either oral or written, previously made are expressly superseded by the Agreement Documents.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parties have executed this Amendment as of the Amendment Effective Date.</w:t>
      </w: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4320" w:type="dxa"/>
            <w:vAlign w:val="bottom"/>
            <w:gridSpan w:val="3"/>
          </w:tcPr>
          <w:p>
            <w:pPr>
              <w:spacing w:after="0"/>
              <w:rPr>
                <w:sz w:val="20"/>
                <w:szCs w:val="20"/>
                <w:color w:val="auto"/>
              </w:rPr>
            </w:pPr>
            <w:r>
              <w:rPr>
                <w:rFonts w:ascii="Arial" w:cs="Arial" w:eastAsia="Arial" w:hAnsi="Arial"/>
                <w:sz w:val="20"/>
                <w:szCs w:val="20"/>
                <w:b w:val="1"/>
                <w:bCs w:val="1"/>
                <w:color w:val="auto"/>
              </w:rPr>
              <w:t>ourCHRO, LLC</w:t>
            </w:r>
          </w:p>
        </w:tc>
        <w:tc>
          <w:tcPr>
            <w:tcW w:w="5500" w:type="dxa"/>
            <w:vAlign w:val="bottom"/>
            <w:gridSpan w:val="3"/>
          </w:tcPr>
          <w:p>
            <w:pPr>
              <w:ind w:left="1300"/>
              <w:spacing w:after="0"/>
              <w:rPr>
                <w:sz w:val="20"/>
                <w:szCs w:val="20"/>
                <w:color w:val="auto"/>
              </w:rPr>
            </w:pPr>
            <w:r>
              <w:rPr>
                <w:rFonts w:ascii="Arial" w:cs="Arial" w:eastAsia="Arial" w:hAnsi="Arial"/>
                <w:sz w:val="20"/>
                <w:szCs w:val="20"/>
                <w:b w:val="1"/>
                <w:bCs w:val="1"/>
                <w:color w:val="auto"/>
                <w:w w:val="97"/>
              </w:rPr>
              <w:t>THE CANNABIST COMPANY HOLDINGS INC.</w:t>
            </w:r>
          </w:p>
        </w:tc>
      </w:tr>
      <w:tr>
        <w:trPr>
          <w:trHeight w:val="655"/>
        </w:trPr>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Arial" w:cs="Arial" w:eastAsia="Arial" w:hAnsi="Arial"/>
                <w:sz w:val="20"/>
                <w:szCs w:val="20"/>
                <w:color w:val="auto"/>
              </w:rPr>
              <w:t>By:</w:t>
            </w:r>
          </w:p>
        </w:tc>
        <w:tc>
          <w:tcPr>
            <w:tcW w:w="1360" w:type="dxa"/>
            <w:vAlign w:val="bottom"/>
            <w:tcBorders>
              <w:bottom w:val="single" w:sz="8" w:color="auto"/>
            </w:tcBorders>
          </w:tcPr>
          <w:p>
            <w:pPr>
              <w:spacing w:after="0"/>
              <w:rPr>
                <w:sz w:val="24"/>
                <w:szCs w:val="24"/>
                <w:color w:val="auto"/>
              </w:rPr>
            </w:pPr>
          </w:p>
        </w:tc>
        <w:tc>
          <w:tcPr>
            <w:tcW w:w="2500" w:type="dxa"/>
            <w:vAlign w:val="bottom"/>
          </w:tcPr>
          <w:p>
            <w:pPr>
              <w:spacing w:after="0"/>
              <w:rPr>
                <w:sz w:val="24"/>
                <w:szCs w:val="24"/>
                <w:color w:val="auto"/>
              </w:rPr>
            </w:pPr>
          </w:p>
        </w:tc>
      </w:tr>
      <w:tr>
        <w:trPr>
          <w:trHeight w:val="223"/>
        </w:trPr>
        <w:tc>
          <w:tcPr>
            <w:tcW w:w="340" w:type="dxa"/>
            <w:vAlign w:val="bottom"/>
          </w:tcPr>
          <w:p>
            <w:pPr>
              <w:spacing w:after="0" w:line="223" w:lineRule="exact"/>
              <w:rPr>
                <w:sz w:val="20"/>
                <w:szCs w:val="20"/>
                <w:color w:val="auto"/>
              </w:rPr>
            </w:pPr>
            <w:r>
              <w:rPr>
                <w:rFonts w:ascii="Arial" w:cs="Arial" w:eastAsia="Arial" w:hAnsi="Arial"/>
                <w:sz w:val="20"/>
                <w:szCs w:val="20"/>
                <w:color w:val="auto"/>
              </w:rPr>
              <w:t>By:</w:t>
            </w:r>
          </w:p>
        </w:tc>
        <w:tc>
          <w:tcPr>
            <w:tcW w:w="1320" w:type="dxa"/>
            <w:vAlign w:val="bottom"/>
            <w:tcBorders>
              <w:bottom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5500" w:type="dxa"/>
            <w:vAlign w:val="bottom"/>
            <w:gridSpan w:val="3"/>
          </w:tcPr>
          <w:p>
            <w:pPr>
              <w:ind w:left="1300"/>
              <w:spacing w:after="0" w:line="223" w:lineRule="exact"/>
              <w:rPr>
                <w:sz w:val="20"/>
                <w:szCs w:val="20"/>
                <w:color w:val="auto"/>
              </w:rPr>
            </w:pPr>
            <w:r>
              <w:rPr>
                <w:rFonts w:ascii="Arial" w:cs="Arial" w:eastAsia="Arial" w:hAnsi="Arial"/>
                <w:sz w:val="20"/>
                <w:szCs w:val="20"/>
                <w:color w:val="auto"/>
              </w:rPr>
              <w:t>Name: David Hart</w:t>
            </w:r>
          </w:p>
        </w:tc>
      </w:tr>
      <w:tr>
        <w:trPr>
          <w:trHeight w:val="242"/>
        </w:trPr>
        <w:tc>
          <w:tcPr>
            <w:tcW w:w="4320" w:type="dxa"/>
            <w:vAlign w:val="bottom"/>
            <w:gridSpan w:val="3"/>
          </w:tcPr>
          <w:p>
            <w:pPr>
              <w:spacing w:after="0"/>
              <w:rPr>
                <w:sz w:val="20"/>
                <w:szCs w:val="20"/>
                <w:color w:val="auto"/>
              </w:rPr>
            </w:pPr>
            <w:r>
              <w:rPr>
                <w:rFonts w:ascii="Arial" w:cs="Arial" w:eastAsia="Arial" w:hAnsi="Arial"/>
                <w:sz w:val="20"/>
                <w:szCs w:val="20"/>
                <w:color w:val="auto"/>
              </w:rPr>
              <w:t>Name: Bryan L. Olson</w:t>
            </w:r>
          </w:p>
        </w:tc>
        <w:tc>
          <w:tcPr>
            <w:tcW w:w="5500" w:type="dxa"/>
            <w:vAlign w:val="bottom"/>
            <w:gridSpan w:val="3"/>
          </w:tcPr>
          <w:p>
            <w:pPr>
              <w:ind w:left="1300"/>
              <w:spacing w:after="0"/>
              <w:rPr>
                <w:sz w:val="20"/>
                <w:szCs w:val="20"/>
                <w:color w:val="auto"/>
              </w:rPr>
            </w:pPr>
            <w:r>
              <w:rPr>
                <w:rFonts w:ascii="Arial" w:cs="Arial" w:eastAsia="Arial" w:hAnsi="Arial"/>
                <w:sz w:val="20"/>
                <w:szCs w:val="20"/>
                <w:color w:val="auto"/>
              </w:rPr>
              <w:t>Title: Chief Executive Officer</w:t>
            </w:r>
          </w:p>
        </w:tc>
      </w:tr>
      <w:tr>
        <w:trPr>
          <w:trHeight w:val="261"/>
        </w:trPr>
        <w:tc>
          <w:tcPr>
            <w:tcW w:w="4320" w:type="dxa"/>
            <w:vAlign w:val="bottom"/>
            <w:gridSpan w:val="3"/>
          </w:tcPr>
          <w:p>
            <w:pPr>
              <w:spacing w:after="0"/>
              <w:rPr>
                <w:sz w:val="20"/>
                <w:szCs w:val="20"/>
                <w:color w:val="auto"/>
              </w:rPr>
            </w:pPr>
            <w:r>
              <w:rPr>
                <w:rFonts w:ascii="Arial" w:cs="Arial" w:eastAsia="Arial" w:hAnsi="Arial"/>
                <w:sz w:val="20"/>
                <w:szCs w:val="20"/>
                <w:color w:val="auto"/>
              </w:rPr>
              <w:t>Title: Founder &amp; Managing Partner</w:t>
            </w:r>
          </w:p>
        </w:tc>
        <w:tc>
          <w:tcPr>
            <w:tcW w:w="16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5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 xml:space="preserve">2 | </w:t>
      </w:r>
      <w:r>
        <w:rPr>
          <w:rFonts w:ascii="Arial" w:cs="Arial" w:eastAsia="Arial" w:hAnsi="Arial"/>
          <w:sz w:val="20"/>
          <w:szCs w:val="20"/>
          <w:color w:val="7F7F7F"/>
        </w:rPr>
        <w:t>Page</w:t>
      </w:r>
    </w:p>
    <w:p>
      <w:pPr>
        <w:sectPr>
          <w:pgSz w:w="11900" w:h="16838" w:orient="portrait"/>
          <w:cols w:equalWidth="0" w:num="1">
            <w:col w:w="11240"/>
          </w:cols>
          <w:pgMar w:left="320" w:top="79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80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5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79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03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80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6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9"/>
    </w:lvl>
    <w:lvl w:ilvl="1">
      <w:lvlJc w:val="left"/>
      <w:lvlText w:val="•"/>
      <w:numFmt w:val="bullet"/>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3"/>
    </w:lvl>
  </w:abstractNum>
  <w:abstractNum w:abstractNumId="13">
    <w:nsid w:val="62BBD95A"/>
    <w:multiLevelType w:val="hybridMultilevel"/>
    <w:lvl w:ilvl="0">
      <w:lvlJc w:val="left"/>
      <w:lvlText w:val="%1."/>
      <w:numFmt w:val="decimal"/>
      <w:start w:val="15"/>
    </w:lvl>
  </w:abstractNum>
  <w:abstractNum w:abstractNumId="14">
    <w:nsid w:val="436C6125"/>
    <w:multiLevelType w:val="hybridMultilevel"/>
    <w:lvl w:ilvl="0">
      <w:lvlJc w:val="left"/>
      <w:lvlText w:val="%1."/>
      <w:numFmt w:val="decimal"/>
      <w:start w:val="18"/>
    </w:lvl>
  </w:abstractNum>
  <w:abstractNum w:abstractNumId="15">
    <w:nsid w:val="628C895D"/>
    <w:multiLevelType w:val="hybridMultilevel"/>
    <w:lvl w:ilvl="0">
      <w:lvlJc w:val="left"/>
      <w:lvlText w:val="%1."/>
      <w:numFmt w:val="decimal"/>
      <w:start w:val="19"/>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3"/>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0"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jpe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jpe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63" Type="http://schemas.openxmlformats.org/officeDocument/2006/relationships/hyperlink" Target="https://www.sec.gov/Archives/edgar/data/1776738/000119312522088069/d292116dex21.htm" TargetMode="External"/><Relationship Id="rId64" Type="http://schemas.openxmlformats.org/officeDocument/2006/relationships/hyperlink" Target="https://www.sec.gov/Archives/edgar/data/1776738/000119312523054004/d469358dex21.htm" TargetMode="External"/><Relationship Id="rId65" Type="http://schemas.openxmlformats.org/officeDocument/2006/relationships/hyperlink" Target="https://www.sec.gov/Archives/edgar/data/1776738/000119312521356939/d252333dex31.htm" TargetMode="External"/><Relationship Id="rId66" Type="http://schemas.openxmlformats.org/officeDocument/2006/relationships/hyperlink" Target="https://www.sec.gov/Archives/edgar/data/1776738/000119312523239776/d471022dex32.htm" TargetMode="External"/><Relationship Id="rId67" Type="http://schemas.openxmlformats.org/officeDocument/2006/relationships/hyperlink" Target="https://www.sec.gov/Archives/edgar/data/1776738/000119312521356939/d252333dex41.htm" TargetMode="External"/><Relationship Id="rId68" Type="http://schemas.openxmlformats.org/officeDocument/2006/relationships/hyperlink" Target="https://www.sec.gov/Archives/edgar/data/1776738/000119312521356939/d252333dex42.htm" TargetMode="External"/><Relationship Id="rId69" Type="http://schemas.openxmlformats.org/officeDocument/2006/relationships/hyperlink" Target="https://www.sec.gov/Archives/edgar/data/1776738/000119312521356939/d252333dex43.htm" TargetMode="External"/><Relationship Id="rId70" Type="http://schemas.openxmlformats.org/officeDocument/2006/relationships/hyperlink" Target="https://www.sec.gov/Archives/edgar/data/1776738/000119312521356939/d252333dex44.htm" TargetMode="External"/><Relationship Id="rId71" Type="http://schemas.openxmlformats.org/officeDocument/2006/relationships/hyperlink" Target="https://www.sec.gov/Archives/edgar/data/1776738/000119312521356939/d252333dex45.htm" TargetMode="External"/><Relationship Id="rId72" Type="http://schemas.openxmlformats.org/officeDocument/2006/relationships/hyperlink" Target="https://www.sec.gov/Archives/edgar/data/1776738/000119312521356939/d252333dex46.htm" TargetMode="External"/><Relationship Id="rId73" Type="http://schemas.openxmlformats.org/officeDocument/2006/relationships/hyperlink" Target="https://www.sec.gov/Archives/edgar/data/1776738/000119312521356939/d252333dex47.htm" TargetMode="External"/><Relationship Id="rId74" Type="http://schemas.openxmlformats.org/officeDocument/2006/relationships/hyperlink" Target="https://www.sec.gov/Archives/edgar/data/1776738/000119312521356939/d252333dex48.htm" TargetMode="External"/><Relationship Id="rId75" Type="http://schemas.openxmlformats.org/officeDocument/2006/relationships/hyperlink" Target="https://www.sec.gov/Archives/edgar/data/1776738/000119312521356939/d252333dex49.htm" TargetMode="External"/><Relationship Id="rId76" Type="http://schemas.openxmlformats.org/officeDocument/2006/relationships/hyperlink" Target="https://www.sec.gov/Archives/edgar/data/1776738/000119312522021793/d252333dex410.htm" TargetMode="External"/><Relationship Id="rId77" Type="http://schemas.openxmlformats.org/officeDocument/2006/relationships/hyperlink" Target="https://www.sec.gov/Archives/edgar/data/1776738/000119312522043452/d252333dex411.htm" TargetMode="External"/><Relationship Id="rId78" Type="http://schemas.openxmlformats.org/officeDocument/2006/relationships/hyperlink" Target="https://www.sec.gov/Archives/edgar/data/1776738/000119312522043452/d252333dex412.htm" TargetMode="External"/><Relationship Id="rId79" Type="http://schemas.openxmlformats.org/officeDocument/2006/relationships/hyperlink" Target="https://www.sec.gov/Archives/edgar/data/1776738/000119312522147204/d315456dex41.htm" TargetMode="External"/><Relationship Id="rId81" Type="http://schemas.openxmlformats.org/officeDocument/2006/relationships/hyperlink" Target="https://www.sec.gov/Archives/edgar/data/1776738/000095017023010606/cchwf-ex4_14.htm" TargetMode="External"/><Relationship Id="rId82" Type="http://schemas.openxmlformats.org/officeDocument/2006/relationships/hyperlink" Target="https://www.sec.gov/Archives/edgar/data/1776738/000095017024056768/cbstf-ex4_15.htm" TargetMode="External"/><Relationship Id="rId83" Type="http://schemas.openxmlformats.org/officeDocument/2006/relationships/hyperlink" Target="https://www.sec.gov/Archives/edgar/data/1776738/000119312524072818/d540760dex41.htm" TargetMode="External"/><Relationship Id="rId84" Type="http://schemas.openxmlformats.org/officeDocument/2006/relationships/hyperlink" Target="https://www.sec.gov/Archives/edgar/data/1776738/000177673825000003/cbstf-20241231.htm" TargetMode="External"/><Relationship Id="rId85" Type="http://schemas.openxmlformats.org/officeDocument/2006/relationships/hyperlink" Target="https://www.sec.gov/Archives/edgar/data/1776738/000119312525038557/d860118d8k.htm" TargetMode="External"/><Relationship Id="rId86" Type="http://schemas.openxmlformats.org/officeDocument/2006/relationships/hyperlink" Target="https://www.sec.gov/Archives/edgar/data/1776738/000095017024093734/cbstf-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2025-05-08T13:10:32Z</dcterms:created>
  <dcterms:modified xsi:type="dcterms:W3CDTF">2025-05-08T13:10:32Z</dcterms:modified>
</cp:coreProperties>
</file>