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7, 2026</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THE CANNABIST COMPANY HOLDINGS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tbl>
      <w:tblPr>
        <w:tblW w:w="9030" w:type="dxa"/>
        <w:jc w:val="left"/>
        <w:tblInd w:w="0" w:type="dxa"/>
        <w:tblLayout w:type="fixed"/>
        <w:tblCellMar>
          <w:top w:w="0" w:type="dxa"/>
          <w:left w:w="0" w:type="dxa"/>
          <w:bottom w:w="0" w:type="dxa"/>
          <w:right w:w="0" w:type="dxa"/>
        </w:tblCellMar>
      </w:tblPr>
      <w:tblGrid>
        <w:gridCol w:w="3860"/>
        <w:gridCol w:w="2300"/>
        <w:gridCol w:w="2870"/>
      </w:tblGrid>
      <w:tr>
        <w:trPr/>
        <w:tc>
          <w:tcPr>
            <w:tcW w:w="38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British Columbia</w:t>
            </w:r>
          </w:p>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000-56294</w:t>
            </w:r>
          </w:p>
          <w:p>
            <w:pPr>
              <w:pStyle w:val="TableContents"/>
              <w:bidi w:val="0"/>
              <w:spacing w:before="0" w:after="0"/>
              <w:jc w:val="center"/>
              <w:rPr>
                <w:rFonts w:ascii="Times New Roman" w:hAnsi="Times New Roman"/>
                <w:b/>
                <w:sz w:val="20"/>
              </w:rPr>
            </w:pPr>
            <w:r>
              <w:rPr>
                <w:rFonts w:ascii="Times New Roman" w:hAnsi="Times New Roman"/>
                <w:b/>
                <w:sz w:val="20"/>
              </w:rPr>
              <w:t>(Commission File Number)</w:t>
            </w:r>
          </w:p>
        </w:tc>
        <w:tc>
          <w:tcPr>
            <w:tcW w:w="28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98-1488978</w:t>
            </w:r>
          </w:p>
          <w:p>
            <w:pPr>
              <w:pStyle w:val="TableContents"/>
              <w:bidi w:val="0"/>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jc w:val="left"/>
        <w:rPr>
          <w:color w:val="000000"/>
          <w:shd w:fill="FFFFFF" w:val="clear"/>
        </w:rPr>
      </w:pPr>
      <w:r>
        <w:rPr>
          <w:color w:val="000000"/>
          <w:shd w:fill="FFFFFF" w:val="clear"/>
        </w:rPr>
        <w:t xml:space="preserve">       </w:t>
      </w:r>
    </w:p>
    <w:tbl>
      <w:tblPr>
        <w:tblW w:w="4765" w:type="dxa"/>
        <w:jc w:val="left"/>
        <w:tblInd w:w="0" w:type="dxa"/>
        <w:tblLayout w:type="fixed"/>
        <w:tblCellMar>
          <w:top w:w="0" w:type="dxa"/>
          <w:left w:w="0" w:type="dxa"/>
          <w:bottom w:w="0" w:type="dxa"/>
          <w:right w:w="0" w:type="dxa"/>
        </w:tblCellMar>
      </w:tblPr>
      <w:tblGrid>
        <w:gridCol w:w="3275"/>
        <w:gridCol w:w="14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321 Billerica Road</w:t>
            </w:r>
          </w:p>
          <w:p>
            <w:pPr>
              <w:pStyle w:val="TableContents"/>
              <w:bidi w:val="0"/>
              <w:spacing w:before="0" w:after="0"/>
              <w:jc w:val="center"/>
              <w:rPr>
                <w:rFonts w:ascii="Times New Roman" w:hAnsi="Times New Roman"/>
                <w:b/>
                <w:sz w:val="20"/>
              </w:rPr>
            </w:pPr>
            <w:r>
              <w:rPr>
                <w:rFonts w:ascii="Times New Roman" w:hAnsi="Times New Roman"/>
                <w:b/>
                <w:sz w:val="20"/>
              </w:rPr>
              <w:t>Chelmsford, Massachusetts</w:t>
            </w:r>
          </w:p>
          <w:p>
            <w:pPr>
              <w:pStyle w:val="TableContents"/>
              <w:bidi w:val="0"/>
              <w:spacing w:before="0" w:after="0"/>
              <w:jc w:val="center"/>
              <w:rPr>
                <w:rFonts w:ascii="Times New Roman" w:hAnsi="Times New Roman"/>
                <w:b/>
                <w:sz w:val="20"/>
              </w:rPr>
            </w:pPr>
            <w:r>
              <w:rPr>
                <w:rFonts w:ascii="Times New Roman" w:hAnsi="Times New Roman"/>
                <w:b/>
                <w:sz w:val="20"/>
              </w:rPr>
              <w:t>(Address of principal executive offices)</w:t>
            </w:r>
          </w:p>
        </w:tc>
        <w:tc>
          <w:tcPr>
            <w:tcW w:w="149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01824 (Zip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(978) 910-1486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 None.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4495" w:type="dxa"/>
        <w:jc w:val="left"/>
        <w:tblInd w:w="0" w:type="dxa"/>
        <w:tblLayout w:type="fixed"/>
        <w:tblCellMar>
          <w:top w:w="0" w:type="dxa"/>
          <w:left w:w="0" w:type="dxa"/>
          <w:bottom w:w="0" w:type="dxa"/>
          <w:right w:w="0" w:type="dxa"/>
        </w:tblCellMar>
      </w:tblPr>
      <w:tblGrid>
        <w:gridCol w:w="830"/>
        <w:gridCol w:w="366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1.01</w:t>
            </w:r>
          </w:p>
        </w:tc>
        <w:tc>
          <w:tcPr>
            <w:tcW w:w="36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Material Definitive Agreements.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7, 2026, The Cannabist Company Holdings Inc. (the “Company” or “Cannabist”) and certain of its subsidiaries entered into (a) a definitive agreement (the “Maryland Purchase Agreement”) with Free State Botanicals Holdings LLC and certain of its affiliates (collectively, “Free State”), pursuant to which Free State will acquire certain cannabis cultivation, manufacturing and retail operations from subsidiaries of the Company in Maryland (the “Maryland Purchase”) and (b) a definitive agreement (the “Maryland Real Estate Purchase Agreement”) with 6797 Bowman Frederick LLC (the “Real Estate Buyer”), pursuant to which the Real Estate Buyer will acquire certain real estate from a subsidiary of the Company in Maryland (the Real Estate Purchase, and together with the Maryland Purchase, the “Transaction”).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consideration for the Maryland Purchase, subject to certain regulatory approvals, will be up to $13.75 million in cash, with a portion paid upon the signing of the Maryland Purchase and the balance payable at closing. Total consideration payable for the Maryland Purchase will be subject to customary adjustments based on target levels of cash, indebtedness, tax liabilities, working capital adjustments, as well as certain other items. As consideration for the Real Estate Purchase, the Real Estate Buyer will assume all of the existing indebtedness related to the real estate.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Transaction was unanimously approved by a special committee of the Company's board of directors comprised of independent directors (the “Special Committee”). Completion of the Transaction is subject to, among other things, the granting of a sale approval and vesting order by the Ontario Superior Court of Justice (Commercial List) under the Companies’ Creditors Arrangement Act (the “CCAA”) and receipt of applicable cannabis regulatory approvals in each market.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Item 1.01 of this Current Report on Form 8-K contains only brief descriptions of the material terms of and does not purport to be a complete description of the rights and obligations of the parties to the Maryland Purchase Agreement or the Maryland Real Estate Purchase Agreement. Such descriptions are qualified in their entirety by reference to the full text of the Maryland Purchase Agreement, attached hereto as Exhibit 10.1 and incorporated herein by reference and the full text of the Maryland Real Estate Purchase Agreement, attached hereto as Exhibit 10.2 and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 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contains “forward-looking statements” within the meaning of the safe harbor provisions of the United States Private Securities Litigation Reform Act of 1995 and corresponding Canadian securities laws. Such forward-looking statements are not representative of historical facts or information or current condition, but instead represent only the Company’s beliefs regarding use of proceeds, future events, plans, strategies, or objectives, many of which, by their nature, are inherently uncertain and outside of the Company’s control. Generally, such forward-looking statements can be identified by the use of forward-looking terminology such as “plans”, “expects” or “does not expect”, “is expected”, “future”, “scheduled”, “estimates”, “forecasts”, “projects,” “intends”, “anticipates” or “does not anticipate”, or “believes”, or variations of such words and phrases, or may contain statements that certain actions, events or results “may”, “could”, “would”, “might” or “will be taken”, “will continue”, “will occur” or “will be achieved”. 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herein, including, without limitation, closing of the Transaction as well as the risk factors described in the Company’s annual report on Form 10-K for the year ended December 31, 2024, and its quarterly report on Form 10-Q for the quarter ended September 30, 2025,  in each case, filed with the U.S. Securities and Exchange Commission at www.sec.gov and in Canada on SEDAR+, available at www.sedarplus.ca. The forward-looking statements contained in this Current Report are made as of the date of this Current Report, and the Company does not undertake to update any forward-looking information or forward-looking statements that are contained or referenced herein, except as may be required in accordance with applicable securities laws. All subsequent written and oral forward-looking information and statements attributable to the Company or persons acting on its behalf is expressly qualified in its entirety by this notice regarding forward-looking information and statements.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w:t>
      </w:r>
      <w:r>
        <w:rPr>
          <w:rFonts w:ascii="Times New Roman" w:hAnsi="Times New Roman"/>
          <w:i/>
          <w:color w:val="000000"/>
          <w:sz w:val="20"/>
          <w:shd w:fill="FFFFFF" w:val="clear"/>
        </w:rPr>
        <w:t>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w:t>
              <w:br/>
              <w:t>No.</w:t>
            </w:r>
          </w:p>
        </w:tc>
        <w:tc>
          <w:tcPr>
            <w:tcW w:w="60" w:type="dxa"/>
            <w:tcBorders/>
            <w:tcMar>
              <w:bottom w:w="0" w:type="dxa"/>
            </w:tcMar>
            <w:vAlign w:val="center"/>
          </w:tcPr>
          <w:p>
            <w:pPr>
              <w:pStyle w:val="TableContents"/>
              <w:bidi w:val="0"/>
              <w:spacing w:before="0" w:after="0"/>
              <w:jc w:val="both"/>
              <w:rPr/>
            </w:pPr>
            <w:r>
              <w:rPr/>
              <w:t> </w:t>
            </w:r>
          </w:p>
        </w:tc>
        <w:tc>
          <w:tcPr>
            <w:tcW w:w="949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 of Exhibit</w:t>
            </w:r>
          </w:p>
        </w:tc>
      </w:tr>
      <w:tr>
        <w:trPr/>
        <w:tc>
          <w:tcPr>
            <w:tcW w:w="650" w:type="dxa"/>
            <w:tcBorders/>
            <w:tcMar>
              <w:bottom w:w="0" w:type="dxa"/>
            </w:tcMar>
            <w:vAlign w:val="center"/>
          </w:tcPr>
          <w:p>
            <w:pPr>
              <w:pStyle w:val="TableContents"/>
              <w:bidi w:val="0"/>
              <w:spacing w:before="0" w:after="0"/>
              <w:jc w:val="left"/>
              <w:rPr/>
            </w:pPr>
            <w:hyperlink w:anchor="ef20080128_ex10-1.htm">
              <w:r>
                <w:rPr>
                  <w:rStyle w:val="InternetLink"/>
                  <w:rFonts w:ascii="Times New Roman" w:hAnsi="Times New Roman"/>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Purchase Agreement, dated August 7, 2026, among The Cannabist Company Holdings Inc., Free State Botanicals Holdings LLC, and certain other parties thereto.</w:t>
            </w:r>
          </w:p>
        </w:tc>
      </w:tr>
      <w:tr>
        <w:trPr/>
        <w:tc>
          <w:tcPr>
            <w:tcW w:w="650" w:type="dxa"/>
            <w:tcBorders/>
            <w:tcMar>
              <w:bottom w:w="0" w:type="dxa"/>
            </w:tcMar>
            <w:vAlign w:val="center"/>
          </w:tcPr>
          <w:p>
            <w:pPr>
              <w:pStyle w:val="TableContents"/>
              <w:bidi w:val="0"/>
              <w:spacing w:before="0" w:after="0"/>
              <w:jc w:val="left"/>
              <w:rPr/>
            </w:pPr>
            <w:hyperlink w:anchor="ef20080128_ex10-2.htm">
              <w:r>
                <w:rPr>
                  <w:rStyle w:val="InternetLink"/>
                  <w:rFonts w:ascii="Times New Roman" w:hAnsi="Times New Roman"/>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Purchase Agreement, dated August 7, 2026, among Columbia Care MD Realty LLC and 6797 Bowman Frederick LLC.</w:t>
            </w:r>
          </w:p>
        </w:tc>
      </w:tr>
      <w:tr>
        <w:trPr/>
        <w:tc>
          <w:tcPr>
            <w:tcW w:w="65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(embedded within the Inline XBRL document).</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exhibits and schedules have been omitted pursuant to Item 601(a)(5) of Regulation S-K. The Company agrees to furnish a copy of any omitted schedule or exhibit to the SEC upon its request.</w:t>
            </w:r>
          </w:p>
        </w:tc>
      </w:tr>
    </w:tbl>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024" w:type="dxa"/>
        <w:jc w:val="left"/>
        <w:tblInd w:w="0" w:type="dxa"/>
        <w:tblLayout w:type="fixed"/>
        <w:tblCellMar>
          <w:top w:w="0" w:type="dxa"/>
          <w:left w:w="0" w:type="dxa"/>
          <w:bottom w:w="0" w:type="dxa"/>
          <w:right w:w="0" w:type="dxa"/>
        </w:tblCellMar>
      </w:tblPr>
      <w:tblGrid>
        <w:gridCol w:w="60"/>
        <w:gridCol w:w="581"/>
        <w:gridCol w:w="3383"/>
      </w:tblGrid>
      <w:tr>
        <w:trPr/>
        <w:tc>
          <w:tcPr>
            <w:tcW w:w="60"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CANNABIST COMPANY HOLDINGS INC.</w:t>
            </w:r>
          </w:p>
        </w:tc>
      </w:tr>
      <w:tr>
        <w:trPr/>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38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383"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David Sirolly</w:t>
            </w:r>
          </w:p>
        </w:tc>
      </w:tr>
      <w:tr>
        <w:trPr/>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33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Sirolly</w:t>
            </w:r>
          </w:p>
        </w:tc>
      </w:tr>
      <w:tr>
        <w:trPr/>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3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Officer &amp; General Counsel</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Date: August 13,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jc w:val="left"/>
        <w:rPr>
          <w:sz w:val="20"/>
        </w:rPr>
      </w:pPr>
      <w:r>
        <w:rPr>
          <w:sz w:val="20"/>
        </w:rPr>
      </w:r>
    </w:p>
    <w:p>
      <w:pPr>
        <w:pStyle w:val="TextBody"/>
        <w:bidi w:val="0"/>
        <w:jc w:val="left"/>
        <w:rPr>
          <w:caps w:val="false"/>
          <w:smallCaps w:val="false"/>
        </w:rPr>
      </w:pPr>
      <w:bookmarkStart w:id="0" w:name="ef20080128_ex10-1.htm"/>
      <w:bookmarkStart w:id="1" w:name="ksef20080128_ex101"/>
      <w:bookmarkEnd w:id="0"/>
      <w:bookmarkEnd w:id="1"/>
      <w:r>
        <w:rPr>
          <w:caps w:val="false"/>
          <w:smallCaps w:val="false"/>
        </w:rPr>
        <w:t> </w:t>
      </w:r>
      <w:r>
        <w:br w:type="page"/>
      </w:r>
    </w:p>
    <w:p>
      <w:pPr>
        <w:pStyle w:val="TextBody"/>
        <w:bidi w:val="0"/>
        <w:spacing w:before="60" w:after="283"/>
        <w:jc w:val="left"/>
        <w:rPr>
          <w:caps w:val="false"/>
          <w:smallCaps w:val="false"/>
          <w:bdr w:val="single" w:sz="32" w:space="1" w:color="000000"/>
        </w:rPr>
      </w:pPr>
      <w:r>
        <w:rPr>
          <w:caps w:val="false"/>
          <w:smallCaps w:val="false"/>
          <w:bdr w:val="single" w:sz="32" w:space="1" w:color="000000"/>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Confidential</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FREE STATE BOTANICALS HOLDINGS LLC,</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FREE STATE BOTANICALS CULTIVATION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STATE BOTANICALS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COLUMBIA CARE LLC,</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THE CANNABIST COMPANY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SELLER ENTITIES SET FORTH ON SCHEDULE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9900" w:type="dxa"/>
        <w:jc w:val="left"/>
        <w:tblInd w:w="0" w:type="dxa"/>
        <w:tblLayout w:type="fixed"/>
        <w:tblCellMar>
          <w:top w:w="0" w:type="dxa"/>
          <w:left w:w="0" w:type="dxa"/>
          <w:bottom w:w="0" w:type="dxa"/>
          <w:right w:w="0" w:type="dxa"/>
        </w:tblCellMar>
      </w:tblPr>
      <w:tblGrid>
        <w:gridCol w:w="1190"/>
        <w:gridCol w:w="8465"/>
        <w:gridCol w:w="245"/>
      </w:tblGrid>
      <w:tr>
        <w:trPr/>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Certain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Defined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Purchase and Sale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Signing Cash Deposit.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of the Transferred Assets; Excluded Assets and Excluded Liabilities of the Companies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Closing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Adjustment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Withholding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Concerning the Companies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Authorization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Related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Developments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 and Security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Brokerage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Permits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Affiliated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3.19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 Identification Numbers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Suppliers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Business Practices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3.23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Authorization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Sufficiency of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Brokerage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   </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1190"/>
        <w:gridCol w:w="4985"/>
        <w:gridCol w:w="245"/>
      </w:tblGrid>
      <w:tr>
        <w:trPr/>
        <w:tc>
          <w:tcPr>
            <w:tcW w:w="61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Pre-Closing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Prior to the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Information; Confidentiality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Canadian Court Approval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Cash</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Guarantees; Other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Amendments; Lease Assignments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Committee; Company Arrangements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61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Additional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of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 and Post-Closing 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 Transfers; Third-Party Consents; Reasonable Efforts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61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Conditions to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All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the Companies and the Member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61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61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and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Electronic Delivery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Waiver of Jury Trial; Arbitration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Third-Party Beneficiaries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   </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Schedules and Exhibits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1190"/>
        <w:gridCol w:w="3545"/>
        <w:gridCol w:w="245"/>
      </w:tblGrid>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   </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Excluded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   </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   </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   </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Respecting Legal Representation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9.16   </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Privilege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9.17   </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Representative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August 7,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among (i) Free State Botanicals Holdings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(ii) Free State Botanicals Cultivation LLC, a Delaware limited liability company (the “</w:t>
      </w:r>
      <w:r>
        <w:rPr>
          <w:rFonts w:ascii="Times New Roman;Times;Serif" w:hAnsi="Times New Roman;Times;Serif"/>
          <w:b w:val="false"/>
          <w:i w:val="false"/>
          <w:caps w:val="false"/>
          <w:smallCaps w:val="false"/>
          <w:sz w:val="20"/>
          <w:u w:val="single"/>
        </w:rPr>
        <w:t>Cultivation Buyer</w:t>
      </w:r>
      <w:r>
        <w:rPr>
          <w:rFonts w:ascii="Times New Roman;Times;Serif" w:hAnsi="Times New Roman;Times;Serif"/>
          <w:b w:val="false"/>
          <w:i w:val="false"/>
          <w:caps w:val="false"/>
          <w:smallCaps w:val="false"/>
          <w:sz w:val="20"/>
        </w:rPr>
        <w:t>”), (iii) Free State Botanicals LLC, a Delaware limited liability company (the “</w:t>
      </w:r>
      <w:r>
        <w:rPr>
          <w:rFonts w:ascii="Times New Roman;Times;Serif" w:hAnsi="Times New Roman;Times;Serif"/>
          <w:b w:val="false"/>
          <w:i w:val="false"/>
          <w:caps w:val="false"/>
          <w:smallCaps w:val="false"/>
          <w:sz w:val="20"/>
          <w:u w:val="single"/>
        </w:rPr>
        <w:t>Dispensary Buyer</w:t>
      </w:r>
      <w:r>
        <w:rPr>
          <w:rFonts w:ascii="Times New Roman;Times;Serif" w:hAnsi="Times New Roman;Times;Serif"/>
          <w:b w:val="false"/>
          <w:i w:val="false"/>
          <w:caps w:val="false"/>
          <w:smallCaps w:val="false"/>
          <w:sz w:val="20"/>
        </w:rPr>
        <w:t>” and, together with Buyer, and the Cultivation Buyer, the “</w:t>
      </w:r>
      <w:r>
        <w:rPr>
          <w:rFonts w:ascii="Times New Roman;Times;Serif" w:hAnsi="Times New Roman;Times;Serif"/>
          <w:b w:val="false"/>
          <w:i w:val="false"/>
          <w:caps w:val="false"/>
          <w:smallCaps w:val="false"/>
          <w:sz w:val="20"/>
          <w:u w:val="single"/>
        </w:rPr>
        <w:t>Buyers</w:t>
      </w:r>
      <w:r>
        <w:rPr>
          <w:rFonts w:ascii="Times New Roman;Times;Serif" w:hAnsi="Times New Roman;Times;Serif"/>
          <w:b w:val="false"/>
          <w:i w:val="false"/>
          <w:caps w:val="false"/>
          <w:smallCaps w:val="false"/>
          <w:sz w:val="20"/>
        </w:rPr>
        <w:t>”), (iv) Columbia Care LLC, a Delaware limited liability company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(v) The Cannabist Company Holdings Inc., a corporation incorporated under the laws of the Province of British Columbia (“</w:t>
      </w:r>
      <w:r>
        <w:rPr>
          <w:rFonts w:ascii="Times New Roman;Times;Serif" w:hAnsi="Times New Roman;Times;Serif"/>
          <w:b w:val="false"/>
          <w:i w:val="false"/>
          <w:caps w:val="false"/>
          <w:smallCaps w:val="false"/>
          <w:sz w:val="20"/>
          <w:u w:val="single"/>
        </w:rPr>
        <w:t>Cannabist</w:t>
      </w:r>
      <w:r>
        <w:rPr>
          <w:rFonts w:ascii="Times New Roman;Times;Serif" w:hAnsi="Times New Roman;Times;Serif"/>
          <w:b w:val="false"/>
          <w:i w:val="false"/>
          <w:caps w:val="false"/>
          <w:smallCaps w:val="false"/>
          <w:sz w:val="20"/>
        </w:rPr>
        <w:t xml:space="preserve">”), and (vi) the entities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Seller Entities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Buyer, Member, Cannabist, and the Companies are collectively referred to herein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individually as a “Party”. Member, Cannabist, and the Seller Entities are collectively referred to herein as the “</w:t>
      </w:r>
      <w:r>
        <w:rPr>
          <w:rFonts w:ascii="Times New Roman;Times;Serif" w:hAnsi="Times New Roman;Times;Serif"/>
          <w:b w:val="false"/>
          <w:i w:val="false"/>
          <w:caps w:val="false"/>
          <w:smallCaps w:val="false"/>
          <w:sz w:val="20"/>
          <w:u w:val="single"/>
        </w:rPr>
        <w:t>Seller 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val="false"/>
          <w:i w:val="false"/>
          <w:caps w:val="false"/>
          <w:smallCaps w:val="false"/>
          <w:sz w:val="20"/>
          <w:u w:val="single"/>
        </w:rPr>
        <w:t>Seller 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Companies are engaged in the business of cultivating, producing, manufacturing, distributing and selling cannabis (the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in the State of Maryland (the “</w:t>
      </w:r>
      <w:r>
        <w:rPr>
          <w:rFonts w:ascii="Times New Roman;Times;Serif" w:hAnsi="Times New Roman;Times;Serif"/>
          <w:b w:val="false"/>
          <w:i w:val="false"/>
          <w:caps w:val="false"/>
          <w:smallCaps w:val="false"/>
          <w:sz w:val="20"/>
          <w:u w:val="single"/>
        </w:rPr>
        <w:t>Market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Cannabist owns 100% of the interests in the Member and, as such, will benefit substantially from the consummation of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each of the Seller Entities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 the Member hold certain assets that are required to operate such Seller Entity’s respective business and are subject to certain liabilities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Buyer desires to purchase from the Seller Entities and the Member, and the Seller Entities and the Member desire to sell to Buyer, the Transferred Assets, and Buyer desires to assume the Assumed Liabilities, in each case on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Buyer has formed (a) the Cultivation Buyer to acquire the Transferred Assets and assume the Assumed Liabilities associated with the cannabis cultivation operations of Green Leaf Medical, LLC (“</w:t>
      </w:r>
      <w:r>
        <w:rPr>
          <w:rFonts w:ascii="Times New Roman;Times;Serif" w:hAnsi="Times New Roman;Times;Serif"/>
          <w:b w:val="false"/>
          <w:i w:val="false"/>
          <w:caps w:val="false"/>
          <w:smallCaps w:val="false"/>
          <w:sz w:val="20"/>
          <w:u w:val="single"/>
        </w:rPr>
        <w:t>Green Leaf Medical</w:t>
      </w:r>
      <w:r>
        <w:rPr>
          <w:rFonts w:ascii="Times New Roman;Times;Serif" w:hAnsi="Times New Roman;Times;Serif"/>
          <w:b w:val="false"/>
          <w:i w:val="false"/>
          <w:caps w:val="false"/>
          <w:smallCaps w:val="false"/>
          <w:sz w:val="20"/>
        </w:rPr>
        <w:t>”), a Delaware limited liability company and (b) the Dispensary Buyer to acquire all remaining Transferred Assets and to assume all remaining Assumed Liabilities (the Transferred Assets to be acquired by each such subsidiary of Buyer and the Assumed Liabilities to be assumed by each such subsidiary of Buyer shall be referred to as such subsidiary’s “</w:t>
      </w:r>
      <w:r>
        <w:rPr>
          <w:rFonts w:ascii="Times New Roman;Times;Serif" w:hAnsi="Times New Roman;Times;Serif"/>
          <w:b w:val="false"/>
          <w:i w:val="false"/>
          <w:caps w:val="false"/>
          <w:smallCaps w:val="false"/>
          <w:sz w:val="20"/>
          <w:u w:val="single"/>
        </w:rPr>
        <w:t>Relevant Transferred Assets</w:t>
      </w:r>
      <w:r>
        <w:rPr>
          <w:rFonts w:ascii="Times New Roman;Times;Serif" w:hAnsi="Times New Roman;Times;Serif"/>
          <w:b w:val="false"/>
          <w:i w:val="false"/>
          <w:caps w:val="false"/>
          <w:smallCaps w:val="false"/>
          <w:sz w:val="20"/>
        </w:rPr>
        <w:t>” and its “</w:t>
      </w:r>
      <w:r>
        <w:rPr>
          <w:rFonts w:ascii="Times New Roman;Times;Serif" w:hAnsi="Times New Roman;Times;Serif"/>
          <w:b w:val="false"/>
          <w:i w:val="false"/>
          <w:caps w:val="false"/>
          <w:smallCaps w:val="false"/>
          <w:sz w:val="20"/>
          <w:u w:val="single"/>
        </w:rPr>
        <w:t>Relevant Assumed Liabilities</w:t>
      </w:r>
      <w:r>
        <w:rPr>
          <w:rFonts w:ascii="Times New Roman;Times;Serif" w:hAnsi="Times New Roman;Times;Serif"/>
          <w:b w:val="false"/>
          <w:i w:val="false"/>
          <w:caps w:val="false"/>
          <w:smallCaps w:val="false"/>
          <w:sz w:val="20"/>
        </w:rPr>
        <w: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Cannabist and The Cannabist Company Holdings (Canada) Inc. have commenced a proceeding (the “</w:t>
      </w:r>
      <w:r>
        <w:rPr>
          <w:rFonts w:ascii="Times New Roman;Times;Serif" w:hAnsi="Times New Roman;Times;Serif"/>
          <w:b w:val="false"/>
          <w:i w:val="false"/>
          <w:caps w:val="false"/>
          <w:smallCaps w:val="false"/>
          <w:sz w:val="20"/>
          <w:u w:val="single"/>
        </w:rPr>
        <w:t>Canadian Proceeding</w:t>
      </w:r>
      <w:r>
        <w:rPr>
          <w:rFonts w:ascii="Times New Roman;Times;Serif" w:hAnsi="Times New Roman;Times;Serif"/>
          <w:b w:val="false"/>
          <w:i w:val="false"/>
          <w:caps w:val="false"/>
          <w:smallCaps w:val="false"/>
          <w:sz w:val="20"/>
        </w:rPr>
        <w:t>”) under the Companies’ Creditors Arrangement Act (Canada) (the “</w:t>
      </w:r>
      <w:r>
        <w:rPr>
          <w:rFonts w:ascii="Times New Roman;Times;Serif" w:hAnsi="Times New Roman;Times;Serif"/>
          <w:b w:val="false"/>
          <w:i w:val="false"/>
          <w:caps w:val="false"/>
          <w:smallCaps w:val="false"/>
          <w:sz w:val="20"/>
          <w:u w:val="single"/>
        </w:rPr>
        <w:t>CCAA</w:t>
      </w:r>
      <w:r>
        <w:rPr>
          <w:rFonts w:ascii="Times New Roman;Times;Serif" w:hAnsi="Times New Roman;Times;Serif"/>
          <w:b w:val="false"/>
          <w:i w:val="false"/>
          <w:caps w:val="false"/>
          <w:smallCaps w:val="false"/>
          <w:sz w:val="20"/>
        </w:rPr>
        <w:t>”) with the Ontario Superior Court of Justice (Commercial List) (the “</w:t>
      </w:r>
      <w:r>
        <w:rPr>
          <w:rFonts w:ascii="Times New Roman;Times;Serif" w:hAnsi="Times New Roman;Times;Serif"/>
          <w:b w:val="false"/>
          <w:i w:val="false"/>
          <w:caps w:val="false"/>
          <w:smallCaps w:val="false"/>
          <w:sz w:val="20"/>
          <w:u w:val="single"/>
        </w:rPr>
        <w:t>Canadian Court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intending to be legally bound,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r>
      <w:r>
        <w:rPr>
          <w:rFonts w:ascii="Times New Roman;Times;Serif" w:hAnsi="Times New Roman;Times;Serif"/>
          <w:b w:val="false"/>
          <w:i w:val="false"/>
          <w:caps/>
          <w:sz w:val="20"/>
          <w:u w:val="single"/>
        </w:rPr>
        <w:t>Certain 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Capitalized terms used but not otherwise defined herein have the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a single monitor, trustee-in-bankruptcy or receiver of the Member in connection with the Canadian Proceeding or any subsequent proceeding in respect of the Noteholders under the CCAA.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Person, where “control”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 the U.S. Foreign Corrupt Practices Act of 1977, as amended, (b) the Corruption of Foreign Public Officials Act of 1998 (CFPOA), as amended, (c) applicable Laws adopted in furtherance of the OECD Convention on Combating Bribery of Foreign Public Officials in International Business Transactions, and (d) similar anti-bribery and anti-corruption Laws applicable to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Accounting Guidelines</w:t>
      </w:r>
      <w:r>
        <w:rPr>
          <w:rFonts w:ascii="Times New Roman;Times;Serif" w:hAnsi="Times New Roman;Times;Serif"/>
          <w:b w:val="false"/>
          <w:i w:val="false"/>
          <w:caps w:val="false"/>
          <w:smallCaps w:val="false"/>
          <w:sz w:val="20"/>
        </w:rPr>
        <w:t xml:space="preserve">” means the methodologies and guidelines set forth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Working Capital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Prepetition Payables</w:t>
      </w:r>
      <w:r>
        <w:rPr>
          <w:rFonts w:ascii="Times New Roman;Times;Serif" w:hAnsi="Times New Roman;Times;Serif"/>
          <w:b w:val="false"/>
          <w:i w:val="false"/>
          <w:caps w:val="false"/>
          <w:smallCaps w:val="false"/>
          <w:sz w:val="20"/>
        </w:rPr>
        <w:t>” means all Prepetition Payables of a Seller Entity arising under any Transferred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Contract</w:t>
      </w:r>
      <w:r>
        <w:rPr>
          <w:rFonts w:ascii="Times New Roman;Times;Serif" w:hAnsi="Times New Roman;Times;Serif"/>
          <w:b w:val="false"/>
          <w:i w:val="false"/>
          <w:caps w:val="false"/>
          <w:smallCaps w:val="false"/>
          <w:sz w:val="20"/>
        </w:rPr>
        <w:t>” means any Contract (other than purchase orders) to which a Seller Entity is a party and under which there remains Prepetition Payables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Payment</w:t>
      </w:r>
      <w:r>
        <w:rPr>
          <w:rFonts w:ascii="Times New Roman;Times;Serif" w:hAnsi="Times New Roman;Times;Serif"/>
          <w:b w:val="false"/>
          <w:i w:val="false"/>
          <w:caps w:val="false"/>
          <w:smallCaps w:val="false"/>
          <w:sz w:val="20"/>
        </w:rPr>
        <w:t xml:space="preserve">” means the base payment cash amount set forth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less the Signing Cash Deposit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Sunday or a day on which banks in New York, New York are required or authorized by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Group</w:t>
      </w:r>
      <w:r>
        <w:rPr>
          <w:rFonts w:ascii="Times New Roman;Times;Serif" w:hAnsi="Times New Roman;Times;Serif"/>
          <w:b w:val="false"/>
          <w:i w:val="false"/>
          <w:caps w:val="false"/>
          <w:smallCaps w:val="false"/>
          <w:sz w:val="20"/>
        </w:rPr>
        <w:t>” means Buyer and its subsidiaries and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Date</w:t>
      </w:r>
      <w:r>
        <w:rPr>
          <w:rFonts w:ascii="Times New Roman;Times;Serif" w:hAnsi="Times New Roman;Times;Serif"/>
          <w:b w:val="false"/>
          <w:i w:val="false"/>
          <w:caps w:val="false"/>
          <w:smallCaps w:val="false"/>
          <w:sz w:val="20"/>
        </w:rPr>
        <w:t>” means the date a Service Agreement becomes effective and binding on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Cannabis Control</w:t>
      </w:r>
      <w:r>
        <w:rPr>
          <w:rFonts w:ascii="Times New Roman;Times;Serif" w:hAnsi="Times New Roman;Times;Serif"/>
          <w:b w:val="false"/>
          <w:i w:val="false"/>
          <w:caps w:val="false"/>
          <w:smallCaps w:val="false"/>
          <w:sz w:val="20"/>
        </w:rPr>
        <w:t>” means the transfer of ownership or control of the Transferred Assets to Buyer as contemplated hereunder and in accordance with applicable State Cannabis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xml:space="preserve">” means all cash of the Companies as of the Measurement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“Cash” shall be net of any outstanding checks, drafts, transfers and wires that have not yet cleared and shall include deposits in transit to the applicable Companies and not yet credited in the bank account of the applicable Company;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“Cash” shall not include “Restricted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Chicago Atlantic</w:t>
      </w:r>
      <w:r>
        <w:rPr>
          <w:rFonts w:ascii="Times New Roman;Times;Serif" w:hAnsi="Times New Roman;Times;Serif"/>
          <w:b w:val="false"/>
          <w:i w:val="false"/>
          <w:caps w:val="false"/>
          <w:smallCaps w:val="false"/>
          <w:sz w:val="20"/>
        </w:rPr>
        <w:t>” means Chicago Atlantic Financial Services,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 Payment</w:t>
      </w:r>
      <w:r>
        <w:rPr>
          <w:rFonts w:ascii="Times New Roman;Times;Serif" w:hAnsi="Times New Roman;Times;Serif"/>
          <w:b w:val="false"/>
          <w:i w:val="false"/>
          <w:caps w:val="false"/>
          <w:smallCaps w:val="false"/>
          <w:sz w:val="20"/>
        </w:rPr>
        <w:t xml:space="preserve">” means an amount of cash equal to (a) Base Payment, (b)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Estimated Cash (excluding Buyer Cash Amount), (c)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Estimated Indebtedness, (d)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Estimated Working Capital Deduction Amount, and (e) </w:t>
      </w:r>
      <w:r>
        <w:rPr>
          <w:rFonts w:ascii="Times New Roman;Times;Serif" w:hAnsi="Times New Roman;Times;Serif"/>
          <w:b w:val="false"/>
          <w:i w:val="false"/>
          <w:caps w:val="false"/>
          <w:smallCaps w:val="false"/>
          <w:sz w:val="20"/>
          <w:u w:val="single"/>
        </w:rPr>
        <w:t xml:space="preserve">minus </w:t>
      </w:r>
      <w:r>
        <w:rPr>
          <w:rFonts w:ascii="Times New Roman;Times;Serif" w:hAnsi="Times New Roman;Times;Serif"/>
          <w:b w:val="false"/>
          <w:i w:val="false"/>
          <w:caps w:val="false"/>
          <w:smallCaps w:val="false"/>
          <w:sz w:val="20"/>
        </w:rPr>
        <w:t>Estimated Transaction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Information</w:t>
      </w:r>
      <w:r>
        <w:rPr>
          <w:rFonts w:ascii="Times New Roman;Times;Serif" w:hAnsi="Times New Roman;Times;Serif"/>
          <w:b w:val="false"/>
          <w:i w:val="false"/>
          <w:caps w:val="false"/>
          <w:smallCaps w:val="false"/>
          <w:sz w:val="20"/>
        </w:rPr>
        <w:t>” means, all information of a nonpublic, confidential, proprietary or competitively sensitive nature (whether or not specifically labeled or identified as “confidential”), in any form or medium, that specifically relates to the Companies, including: (a) internal business information (including historical and projected financial information and budgets and information relating to strategic and staffing plans and practices, business, training, marketing, promotional and sales plans and practices, cost, rate and pricing structures and accounting and business methods); (b) requirements of and specific contractual arrangements with customers, suppliers, contractors, vendors, employees or other material business relations and their confidential information; (c) trade secrets, know-how, source code and methods of operation, techniques, formulae and systems relating to the products or services of the Companies and data, data bases, analyses, records, reports, manuals, documentation and models and relating thereto; (d) inventions, innovations, improvements, developments and all similar or related information (whether or not patentable); (e) corporate business structure and business units of the Companies; (f) acquisition plans, targets and strategies of the Companies; and (g) financial and other business or strategic information of the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Companies’ Knowledge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knowledge of the Companies</w:t>
      </w:r>
      <w:r>
        <w:rPr>
          <w:rFonts w:ascii="Times New Roman;Times;Serif" w:hAnsi="Times New Roman;Times;Serif"/>
          <w:b w:val="false"/>
          <w:i w:val="false"/>
          <w:caps w:val="false"/>
          <w:smallCaps w:val="false"/>
          <w:sz w:val="20"/>
        </w:rPr>
        <w:t>” means the knowledge, after reasonable investigation, of David Hart, Jesse Channon and Bryan Olson.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xml:space="preserve">” means the Companies, the Member, Cannabist, and each of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any public stockholders or noteholders of Cannabist be considered members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the Confidentiality and Non-Disclosure Agreement, dated as of August 7, 2026, by and between the Buyer and Cannabist.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lease, license, commitment, sales order, purchase order, agreement, indenture, mortgage, note, bond, instrument, plan or other comparable document, whether written or oral.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CSE</w:t>
      </w:r>
      <w:r>
        <w:rPr>
          <w:rFonts w:ascii="Times New Roman;Times;Serif" w:hAnsi="Times New Roman;Times;Serif"/>
          <w:b w:val="false"/>
          <w:i w:val="false"/>
          <w:caps w:val="false"/>
          <w:smallCaps w:val="false"/>
          <w:sz w:val="20"/>
        </w:rPr>
        <w:t>” means the Canadian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Cultivation Property</w:t>
      </w:r>
      <w:r>
        <w:rPr>
          <w:rFonts w:ascii="Times New Roman;Times;Serif" w:hAnsi="Times New Roman;Times;Serif"/>
          <w:b w:val="false"/>
          <w:i w:val="false"/>
          <w:caps w:val="false"/>
          <w:smallCaps w:val="false"/>
          <w:sz w:val="20"/>
        </w:rPr>
        <w:t>” means 6797 Bowman Crossing, Frederick, MD 21703.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Assets</w:t>
      </w:r>
      <w:r>
        <w:rPr>
          <w:rFonts w:ascii="Times New Roman;Times;Serif" w:hAnsi="Times New Roman;Times;Serif"/>
          <w:b w:val="false"/>
          <w:i w:val="false"/>
          <w:caps w:val="false"/>
          <w:smallCaps w:val="false"/>
          <w:sz w:val="20"/>
        </w:rPr>
        <w:t xml:space="preserve">” means the current assets of the Seller Entities for the line items set forth in the </w:t>
      </w:r>
      <w:r>
        <w:rPr>
          <w:rFonts w:ascii="Times New Roman;Times;Serif" w:hAnsi="Times New Roman;Times;Serif"/>
          <w:b w:val="false"/>
          <w:i w:val="false"/>
          <w:caps w:val="false"/>
          <w:smallCaps w:val="false"/>
          <w:sz w:val="20"/>
          <w:u w:val="single"/>
        </w:rPr>
        <w:t>Working Capital Schedule</w:t>
      </w:r>
      <w:r>
        <w:rPr>
          <w:rFonts w:ascii="Times New Roman;Times;Serif" w:hAnsi="Times New Roman;Times;Serif"/>
          <w:b w:val="false"/>
          <w:i w:val="false"/>
          <w:caps w:val="false"/>
          <w:smallCaps w:val="false"/>
          <w:sz w:val="20"/>
        </w:rPr>
        <w:t>, each determined in accordance with the Applicable Accounting Guidelines, but excluding any current Tax assets, deferred Tax assets or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Liabilities</w:t>
      </w:r>
      <w:r>
        <w:rPr>
          <w:rFonts w:ascii="Times New Roman;Times;Serif" w:hAnsi="Times New Roman;Times;Serif"/>
          <w:b w:val="false"/>
          <w:i w:val="false"/>
          <w:caps w:val="false"/>
          <w:smallCaps w:val="false"/>
          <w:sz w:val="20"/>
        </w:rPr>
        <w:t xml:space="preserve">” means the current Liabilities of the Seller Entities for the line items set forth in the </w:t>
      </w:r>
      <w:r>
        <w:rPr>
          <w:rFonts w:ascii="Times New Roman;Times;Serif" w:hAnsi="Times New Roman;Times;Serif"/>
          <w:b w:val="false"/>
          <w:i w:val="false"/>
          <w:caps w:val="false"/>
          <w:smallCaps w:val="false"/>
          <w:sz w:val="20"/>
          <w:u w:val="single"/>
        </w:rPr>
        <w:t>Working Capital Schedule</w:t>
      </w:r>
      <w:r>
        <w:rPr>
          <w:rFonts w:ascii="Times New Roman;Times;Serif" w:hAnsi="Times New Roman;Times;Serif"/>
          <w:b w:val="false"/>
          <w:i w:val="false"/>
          <w:caps w:val="false"/>
          <w:smallCaps w:val="false"/>
          <w:sz w:val="20"/>
        </w:rPr>
        <w:t>, each determined in accordance with the Applicable Accounting Guidelines, but excluding any current Tax Liabilities, deferred Tax Liabilities, Excluded Liabilities, or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Representative Body</w:t>
      </w:r>
      <w:r>
        <w:rPr>
          <w:rFonts w:ascii="Times New Roman;Times;Serif" w:hAnsi="Times New Roman;Times;Serif"/>
          <w:b w:val="false"/>
          <w:i w:val="false"/>
          <w:caps w:val="false"/>
          <w:smallCaps w:val="false"/>
          <w:sz w:val="20"/>
        </w:rPr>
        <w:t>” means a labor or trade union, works council, employee association, or similar employee representative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Laws concerning public health and safety, worker health and safety, or pollution or protection of the environment or natural resources, including with respect to emissions, discharges, releases or threatened releases of Hazardous Materials or otherwise relating to the manufacture, processing, marketing, labeling, registration, notification, packaging, import, distribution, use, treatment, storage, disposal, transport or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that, together with the Companies, is or was (at any relevant time) treated as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Working Capital Deduction Amount</w:t>
      </w:r>
      <w:r>
        <w:rPr>
          <w:rFonts w:ascii="Times New Roman;Times;Serif" w:hAnsi="Times New Roman;Times;Serif"/>
          <w:b w:val="false"/>
          <w:i w:val="false"/>
          <w:caps w:val="false"/>
          <w:smallCaps w:val="false"/>
          <w:sz w:val="20"/>
        </w:rPr>
        <w:t xml:space="preserve">” means the greater of (x) the Minimum Working Capital Shortfall for the Market and (y) the amount by which Target Working Capital exceeds Estimated Working Capital;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 Estimated Working Capital exceeds Target Working Capital, the Estimated Working Capital Deduction Amount shall be deemed to equal the Minimum Working Capital Deduction Floor.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Contract</w:t>
      </w:r>
      <w:r>
        <w:rPr>
          <w:rFonts w:ascii="Times New Roman;Times;Serif" w:hAnsi="Times New Roman;Times;Serif"/>
          <w:b w:val="false"/>
          <w:i w:val="false"/>
          <w:caps w:val="false"/>
          <w:smallCaps w:val="false"/>
          <w:sz w:val="20"/>
        </w:rPr>
        <w:t>” means, other than Transferred Contracts (which, for the avoidance of doubt, excludes all purchase orders pursuant to which any Prepetition Payables remain outstanding), any Contract to which any Seller Party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Prepetition Payables</w:t>
      </w:r>
      <w:r>
        <w:rPr>
          <w:rFonts w:ascii="Times New Roman;Times;Serif" w:hAnsi="Times New Roman;Times;Serif"/>
          <w:b w:val="false"/>
          <w:i w:val="false"/>
          <w:caps w:val="false"/>
          <w:smallCaps w:val="false"/>
          <w:sz w:val="20"/>
        </w:rPr>
        <w:t>” means all Prepetition Payables of a Seller Party other than an Assumed Prepetition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Locations</w:t>
      </w:r>
      <w:r>
        <w:rPr>
          <w:rFonts w:ascii="Times New Roman;Times;Serif" w:hAnsi="Times New Roman;Times;Serif"/>
          <w:b w:val="false"/>
          <w:i w:val="false"/>
          <w:caps w:val="false"/>
          <w:smallCaps w:val="false"/>
          <w:sz w:val="20"/>
        </w:rPr>
        <w:t xml:space="preserve">” means the locations of the Companies set forth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Ex-Im Laws”</w:t>
      </w:r>
      <w:r>
        <w:rPr>
          <w:rFonts w:ascii="Times New Roman;Times;Serif" w:hAnsi="Times New Roman;Times;Serif"/>
          <w:b w:val="false"/>
          <w:i w:val="false"/>
          <w:caps w:val="false"/>
          <w:smallCaps w:val="false"/>
          <w:sz w:val="20"/>
        </w:rPr>
        <w:t xml:space="preserve"> means all applicable Laws relating to export, re-export, transfer or import controls (including the U.S. Export Administration Regulations administered by the U.S. Department of Commerce, and customs and import Laws administered by U.S. Customs and Border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Cannabis Laws</w:t>
      </w:r>
      <w:r>
        <w:rPr>
          <w:rFonts w:ascii="Times New Roman;Times;Serif" w:hAnsi="Times New Roman;Times;Serif"/>
          <w:b w:val="false"/>
          <w:i w:val="false"/>
          <w:caps w:val="false"/>
          <w:smallCaps w:val="false"/>
          <w:sz w:val="20"/>
        </w:rPr>
        <w:t>” means any U.S. federal Laws, civil, criminal or otherwise, as such relate, either directly or indirectly, to the cultivation, harvesting, production, distribution, sale and possession of cannabis, marijuana or related substances or products containing or relating to the same, including, without limitation, the prohibition on drug trafficking under 21 U.S.C. § 841(a), et seq., the conspiracy statute under 18 U.S.C. § 846, the bar against aiding and abetting the conduct of an offense under 18 U.S.C. § 2, the bar against misprision of a felony (concealing another’s felonious conduct) under 18 U.S.C. § 4, the bar against being an accessory after the fact to criminal conduct under 18 U.S.C. § 3, and federal money laundering statutes under 18 U.S.C. §§ 1956, 1957, and 1960 and the regulations and rules promulgated under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Closing Cash Payment</w:t>
      </w:r>
      <w:r>
        <w:rPr>
          <w:rFonts w:ascii="Times New Roman;Times;Serif" w:hAnsi="Times New Roman;Times;Serif"/>
          <w:b w:val="false"/>
          <w:i w:val="false"/>
          <w:caps w:val="false"/>
          <w:smallCaps w:val="false"/>
          <w:sz w:val="20"/>
        </w:rPr>
        <w:t xml:space="preserve">” means an amount of cash equal to (a) the Base Payment, (b)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Final Cash (excluding Buyer Cash Amount), (c)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Final Indebtedness, (d)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Final Working Capital Deduction Amount, and (e) </w:t>
      </w:r>
      <w:r>
        <w:rPr>
          <w:rFonts w:ascii="Times New Roman;Times;Serif" w:hAnsi="Times New Roman;Times;Serif"/>
          <w:b w:val="false"/>
          <w:i w:val="false"/>
          <w:caps w:val="false"/>
          <w:smallCaps w:val="false"/>
          <w:sz w:val="20"/>
          <w:u w:val="single"/>
        </w:rPr>
        <w:t xml:space="preserve">minus </w:t>
      </w:r>
      <w:r>
        <w:rPr>
          <w:rFonts w:ascii="Times New Roman;Times;Serif" w:hAnsi="Times New Roman;Times;Serif"/>
          <w:b w:val="false"/>
          <w:i w:val="false"/>
          <w:caps w:val="false"/>
          <w:smallCaps w:val="false"/>
          <w:sz w:val="20"/>
        </w:rPr>
        <w:t>Final Transaction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Working Capital Deduction Amount</w:t>
      </w:r>
      <w:r>
        <w:rPr>
          <w:rFonts w:ascii="Times New Roman;Times;Serif" w:hAnsi="Times New Roman;Times;Serif"/>
          <w:b w:val="false"/>
          <w:i w:val="false"/>
          <w:caps w:val="false"/>
          <w:smallCaps w:val="false"/>
          <w:sz w:val="20"/>
        </w:rPr>
        <w:t xml:space="preserve">” means the greater of (x) the Minimum Working Capital Shortfall for the Market and (y) the amount by which Target Working Capital exceeds Final Working Capital;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 Final Working Capital exceeds Target Working Capital, the Final Working Capital Deduction Amount shall be deemed to equal the Minimum Working Capital Shortfall.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 Party, an actual and intentional misrepresentation of a material existing fact with respect to any representation or warranty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Transaction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at the time such misrepresentation was made, such Party had actual knowledge or belief of its falsity, had a specific intention to deceive another Party and made such misrepresentation for the purpose of inducing the other Party to act or refrain from acting, and the other Party relied on such misrepresentations and suffered resulting Losses. For the avoidance of doubt, “Fraud” shall not include any claim for equitable fraud, constructive fraud, promissory fraud, unfair dealings fraud, fraud by reckless or negligent misrepresentation or any tort based on negligence or recklessness.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(Organization; Authorization), </w:t>
      </w:r>
      <w:r>
        <w:rPr>
          <w:rFonts w:ascii="Times New Roman;Times;Serif" w:hAnsi="Times New Roman;Times;Serif"/>
          <w:b w:val="false"/>
          <w:i w:val="false"/>
          <w:caps w:val="false"/>
          <w:smallCaps w:val="false"/>
          <w:sz w:val="20"/>
          <w:u w:val="single"/>
        </w:rPr>
        <w:t>Section 3.2(iv)</w:t>
      </w:r>
      <w:r>
        <w:rPr>
          <w:rFonts w:ascii="Times New Roman;Times;Serif" w:hAnsi="Times New Roman;Times;Serif"/>
          <w:b w:val="false"/>
          <w:i w:val="false"/>
          <w:caps w:val="false"/>
          <w:smallCaps w:val="false"/>
          <w:sz w:val="20"/>
        </w:rPr>
        <w:t xml:space="preserve"> (Noncontravention), the first two sentences of </w:t>
      </w:r>
      <w:r>
        <w:rPr>
          <w:rFonts w:ascii="Times New Roman;Times;Serif" w:hAnsi="Times New Roman;Times;Serif"/>
          <w:b w:val="false"/>
          <w:i w:val="false"/>
          <w:caps w:val="false"/>
          <w:smallCaps w:val="false"/>
          <w:sz w:val="20"/>
          <w:u w:val="single"/>
        </w:rPr>
        <w:t>Section 3.7(a)</w:t>
      </w:r>
      <w:r>
        <w:rPr>
          <w:rFonts w:ascii="Times New Roman;Times;Serif" w:hAnsi="Times New Roman;Times;Serif"/>
          <w:b w:val="false"/>
          <w:i w:val="false"/>
          <w:caps w:val="false"/>
          <w:smallCaps w:val="false"/>
          <w:sz w:val="20"/>
        </w:rPr>
        <w:t xml:space="preserve"> (Assets), and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(Brokerage).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federal, state, county, municipal, local or foreign government authority, or any entity exercising executive, legislative, judicial, regulatory, Tax or administrative functions of or pertaining to government of the United States, or any other country, including any political subdivision or regulatory authority thereof, and any department, court arbitrator, agency or official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any substance, waste, or material which is regulated by or may give rise to liability pursuant to Environmental Laws, including petroleum and any byproduct or derivative thereof, asbestos, polychlorinated biphenyls, urea formaldehyde, and per- and polyfluoroalkyl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Incidental Licenses</w:t>
      </w:r>
      <w:r>
        <w:rPr>
          <w:rFonts w:ascii="Times New Roman;Times;Serif" w:hAnsi="Times New Roman;Times;Serif"/>
          <w:b w:val="false"/>
          <w:i w:val="false"/>
          <w:caps w:val="false"/>
          <w:smallCaps w:val="false"/>
          <w:sz w:val="20"/>
        </w:rPr>
        <w:t>” means any (a) permitted use of confidential information in a written non-disclosure agreement entered into by a Company in the Ordinary Course of Business; (b) non-exclusive license, assignment, covenant not to sue, or waiver of rights granted by any current or former employees of any Company to such Company; (c) non-exclusive click-wrap, shrink-wrap or off-the-shelf software license, or any other non-exclusive software license, in each case, that is generally commercially available on standard terms; (d) open source licenses; (e) non-exclusive licenses contained in contracts with customers of the Companies that were entered into in the Ordinary Course of Business; and (f) non-exclusive licenses that are not material to the applicable Business and merely incidental to the transaction contemplated by the agreement containing such license, where the purpose of such agreement is something other than such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means, with respect to the Seller Entities as of the Measurement Time, the aggregate dollar amount of all Liabilities (including in respect of principal, accrued interest, penalties, fees, reimbursements, indemnities, premiums, breakage costs and similar charges) (i) for borrowed money, (ii) evidenced by a note, bond, debenture or other similar security, (iii) in respect of any lease that should be accounted for as a capital lease or finance lease in accordance with GAAP (excluding the impact of ASC 842), (iv) in respect of “earn-out” obligations and other obligations for the deferred or subsequent payment of the purchase price of any property, goods, services, fixed assets, business or line of business (other than trade payables or accruals incurred in the Ordinary Course of Business to the extent included in the calculation of Working Capital or are otherwise Excluded Prepetition Payables), (v) in respect of letters of credit and bankers’ acceptances, surety and performance bonds and similar instruments, solely to the extent drawn, (vi) for obligations relating to interest rate protection, swap agreements, collar agreements and other hedging arrangements, measured at the terminal value thereof, (vii) all obligations with respect to severance or other termination-related payments or benefits owed to any Person whose employment or other service relationship with such Companies (or an Affiliate of such Companies) terminated prior to the Closing, together with the employer portion of any Taxes arising therefrom (solely to the extent assumed by the Buyer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(viii) with respect to earned or accrued but unpaid bonus commission payments and deferred compensation, together with the employer portion of any Taxes arising therefrom (solely to the extent assumed by the Buyer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(ix) all liabilities of the Seller Entities secured by a Lien on any Transferred Assets, and (x) all guarantees and similar assurances by such Company of indebtedness for borrowed money or other financial obligations of another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Indebtedness shall not include (A) the amount of any Transaction Expenses, (B) any Liabilities related to the Cultivation Property and any Taxes, (C) any Excluded Liabilities or (D) any Excluded Prepetition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Insider</w:t>
      </w:r>
      <w:r>
        <w:rPr>
          <w:rFonts w:ascii="Times New Roman;Times;Serif" w:hAnsi="Times New Roman;Times;Serif"/>
          <w:b w:val="false"/>
          <w:i w:val="false"/>
          <w:caps w:val="false"/>
          <w:smallCaps w:val="false"/>
          <w:sz w:val="20"/>
        </w:rPr>
        <w:t>” means (a) an officer, director, manager, equityholder, employee or Affiliate of the applicable Company (other than equityholders of Cannabist in their capacity as public company stockholders), (b) any natural person related by marriage or adoption to any such natural person listed in clause (a), or (c) any entity in which any Person listed in clauses (a) and (b) above owns a material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intellectual property rights in, arising out of, or associated with all of the following in any jurisdiction throughout the world: (i) patents; (ii) trademarks, service marks, service names, trade dress, trade names and corporate names, including the goodwill connected with the use thereof and symbolized thereby, and any other source or business identifiers (collectively, “</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(iii) copyrights, moral rights, works of authorship (including software), proprietary designs, and rights in data and databases; (iv) registrations and applications for any of the foregoing; (v) trade secrets and non-public proprietary information and know-how; and (vi) Internet domain names.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means software, systems, servers, computers, hardware, firmware, middleware, networks, data communications lines, routers, hubs, switches and all other information technology equipment, and all associated documentation, in each case, used or held for use in the operation of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law, statute, regulation, ordinance, rule, common law, Order, decree, judgment, consent decree or governmental requirement enacted, promulgated, entered into, agreed or imposed by any Governmental Entity, including state, federal and foreign criminal and civil laws and/or related regulations and the State Cannabis Laws, but excluding Federal Cannabis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means all leasehold, subleasehold, licensed estates and other rights to use or occupy any land, buildings, structures, improvements, fixtures or other interest in real property held by the applicable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Leasehold Improvements</w:t>
      </w:r>
      <w:r>
        <w:rPr>
          <w:rFonts w:ascii="Times New Roman;Times;Serif" w:hAnsi="Times New Roman;Times;Serif"/>
          <w:b w:val="false"/>
          <w:i w:val="false"/>
          <w:caps w:val="false"/>
          <w:smallCaps w:val="false"/>
          <w:sz w:val="20"/>
        </w:rPr>
        <w:t>” means all buildings, structures, improvements and fixtures, building systems and equipment, and all components thereof, located on any Leased Real Property which are owned or leased by the applicable Companies, regardless of whether title to such buildings, structures, improvements or fixtures are subject to reversion to the landlord or other third party upon the expiration or termination of the lease for such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any liability, Indebtedness, guarantee, claim, demand, expense, commitment or obligation (whether direct or indirect, absolute or contingent, accrued or unaccrued, liquidated or unliquidated, or due or to become due) of every kind and description, including all costs and expenses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lien (statutory or otherwise), security interest, encumbrance, charge, easement, right-of-way, encroachment, covenant, condition, restriction, or any other title defect, option, right of first refusal, right of first offer or restriction on transfer, use, voting, receipt of income or distribution or any other attribute of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means any loss, liability, damage, fine, penalty, judgment, award, settlement payment, Tax, costs or expenses (including reasonable and documented outside attorney’s or other professional fees and expenses and all reasonable and documented out-of-pocket expenses incurred in connection with the defense of any Proceeding), but excluding any exemplary or punitive damages (except to the extent such damages are awarded to a third party in connection with a third-party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event, circumstance, state of facts, change or development that, individually or in the aggregate, has, or would reasonably be expected to have, (i) a material and adverse effect, change or development upon the business, operations, assets, liabilities, condition (financial or otherwise), employees or business relations of the Companies, taken as a whole, or (ii) the ability of any Seller Party to consummate the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a “Material Adverse Effect” shall not include any “Material Adverse Effect” that arises after the date hereof and is cured prior to the earlier of the Closing or the date this Agreement is terminated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any change, effect, event, occurrence, state of facts or development in or attributable to: (a) general economic, political, or business conditions or any change that is generally applicable to the industries or markets in which the Companies operate; (b) financial, banking or securities markets of the U.S. in general (including any disruption thereof and any decline in the price of any security or any market index or change in prevailing interest rates); (c) any natural or man-made disaster, acts of God, pandemics, or other calamities, national or international political or social conditions, including the engagement and/or escalation by the U.S. in hostilities, whether or not pursuant to the declaration of a national emergency or war, or the occurrence of any military or terrorist attack upon the U.S. or any of its territories, possessions or diplomatic or consular offices or upon any military installation, equipment or personnel of the U.S.; (d) the announcement, pendency, or completion of the Transactions, including losses of employees, customers, suppliers, distributors or sales agents of any of the Companies; (e) any breach, violation or non-performance of any provision of this Agreement by Buyer or any of its Affiliates; (f) the failure of any of the Companies to meet or achieve the results set forth in any internal or published projections, forecasts, or revenue earnings predictions (provided that the underlying causes of such failure shall not be excluded); (g) any item or items set forth in the Schedules; (h) any change resulting from compliance with the terms of, or any actions taken (or not taken) by any Party pursuant to or in accordance with, this Agreement; (i) any changes in applicable Laws or accounting rules (including GAAP) or the enforcement, implementation or interpretation thereof; (j) the prosecution or enforcement of any Federal Cannabis Laws or (k) any change resulting from the filing or pendency of the Canadian Proceeding, action taken in connection with the Canadian Proceeding, or any reasonably anticipated effect of such filing, pendency or actions, or from any action approved by the Canadian Court;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any adverse occurrence, fact, condition, event, change, circumstance, effect, development or other matter resulting from the matters described in the foregoing </w:t>
      </w:r>
      <w:r>
        <w:rPr>
          <w:rFonts w:ascii="Times New Roman;Times;Serif" w:hAnsi="Times New Roman;Times;Serif"/>
          <w:b w:val="false"/>
          <w:i w:val="false"/>
          <w:caps w:val="false"/>
          <w:smallCaps w:val="false"/>
          <w:sz w:val="20"/>
          <w:u w:val="single"/>
        </w:rPr>
        <w:t>clauses (a) – (c)</w:t>
      </w:r>
      <w:r>
        <w:rPr>
          <w:rFonts w:ascii="Times New Roman;Times;Serif" w:hAnsi="Times New Roman;Times;Serif"/>
          <w:b w:val="false"/>
          <w:i w:val="false"/>
          <w:caps w:val="false"/>
          <w:smallCaps w:val="false"/>
          <w:sz w:val="20"/>
        </w:rPr>
        <w:t xml:space="preserve"> and (i) may be taken into account in determining whether there has been a Material Adverse Effect only if such occurrence, fact, condition, event, change, circumstance, effect, development or other matter has a disproportionate effect on the Companies relative to similarly situated businesses in the industries, markets or geographies in which the Companies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Measurement Time</w:t>
      </w:r>
      <w:r>
        <w:rPr>
          <w:rFonts w:ascii="Times New Roman;Times;Serif" w:hAnsi="Times New Roman;Times;Serif"/>
          <w:b w:val="false"/>
          <w:i w:val="false"/>
          <w:caps w:val="false"/>
          <w:smallCaps w:val="false"/>
          <w:sz w:val="20"/>
        </w:rPr>
        <w:t>” means 12:01 a.m. Eastern Time on the Calculation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Cash Amount</w:t>
      </w:r>
      <w:r>
        <w:rPr>
          <w:rFonts w:ascii="Times New Roman;Times;Serif" w:hAnsi="Times New Roman;Times;Serif"/>
          <w:b w:val="false"/>
          <w:i w:val="false"/>
          <w:caps w:val="false"/>
          <w:smallCaps w:val="false"/>
          <w:sz w:val="20"/>
        </w:rPr>
        <w:t>” means $50,000.00 in Cash per dispensary as of the Measurement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Working Capital Shortfall</w:t>
      </w:r>
      <w:r>
        <w:rPr>
          <w:rFonts w:ascii="Times New Roman;Times;Serif" w:hAnsi="Times New Roman;Times;Serif"/>
          <w:b w:val="false"/>
          <w:i w:val="false"/>
          <w:caps w:val="false"/>
          <w:smallCaps w:val="false"/>
          <w:sz w:val="20"/>
        </w:rPr>
        <w:t xml:space="preserve">” means the amount identified as the “Minimum Working Capital Shortfall” set forth on the Working Capital Schedule set forth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judgment, decree, order, settlement, injunction, writ, stipulation, ruling or award (whether judicial, administrative, arbitral or regulatory) of any Governmental Entity or arbitrator.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the ordinary course of business, consistent with past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all licenses, permits, certificates, exemptions, consents, waivers, concessions, variances, authorizations, approvals, registrations and similar privileges or rights to operate or conduct any business granted by any Governmental Entity, including the Marijuana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means the following Liens: (a) Liens for Taxes, assessments or other governmental charges or levies that are not yet due or payable or that are being contested in good faith by appropriate proceedings or as to which adequate reserves have been established on the applicable Company’s financial statements in accordance with GAAP; (b) statutory Liens of landlords and Liens of carriers, warehousemen, mechanics, materialmen, workmen, repairmen and other Liens imposed or permitted by Law in the ordinary course of business for amounts which are not due and payable prior to the Closing Date; (c) Liens incurred or deposits made in the ordinary course of business in connection with workers’ compensation, unemployment insurance or other types of social security; (d) defects or imperfections of title, exceptions, easements, covenants, rights-of-way, restrictions and other similar matters of record, defects or encumbrances that do not or would not materially interfere with the ordinary conduct of the Business; (e) zoning, entitlement, building and other generally applicable land use and environmental restrictions regulating the use or occupancy of any Leased Real Property that are imposed by a Governmental Entity having jurisdiction over such Leased Real Property and that are not violated by the current use or occupancy of such Leased Real Property or the operating of the Business thereon; (f) Liens not created by the Member or any Company that affect the underlying fee, lessor, licensor or sublessor interest of any Real Estate Lease or real property over which the Member (with respect to the Business) or the Companies have easement or other property rights; (g) Liens created by or through, or resulting from any facts or circumstances relating to, Buyer or its Affiliates; (h) Liens arising out of, under or in connection with this Agreement or the other Transaction Agreements; (i) any set of facts that an accurate up-to-date survey would show; (j) any title matters shown in any title policy or report made available to Buyer; (k) in the case of Intellectual Property, licenses, options to license, covenants or other grants and gaps or defects in the chain of title evident from the publicly-available records of the applicable Governmental Entity maintaining such records; (l) Liens set forth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 xml:space="preserve"> which shall be fully discharged at or prior to the Closing and (m) any other Lien that will be cleared or discharged by the Canadian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sole proprietorship, partnership, joint venture, trust, unincorporated association, corporation, limited liability company, entity, arbitrator or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information in any form or media that identifies, could be used to identify or is otherwise related to an individual person, or any other data that constitutes “personal information” or “personal data”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Tax Period</w:t>
      </w:r>
      <w:r>
        <w:rPr>
          <w:rFonts w:ascii="Times New Roman;Times;Serif" w:hAnsi="Times New Roman;Times;Serif"/>
          <w:b w:val="false"/>
          <w:i w:val="false"/>
          <w:caps w:val="false"/>
          <w:smallCaps w:val="false"/>
          <w:sz w:val="20"/>
        </w:rPr>
        <w:t>” means any Tax period (or portion thereof) beginning after the Closing Date and the portion of any Straddle Period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Post-Petition Contracts</w:t>
      </w:r>
      <w:r>
        <w:rPr>
          <w:rFonts w:ascii="Times New Roman;Times;Serif" w:hAnsi="Times New Roman;Times;Serif"/>
          <w:b w:val="false"/>
          <w:i w:val="false"/>
          <w:caps w:val="false"/>
          <w:smallCaps w:val="false"/>
          <w:sz w:val="20"/>
        </w:rPr>
        <w:t>” means all Contracts to which any Seller Party is a party under which no Prepetition Payables remain or are outstanding (or for which the concept of Prepetition Payables is 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means, for any Company, any taxable period of such Company that ends on or before the Closing Date, and the portion of any Straddle Period ending on and including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Prepetition Payable</w:t>
      </w:r>
      <w:r>
        <w:rPr>
          <w:rFonts w:ascii="Times New Roman;Times;Serif" w:hAnsi="Times New Roman;Times;Serif"/>
          <w:b w:val="false"/>
          <w:i w:val="false"/>
          <w:caps w:val="false"/>
          <w:smallCaps w:val="false"/>
          <w:sz w:val="20"/>
        </w:rPr>
        <w:t>” means any and all accrued but unpaid accounts payable of any Seller Party or Transferred Entity incurred prior to March 24, 2026 and arising under any Contracts (including, for the avoidance of doubt, any purchase order) to which a Seller Party or a Transferred Entity is party, in each case, as set forth on the books and records of the applicable Company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Security Requirements</w:t>
      </w:r>
      <w:r>
        <w:rPr>
          <w:rFonts w:ascii="Times New Roman;Times;Serif" w:hAnsi="Times New Roman;Times;Serif"/>
          <w:b w:val="false"/>
          <w:i w:val="false"/>
          <w:caps w:val="false"/>
          <w:smallCaps w:val="false"/>
          <w:sz w:val="20"/>
        </w:rPr>
        <w:t>” means, to the extent applicable to the Companies, (a) any Laws regulating the Processing of Personal Information, and any and all Laws relating to breach notification, the use of biometric identifiers, or the use of Personal Information for marketing purposes; (b) the Payment Card Industry Data Security Standard issued by the PCI Security Standards Council, as it may be amended from time to time (“</w:t>
      </w:r>
      <w:r>
        <w:rPr>
          <w:rFonts w:ascii="Times New Roman;Times;Serif" w:hAnsi="Times New Roman;Times;Serif"/>
          <w:b w:val="false"/>
          <w:i w:val="false"/>
          <w:caps w:val="false"/>
          <w:smallCaps w:val="false"/>
          <w:sz w:val="20"/>
          <w:u w:val="single"/>
        </w:rPr>
        <w:t>PCI DSS</w:t>
      </w:r>
      <w:r>
        <w:rPr>
          <w:rFonts w:ascii="Times New Roman;Times;Serif" w:hAnsi="Times New Roman;Times;Serif"/>
          <w:b w:val="false"/>
          <w:i w:val="false"/>
          <w:caps w:val="false"/>
          <w:smallCaps w:val="false"/>
          <w:sz w:val="20"/>
        </w:rPr>
        <w:t>”); (c) all binding contractual obligations between the Companies and any Person governing the Processing of Personal Information; and (d) all publicly posted written policies and procedures applicable to each Company relating to the PCI DSS and/or the Processing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complaint, demand, action, claim, counterclaim, suit, charge, grievance, mediation, inquiry, arbitration, audit, hearing, investigation, litigation or other proceeding of any nature (whether civil, criminal, administrative, judicial or investigative, whether public or private) commenced, brought, conducted or heard by or before, or otherwise involving, any Governmental Entity or arbitrator.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to perform any operation or set of operations on data, whether manually or by automatic means, including the creation, collection, use, storage, maintenance, processing, recording, distribution, transfer, transmission, receipt, import, export, protection, safeguarding, access, disposal or disclosure or other activity regarding data (whether electronically or in any other form or medium).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Lease Amendments</w:t>
      </w:r>
      <w:r>
        <w:rPr>
          <w:rFonts w:ascii="Times New Roman;Times;Serif" w:hAnsi="Times New Roman;Times;Serif"/>
          <w:b w:val="false"/>
          <w:i w:val="false"/>
          <w:caps w:val="false"/>
          <w:smallCaps w:val="false"/>
          <w:sz w:val="20"/>
        </w:rPr>
        <w:t xml:space="preserve">” means the extensions and amendments to the leases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Cash</w:t>
      </w:r>
      <w:r>
        <w:rPr>
          <w:rFonts w:ascii="Times New Roman;Times;Serif" w:hAnsi="Times New Roman;Times;Serif"/>
          <w:b w:val="false"/>
          <w:i w:val="false"/>
          <w:caps w:val="false"/>
          <w:smallCaps w:val="false"/>
          <w:sz w:val="20"/>
        </w:rPr>
        <w:t>” means (a) any cash held as deposits with third parties or as collateral for outstanding letters of credit and (b) any other cash that is not freely usable because it is (i) legally required by applicable law to be held in a segregated account not available for use or (ii) contractually required to remain in a segregated account under a binding contract expressly prohibiting the withdrawal, use or repatriation of such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Order</w:t>
      </w:r>
      <w:r>
        <w:rPr>
          <w:rFonts w:ascii="Times New Roman;Times;Serif" w:hAnsi="Times New Roman;Times;Serif"/>
          <w:b w:val="false"/>
          <w:i w:val="false"/>
          <w:caps w:val="false"/>
          <w:smallCaps w:val="false"/>
          <w:sz w:val="20"/>
        </w:rPr>
        <w:t xml:space="preserve">” means the order of the Canadian Court issued in the Canadian Proceeding pursuant to the CCAA, which shall, among other things, approve the sale of the Transferred Assets and the transfer of the Assumed Liabilities and the consummation of the Transactions, substantially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any Person (a) listed on any Sanctions-related list of designated or blocked persons; (b) a Governmental Entity of, resident in, or organized under the Laws of a country or territory that is the subject of comprehensive restrictive Sanctions (meaning, as of the date of this Agreement, Cuba, Iran, North Korea, Syria, and the Crimea region and so-called Donetsk People’s Republic and Luhansk People’s Republic regions of Ukraine); or (c) 50% or more owned or controlled by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those trade, economic and financial sanctions Laws, regulations, embargoes, and restrictive measures (in each case, having the force of Law) administered, enacted or enforced from time to time by (a) the United States (including without limitation the Department of Treasury, Office of Foreign Assets Control), (b) Canada (including without limitation under the Special Economic Measures Act, the Justice for Victims of Corrupt Foreign Officials Act, the United Nations Act, and regulations promulgated thereunder), (c) the European Union and enforced by its member states, (d) the United Nations, (e) His Majesty’s Treasury, or (f) any other relevant sanctions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Breach</w:t>
      </w:r>
      <w:r>
        <w:rPr>
          <w:rFonts w:ascii="Times New Roman;Times;Serif" w:hAnsi="Times New Roman;Times;Serif"/>
          <w:b w:val="false"/>
          <w:i w:val="false"/>
          <w:caps w:val="false"/>
          <w:smallCaps w:val="false"/>
          <w:sz w:val="20"/>
        </w:rPr>
        <w:t>” means any (a) unauthorized access, acquisition, use, disclosure, modification, deletion, or destruction of information (including Personal Information); or (b) security breach, or unauthorized interference with system operations of IT Assets, including any phishing incident or ransomware attack.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Guarantees</w:t>
      </w:r>
      <w:r>
        <w:rPr>
          <w:rFonts w:ascii="Times New Roman;Times;Serif" w:hAnsi="Times New Roman;Times;Serif"/>
          <w:b w:val="false"/>
          <w:i w:val="false"/>
          <w:caps w:val="false"/>
          <w:smallCaps w:val="false"/>
          <w:sz w:val="20"/>
        </w:rPr>
        <w:t xml:space="preserve">” means, collectively, all letters of credit, guarantees, surety bonds, performance bonds and other financial assurance obligations that are set forth on </w:t>
      </w:r>
      <w:r>
        <w:rPr>
          <w:rFonts w:ascii="Times New Roman;Times;Serif" w:hAnsi="Times New Roman;Times;Serif"/>
          <w:b w:val="false"/>
          <w:i w:val="false"/>
          <w:caps w:val="false"/>
          <w:smallCaps w:val="false"/>
          <w:sz w:val="20"/>
          <w:u w:val="single"/>
        </w:rPr>
        <w:t>Schedule 5.7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Signing Cash Deposit Amount</w:t>
      </w:r>
      <w:r>
        <w:rPr>
          <w:rFonts w:ascii="Times New Roman;Times;Serif" w:hAnsi="Times New Roman;Times;Serif"/>
          <w:b w:val="false"/>
          <w:i w:val="false"/>
          <w:caps w:val="false"/>
          <w:smallCaps w:val="false"/>
          <w:sz w:val="20"/>
        </w:rPr>
        <w:t>” means $750,000.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 Cannabis Laws</w:t>
      </w:r>
      <w:r>
        <w:rPr>
          <w:rFonts w:ascii="Times New Roman;Times;Serif" w:hAnsi="Times New Roman;Times;Serif"/>
          <w:b w:val="false"/>
          <w:i w:val="false"/>
          <w:caps w:val="false"/>
          <w:smallCaps w:val="false"/>
          <w:sz w:val="20"/>
        </w:rPr>
        <w:t>” means the marijuana establishment Laws of any jurisdictions to which each Company is, or may at any time become, subject, and the rules and regulations adopted by the applicable state or local Governmental Entity with authority to regulate any marijuana operation (or proposed marijuana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shall mean any taxable period that includes (but does not end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Sugarloaf Purchase Option Agreement</w:t>
      </w:r>
      <w:r>
        <w:rPr>
          <w:rFonts w:ascii="Times New Roman;Times;Serif" w:hAnsi="Times New Roman;Times;Serif"/>
          <w:b w:val="false"/>
          <w:i w:val="false"/>
          <w:caps w:val="false"/>
          <w:smallCaps w:val="false"/>
          <w:sz w:val="20"/>
        </w:rPr>
        <w:t>” means that certain Purchase Option Agreement, dated June 11, 2021, by and between the Member and Sugarloaf Holdings, LLC and as amended from time to time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Sugarloaf MSA</w:t>
      </w:r>
      <w:r>
        <w:rPr>
          <w:rFonts w:ascii="Times New Roman;Times;Serif" w:hAnsi="Times New Roman;Times;Serif"/>
          <w:b w:val="false"/>
          <w:i w:val="false"/>
          <w:caps w:val="false"/>
          <w:smallCaps w:val="false"/>
          <w:sz w:val="20"/>
        </w:rPr>
        <w:t>” means that certain Management and Administrative Services Agreement, dated as of June 9, 2021, by and between the Member and Sugarloaf Enterprises, LLC and as amended from time to time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Working Capital</w:t>
      </w:r>
      <w:r>
        <w:rPr>
          <w:rFonts w:ascii="Times New Roman;Times;Serif" w:hAnsi="Times New Roman;Times;Serif"/>
          <w:b w:val="false"/>
          <w:i w:val="false"/>
          <w:caps w:val="false"/>
          <w:smallCaps w:val="false"/>
          <w:sz w:val="20"/>
        </w:rPr>
        <w:t xml:space="preserve">” means the amount set forth on the </w:t>
      </w:r>
      <w:r>
        <w:rPr>
          <w:rFonts w:ascii="Times New Roman;Times;Serif" w:hAnsi="Times New Roman;Times;Serif"/>
          <w:b w:val="false"/>
          <w:i w:val="false"/>
          <w:caps w:val="false"/>
          <w:smallCaps w:val="false"/>
          <w:sz w:val="20"/>
          <w:u w:val="single"/>
        </w:rPr>
        <w:t>Working Capital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(and, with correlative meaning,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Taxable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Taxing</w:t>
      </w:r>
      <w:r>
        <w:rPr>
          <w:rFonts w:ascii="Times New Roman;Times;Serif" w:hAnsi="Times New Roman;Times;Serif"/>
          <w:b w:val="false"/>
          <w:i w:val="false"/>
          <w:caps w:val="false"/>
          <w:smallCaps w:val="false"/>
          <w:sz w:val="20"/>
        </w:rPr>
        <w:t>”) means any net or gross income, net or gross receipts, net or gross proceeds, capital gains, capital stock, sales, use, user, leasing, lease, transfer, natural resources, premium, ad valorem, value added, franchise, profits, gaming, license, capital, withholding, payroll or other employment, estimated, goods and services, severance, excise, stamp, fuel, interest equalization, registration, recording, occupation, premium, turnover, personal property (tangible and intangible), real property, unclaimed or abandoned property, alternative or add-on, windfall or excess profits, environmental, social security, disability, unemployment or other tax or customs duties, together with any interest, penalties, or additions with respect thereto, and any interest in respect of such penalties or additions.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any amendments, submitted to (or required under applicable Laws to be submitted to) a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 means this Agreement, the Service Agreement, the Loan Financing Agreement, and any other agreements, instruments or documents, as applicable, required to be delivered at the Closing, or otherwise entered into among the Parties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transactions contemplated by this Agreement and the other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means, without duplication, and in each case to the extent incurred at or before the Closing, (a) all unpaid fees and expenses incurred by or on behalf of the applicable Companies in connection with the preparation, negotiation and execution of this Agreement and the Transaction Agreements, and the performance and consummation of the transactions contemplated hereby and thereby (including fee and expenses of any legal or financial advisors) and (b) to the extent not included in Indebtedness, amounts payable by the applicable Companies to any officer, employee, consultant or agent of, or service provider to, the applicable Companies solely as a result of the consummation of the transactions contemplated hereby, together with any employer payroll or other Taxes resulting from payments payable in accordance with this clause, excluding any bonuses or amounts that are payable at the direction of the Buyer or any of its Affiliates and any employment or payroll Taxes associated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Wind-Up Date</w:t>
      </w:r>
      <w:r>
        <w:rPr>
          <w:rFonts w:ascii="Times New Roman;Times;Serif" w:hAnsi="Times New Roman;Times;Serif"/>
          <w:b w:val="false"/>
          <w:i w:val="false"/>
          <w:caps w:val="false"/>
          <w:smallCaps w:val="false"/>
          <w:sz w:val="20"/>
        </w:rPr>
        <w:t>” means the date upon which the Seller Parties’ corporate existences cease to exist.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w:t>
      </w:r>
      <w:r>
        <w:rPr>
          <w:rFonts w:ascii="Times New Roman;Times;Serif" w:hAnsi="Times New Roman;Times;Serif"/>
          <w:b w:val="false"/>
          <w:i w:val="false"/>
          <w:caps w:val="false"/>
          <w:smallCaps w:val="false"/>
          <w:sz w:val="20"/>
        </w:rPr>
        <w:t xml:space="preserve">” means an amount equal to Current Assets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Current Liabilities, in each case measured as of the Measurement Time and in accordance with the Applicable Accounting Guidelines;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Working Capital shall not include (i) any Current Assets or Current Liabilities that relate to or arise from any Excluded Asset, Excluded Liability or Excluded Prepetition Payable or any intercompany or other related party transactions or any transactions with any Affiliate of a Member or Cannabist, including intercompany receivables and payables or (ii) any amounts included in the calculation of Cash. Working Capital shall be determined in accordance with GAAP and the Applicable Accounting Guidelines and may be a negative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Other Defined Terms</w:t>
      </w:r>
      <w:r>
        <w:rPr>
          <w:rFonts w:ascii="Times New Roman;Times;Serif" w:hAnsi="Times New Roman;Times;Serif"/>
          <w:b w:val="false"/>
          <w:i w:val="false"/>
          <w:caps w:val="false"/>
          <w:smallCaps w:val="false"/>
          <w:sz w:val="20"/>
        </w:rPr>
        <w:t>. The following terms are defined in the sections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905"/>
      </w:tblGrid>
      <w:tr>
        <w:trPr/>
        <w:tc>
          <w:tcPr>
            <w:tcW w:w="3215" w:type="dxa"/>
            <w:tcBorders/>
            <w:vAlign w:val="center"/>
          </w:tcPr>
          <w:p>
            <w:pPr>
              <w:pStyle w:val="TableContents"/>
              <w:bidi w:val="0"/>
              <w:spacing w:before="0" w:after="283"/>
              <w:jc w:val="left"/>
              <w:rPr/>
            </w:pPr>
            <w:r>
              <w:rPr/>
              <w:t>Agreement</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Assessments</w:t>
            </w:r>
          </w:p>
        </w:tc>
        <w:tc>
          <w:tcPr>
            <w:tcW w:w="905" w:type="dxa"/>
            <w:tcBorders/>
            <w:vAlign w:val="center"/>
          </w:tcPr>
          <w:p>
            <w:pPr>
              <w:pStyle w:val="TableContents"/>
              <w:bidi w:val="0"/>
              <w:spacing w:before="0" w:after="283"/>
              <w:jc w:val="right"/>
              <w:rPr/>
            </w:pPr>
            <w:r>
              <w:rPr/>
              <w:t>3.16(e)</w:t>
            </w:r>
          </w:p>
        </w:tc>
      </w:tr>
      <w:tr>
        <w:trPr/>
        <w:tc>
          <w:tcPr>
            <w:tcW w:w="3215" w:type="dxa"/>
            <w:tcBorders/>
            <w:vAlign w:val="center"/>
          </w:tcPr>
          <w:p>
            <w:pPr>
              <w:pStyle w:val="TableContents"/>
              <w:bidi w:val="0"/>
              <w:spacing w:before="0" w:after="283"/>
              <w:jc w:val="left"/>
              <w:rPr/>
            </w:pPr>
            <w:r>
              <w:rPr/>
              <w:t>Asset Purchase Price Allocation</w:t>
            </w:r>
          </w:p>
        </w:tc>
        <w:tc>
          <w:tcPr>
            <w:tcW w:w="905" w:type="dxa"/>
            <w:tcBorders/>
            <w:vAlign w:val="center"/>
          </w:tcPr>
          <w:p>
            <w:pPr>
              <w:pStyle w:val="TableContents"/>
              <w:bidi w:val="0"/>
              <w:spacing w:before="0" w:after="283"/>
              <w:jc w:val="right"/>
              <w:rPr/>
            </w:pPr>
            <w:r>
              <w:rPr/>
              <w:t>6.2(d)</w:t>
            </w:r>
          </w:p>
        </w:tc>
      </w:tr>
      <w:tr>
        <w:trPr/>
        <w:tc>
          <w:tcPr>
            <w:tcW w:w="3215" w:type="dxa"/>
            <w:tcBorders/>
            <w:vAlign w:val="center"/>
          </w:tcPr>
          <w:p>
            <w:pPr>
              <w:pStyle w:val="TableContents"/>
              <w:bidi w:val="0"/>
              <w:spacing w:before="0" w:after="283"/>
              <w:jc w:val="left"/>
              <w:rPr/>
            </w:pPr>
            <w:r>
              <w:rPr/>
              <w:t>Available Contract Schedule</w:t>
            </w:r>
          </w:p>
        </w:tc>
        <w:tc>
          <w:tcPr>
            <w:tcW w:w="905" w:type="dxa"/>
            <w:tcBorders/>
            <w:vAlign w:val="center"/>
          </w:tcPr>
          <w:p>
            <w:pPr>
              <w:pStyle w:val="TableContents"/>
              <w:bidi w:val="0"/>
              <w:spacing w:before="0" w:after="283"/>
              <w:jc w:val="right"/>
              <w:rPr/>
            </w:pPr>
            <w:r>
              <w:rPr/>
              <w:t>5.12</w:t>
            </w:r>
          </w:p>
        </w:tc>
      </w:tr>
      <w:tr>
        <w:trPr/>
        <w:tc>
          <w:tcPr>
            <w:tcW w:w="3215" w:type="dxa"/>
            <w:tcBorders/>
            <w:vAlign w:val="center"/>
          </w:tcPr>
          <w:p>
            <w:pPr>
              <w:pStyle w:val="TableContents"/>
              <w:bidi w:val="0"/>
              <w:spacing w:before="0" w:after="283"/>
              <w:jc w:val="left"/>
              <w:rPr/>
            </w:pPr>
            <w:r>
              <w:rPr/>
              <w:t>Business</w:t>
            </w:r>
          </w:p>
        </w:tc>
        <w:tc>
          <w:tcPr>
            <w:tcW w:w="905" w:type="dxa"/>
            <w:tcBorders/>
            <w:vAlign w:val="center"/>
          </w:tcPr>
          <w:p>
            <w:pPr>
              <w:pStyle w:val="TableContents"/>
              <w:bidi w:val="0"/>
              <w:spacing w:before="0" w:after="283"/>
              <w:jc w:val="right"/>
              <w:rPr/>
            </w:pPr>
            <w:r>
              <w:rPr/>
              <w:t>Recitals</w:t>
            </w:r>
          </w:p>
        </w:tc>
      </w:tr>
      <w:tr>
        <w:trPr/>
        <w:tc>
          <w:tcPr>
            <w:tcW w:w="3215" w:type="dxa"/>
            <w:tcBorders/>
            <w:vAlign w:val="center"/>
          </w:tcPr>
          <w:p>
            <w:pPr>
              <w:pStyle w:val="TableContents"/>
              <w:bidi w:val="0"/>
              <w:spacing w:before="0" w:after="283"/>
              <w:jc w:val="left"/>
              <w:rPr/>
            </w:pPr>
            <w:r>
              <w:rPr/>
              <w:t>Buyer</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Buyer Cash Amount</w:t>
            </w:r>
          </w:p>
        </w:tc>
        <w:tc>
          <w:tcPr>
            <w:tcW w:w="905" w:type="dxa"/>
            <w:tcBorders/>
            <w:vAlign w:val="center"/>
          </w:tcPr>
          <w:p>
            <w:pPr>
              <w:pStyle w:val="TableContents"/>
              <w:bidi w:val="0"/>
              <w:spacing w:before="0" w:after="283"/>
              <w:jc w:val="right"/>
              <w:rPr/>
            </w:pPr>
            <w:r>
              <w:rPr/>
              <w:t>5.7</w:t>
            </w:r>
          </w:p>
        </w:tc>
      </w:tr>
      <w:tr>
        <w:trPr/>
        <w:tc>
          <w:tcPr>
            <w:tcW w:w="3215" w:type="dxa"/>
            <w:tcBorders/>
            <w:vAlign w:val="center"/>
          </w:tcPr>
          <w:p>
            <w:pPr>
              <w:pStyle w:val="TableContents"/>
              <w:bidi w:val="0"/>
              <w:spacing w:before="0" w:after="283"/>
              <w:jc w:val="left"/>
              <w:rPr/>
            </w:pPr>
            <w:r>
              <w:rPr/>
              <w:t>Buyer Plan</w:t>
            </w:r>
          </w:p>
        </w:tc>
        <w:tc>
          <w:tcPr>
            <w:tcW w:w="905" w:type="dxa"/>
            <w:tcBorders/>
            <w:vAlign w:val="center"/>
          </w:tcPr>
          <w:p>
            <w:pPr>
              <w:pStyle w:val="TableContents"/>
              <w:bidi w:val="0"/>
              <w:spacing w:before="0" w:after="283"/>
              <w:jc w:val="right"/>
              <w:rPr/>
            </w:pPr>
            <w:r>
              <w:rPr/>
              <w:t>5.5(f)</w:t>
            </w:r>
          </w:p>
        </w:tc>
      </w:tr>
      <w:tr>
        <w:trPr/>
        <w:tc>
          <w:tcPr>
            <w:tcW w:w="3215" w:type="dxa"/>
            <w:tcBorders/>
            <w:vAlign w:val="center"/>
          </w:tcPr>
          <w:p>
            <w:pPr>
              <w:pStyle w:val="TableContents"/>
              <w:bidi w:val="0"/>
              <w:spacing w:before="0" w:after="283"/>
              <w:jc w:val="left"/>
              <w:rPr/>
            </w:pPr>
            <w:r>
              <w:rPr/>
              <w:t>Canadian Court</w:t>
            </w:r>
          </w:p>
        </w:tc>
        <w:tc>
          <w:tcPr>
            <w:tcW w:w="905" w:type="dxa"/>
            <w:tcBorders/>
            <w:vAlign w:val="center"/>
          </w:tcPr>
          <w:p>
            <w:pPr>
              <w:pStyle w:val="TableContents"/>
              <w:bidi w:val="0"/>
              <w:spacing w:before="0" w:after="283"/>
              <w:jc w:val="right"/>
              <w:rPr/>
            </w:pPr>
            <w:r>
              <w:rPr/>
              <w:t>Recitals</w:t>
            </w:r>
          </w:p>
        </w:tc>
      </w:tr>
      <w:tr>
        <w:trPr/>
        <w:tc>
          <w:tcPr>
            <w:tcW w:w="3215" w:type="dxa"/>
            <w:tcBorders/>
            <w:vAlign w:val="center"/>
          </w:tcPr>
          <w:p>
            <w:pPr>
              <w:pStyle w:val="TableContents"/>
              <w:bidi w:val="0"/>
              <w:spacing w:before="0" w:after="283"/>
              <w:jc w:val="left"/>
              <w:rPr/>
            </w:pPr>
            <w:r>
              <w:rPr/>
              <w:t>Canadian Proceeding</w:t>
            </w:r>
          </w:p>
        </w:tc>
        <w:tc>
          <w:tcPr>
            <w:tcW w:w="905" w:type="dxa"/>
            <w:tcBorders/>
            <w:vAlign w:val="center"/>
          </w:tcPr>
          <w:p>
            <w:pPr>
              <w:pStyle w:val="TableContents"/>
              <w:bidi w:val="0"/>
              <w:spacing w:before="0" w:after="283"/>
              <w:jc w:val="right"/>
              <w:rPr/>
            </w:pPr>
            <w:r>
              <w:rPr/>
              <w:t>Recitals</w:t>
            </w:r>
          </w:p>
        </w:tc>
      </w:tr>
      <w:tr>
        <w:trPr/>
        <w:tc>
          <w:tcPr>
            <w:tcW w:w="3215" w:type="dxa"/>
            <w:tcBorders/>
            <w:vAlign w:val="center"/>
          </w:tcPr>
          <w:p>
            <w:pPr>
              <w:pStyle w:val="TableContents"/>
              <w:bidi w:val="0"/>
              <w:spacing w:before="0" w:after="283"/>
              <w:jc w:val="left"/>
              <w:rPr/>
            </w:pPr>
            <w:r>
              <w:rPr/>
              <w:t>Cannabis Transaction Approval</w:t>
            </w:r>
          </w:p>
        </w:tc>
        <w:tc>
          <w:tcPr>
            <w:tcW w:w="905" w:type="dxa"/>
            <w:tcBorders/>
            <w:vAlign w:val="center"/>
          </w:tcPr>
          <w:p>
            <w:pPr>
              <w:pStyle w:val="TableContents"/>
              <w:bidi w:val="0"/>
              <w:spacing w:before="0" w:after="283"/>
              <w:jc w:val="right"/>
              <w:rPr/>
            </w:pPr>
            <w:r>
              <w:rPr/>
              <w:t>7.1(d)</w:t>
            </w:r>
          </w:p>
        </w:tc>
      </w:tr>
      <w:tr>
        <w:trPr/>
        <w:tc>
          <w:tcPr>
            <w:tcW w:w="3215" w:type="dxa"/>
            <w:tcBorders/>
            <w:vAlign w:val="center"/>
          </w:tcPr>
          <w:p>
            <w:pPr>
              <w:pStyle w:val="TableContents"/>
              <w:bidi w:val="0"/>
              <w:spacing w:before="0" w:after="283"/>
              <w:jc w:val="left"/>
              <w:rPr/>
            </w:pPr>
            <w:r>
              <w:rPr/>
              <w:t>CA</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CAL</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CCAA</w:t>
            </w:r>
          </w:p>
        </w:tc>
        <w:tc>
          <w:tcPr>
            <w:tcW w:w="905" w:type="dxa"/>
            <w:tcBorders/>
            <w:vAlign w:val="center"/>
          </w:tcPr>
          <w:p>
            <w:pPr>
              <w:pStyle w:val="TableContents"/>
              <w:bidi w:val="0"/>
              <w:spacing w:before="0" w:after="283"/>
              <w:jc w:val="right"/>
              <w:rPr/>
            </w:pPr>
            <w:r>
              <w:rPr/>
              <w:t>Recitals</w:t>
            </w:r>
          </w:p>
        </w:tc>
      </w:tr>
      <w:tr>
        <w:trPr/>
        <w:tc>
          <w:tcPr>
            <w:tcW w:w="3215" w:type="dxa"/>
            <w:tcBorders/>
            <w:vAlign w:val="center"/>
          </w:tcPr>
          <w:p>
            <w:pPr>
              <w:pStyle w:val="TableContents"/>
              <w:bidi w:val="0"/>
              <w:spacing w:before="0" w:after="283"/>
              <w:jc w:val="left"/>
              <w:rPr/>
            </w:pPr>
            <w:r>
              <w:rPr/>
              <w:t>CCO</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CCOH</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Closing</w:t>
            </w:r>
          </w:p>
        </w:tc>
        <w:tc>
          <w:tcPr>
            <w:tcW w:w="905" w:type="dxa"/>
            <w:tcBorders/>
            <w:vAlign w:val="center"/>
          </w:tcPr>
          <w:p>
            <w:pPr>
              <w:pStyle w:val="TableContents"/>
              <w:bidi w:val="0"/>
              <w:spacing w:before="0" w:after="283"/>
              <w:jc w:val="right"/>
              <w:rPr/>
            </w:pPr>
            <w:r>
              <w:rPr/>
              <w:t>2.6(a)</w:t>
            </w:r>
          </w:p>
        </w:tc>
      </w:tr>
      <w:tr>
        <w:trPr/>
        <w:tc>
          <w:tcPr>
            <w:tcW w:w="3215" w:type="dxa"/>
            <w:tcBorders/>
            <w:vAlign w:val="center"/>
          </w:tcPr>
          <w:p>
            <w:pPr>
              <w:pStyle w:val="TableContents"/>
              <w:bidi w:val="0"/>
              <w:spacing w:before="0" w:after="283"/>
              <w:jc w:val="left"/>
              <w:rPr/>
            </w:pPr>
            <w:r>
              <w:rPr/>
              <w:t>Closing Date</w:t>
            </w:r>
          </w:p>
        </w:tc>
        <w:tc>
          <w:tcPr>
            <w:tcW w:w="905" w:type="dxa"/>
            <w:tcBorders/>
            <w:vAlign w:val="center"/>
          </w:tcPr>
          <w:p>
            <w:pPr>
              <w:pStyle w:val="TableContents"/>
              <w:bidi w:val="0"/>
              <w:spacing w:before="0" w:after="283"/>
              <w:jc w:val="right"/>
              <w:rPr/>
            </w:pPr>
            <w:r>
              <w:rPr/>
              <w:t>2.6(a)</w:t>
            </w:r>
          </w:p>
        </w:tc>
      </w:tr>
      <w:tr>
        <w:trPr/>
        <w:tc>
          <w:tcPr>
            <w:tcW w:w="3215" w:type="dxa"/>
            <w:tcBorders/>
            <w:vAlign w:val="center"/>
          </w:tcPr>
          <w:p>
            <w:pPr>
              <w:pStyle w:val="TableContents"/>
              <w:bidi w:val="0"/>
              <w:spacing w:before="0" w:after="283"/>
              <w:jc w:val="left"/>
              <w:rPr/>
            </w:pPr>
            <w:r>
              <w:rPr/>
              <w:t>Closing Item</w:t>
            </w:r>
          </w:p>
        </w:tc>
        <w:tc>
          <w:tcPr>
            <w:tcW w:w="905" w:type="dxa"/>
            <w:tcBorders/>
            <w:vAlign w:val="center"/>
          </w:tcPr>
          <w:p>
            <w:pPr>
              <w:pStyle w:val="TableContents"/>
              <w:bidi w:val="0"/>
              <w:spacing w:before="0" w:after="283"/>
              <w:jc w:val="right"/>
              <w:rPr/>
            </w:pPr>
            <w:r>
              <w:rPr/>
              <w:t>2.5(a)</w:t>
            </w:r>
          </w:p>
        </w:tc>
      </w:tr>
      <w:tr>
        <w:trPr/>
        <w:tc>
          <w:tcPr>
            <w:tcW w:w="3215" w:type="dxa"/>
            <w:tcBorders/>
            <w:vAlign w:val="center"/>
          </w:tcPr>
          <w:p>
            <w:pPr>
              <w:pStyle w:val="TableContents"/>
              <w:bidi w:val="0"/>
              <w:spacing w:before="0" w:after="283"/>
              <w:jc w:val="left"/>
              <w:rPr/>
            </w:pPr>
            <w:r>
              <w:rPr/>
              <w:t>Closing Statement</w:t>
            </w:r>
          </w:p>
        </w:tc>
        <w:tc>
          <w:tcPr>
            <w:tcW w:w="905" w:type="dxa"/>
            <w:tcBorders/>
            <w:vAlign w:val="center"/>
          </w:tcPr>
          <w:p>
            <w:pPr>
              <w:pStyle w:val="TableContents"/>
              <w:bidi w:val="0"/>
              <w:spacing w:before="0" w:after="283"/>
              <w:jc w:val="right"/>
              <w:rPr/>
            </w:pPr>
            <w:r>
              <w:rPr/>
              <w:t>2.5(a)</w:t>
            </w:r>
          </w:p>
        </w:tc>
      </w:tr>
      <w:tr>
        <w:trPr/>
        <w:tc>
          <w:tcPr>
            <w:tcW w:w="3215" w:type="dxa"/>
            <w:tcBorders/>
            <w:vAlign w:val="center"/>
          </w:tcPr>
          <w:p>
            <w:pPr>
              <w:pStyle w:val="TableContents"/>
              <w:bidi w:val="0"/>
              <w:spacing w:before="0" w:after="283"/>
              <w:jc w:val="left"/>
              <w:rPr/>
            </w:pPr>
            <w:r>
              <w:rPr/>
              <w:t>COBRA</w:t>
            </w:r>
          </w:p>
        </w:tc>
        <w:tc>
          <w:tcPr>
            <w:tcW w:w="905" w:type="dxa"/>
            <w:tcBorders/>
            <w:vAlign w:val="center"/>
          </w:tcPr>
          <w:p>
            <w:pPr>
              <w:pStyle w:val="TableContents"/>
              <w:bidi w:val="0"/>
              <w:spacing w:before="0" w:after="283"/>
              <w:jc w:val="right"/>
              <w:rPr/>
            </w:pPr>
            <w:r>
              <w:rPr/>
              <w:t>3.14(b)</w:t>
            </w:r>
          </w:p>
        </w:tc>
      </w:tr>
      <w:tr>
        <w:trPr/>
        <w:tc>
          <w:tcPr>
            <w:tcW w:w="3215" w:type="dxa"/>
            <w:tcBorders/>
            <w:vAlign w:val="center"/>
          </w:tcPr>
          <w:p>
            <w:pPr>
              <w:pStyle w:val="TableContents"/>
              <w:bidi w:val="0"/>
              <w:spacing w:before="0" w:after="283"/>
              <w:jc w:val="left"/>
              <w:rPr/>
            </w:pPr>
            <w:r>
              <w:rPr/>
              <w:t>Company</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Company Employee Benefit Plan</w:t>
            </w:r>
          </w:p>
        </w:tc>
        <w:tc>
          <w:tcPr>
            <w:tcW w:w="905" w:type="dxa"/>
            <w:tcBorders/>
            <w:vAlign w:val="center"/>
          </w:tcPr>
          <w:p>
            <w:pPr>
              <w:pStyle w:val="TableContents"/>
              <w:bidi w:val="0"/>
              <w:spacing w:before="0" w:after="283"/>
              <w:jc w:val="right"/>
              <w:rPr/>
            </w:pPr>
            <w:r>
              <w:rPr/>
              <w:t>3.14(a)</w:t>
            </w:r>
          </w:p>
        </w:tc>
      </w:tr>
      <w:tr>
        <w:trPr/>
        <w:tc>
          <w:tcPr>
            <w:tcW w:w="3215" w:type="dxa"/>
            <w:tcBorders/>
            <w:vAlign w:val="center"/>
          </w:tcPr>
          <w:p>
            <w:pPr>
              <w:pStyle w:val="TableContents"/>
              <w:bidi w:val="0"/>
              <w:spacing w:before="0" w:after="283"/>
              <w:jc w:val="left"/>
              <w:rPr/>
            </w:pPr>
            <w:r>
              <w:rPr/>
              <w:t>Company Governing Documents</w:t>
            </w:r>
          </w:p>
        </w:tc>
        <w:tc>
          <w:tcPr>
            <w:tcW w:w="905" w:type="dxa"/>
            <w:tcBorders/>
            <w:vAlign w:val="center"/>
          </w:tcPr>
          <w:p>
            <w:pPr>
              <w:pStyle w:val="TableContents"/>
              <w:bidi w:val="0"/>
              <w:spacing w:before="0" w:after="283"/>
              <w:jc w:val="right"/>
              <w:rPr/>
            </w:pPr>
            <w:r>
              <w:rPr/>
              <w:t>3.1</w:t>
            </w:r>
          </w:p>
        </w:tc>
      </w:tr>
      <w:tr>
        <w:trPr/>
        <w:tc>
          <w:tcPr>
            <w:tcW w:w="3215" w:type="dxa"/>
            <w:tcBorders/>
            <w:vAlign w:val="center"/>
          </w:tcPr>
          <w:p>
            <w:pPr>
              <w:pStyle w:val="TableContents"/>
              <w:bidi w:val="0"/>
              <w:spacing w:before="0" w:after="283"/>
              <w:jc w:val="left"/>
              <w:rPr/>
            </w:pPr>
            <w:r>
              <w:rPr/>
              <w:t>Contracting Parties</w:t>
            </w:r>
          </w:p>
        </w:tc>
        <w:tc>
          <w:tcPr>
            <w:tcW w:w="905" w:type="dxa"/>
            <w:tcBorders/>
            <w:vAlign w:val="center"/>
          </w:tcPr>
          <w:p>
            <w:pPr>
              <w:pStyle w:val="TableContents"/>
              <w:bidi w:val="0"/>
              <w:spacing w:before="0" w:after="283"/>
              <w:jc w:val="right"/>
              <w:rPr/>
            </w:pPr>
            <w:r>
              <w:rPr/>
              <w:t>9.14</w:t>
            </w:r>
          </w:p>
        </w:tc>
      </w:tr>
      <w:tr>
        <w:trPr/>
        <w:tc>
          <w:tcPr>
            <w:tcW w:w="3215" w:type="dxa"/>
            <w:tcBorders/>
            <w:vAlign w:val="center"/>
          </w:tcPr>
          <w:p>
            <w:pPr>
              <w:pStyle w:val="TableContents"/>
              <w:bidi w:val="0"/>
              <w:spacing w:before="0" w:after="283"/>
              <w:jc w:val="left"/>
              <w:rPr/>
            </w:pPr>
            <w:r>
              <w:rPr/>
              <w:t>CSA</w:t>
            </w:r>
          </w:p>
        </w:tc>
        <w:tc>
          <w:tcPr>
            <w:tcW w:w="905" w:type="dxa"/>
            <w:tcBorders/>
            <w:vAlign w:val="center"/>
          </w:tcPr>
          <w:p>
            <w:pPr>
              <w:pStyle w:val="TableContents"/>
              <w:bidi w:val="0"/>
              <w:spacing w:before="0" w:after="283"/>
              <w:jc w:val="right"/>
              <w:rPr/>
            </w:pPr>
            <w:r>
              <w:rPr/>
              <w:t>9.12</w:t>
            </w:r>
          </w:p>
        </w:tc>
      </w:tr>
      <w:tr>
        <w:trPr/>
        <w:tc>
          <w:tcPr>
            <w:tcW w:w="3215" w:type="dxa"/>
            <w:tcBorders/>
            <w:vAlign w:val="center"/>
          </w:tcPr>
          <w:p>
            <w:pPr>
              <w:pStyle w:val="TableContents"/>
              <w:bidi w:val="0"/>
              <w:spacing w:before="0" w:after="283"/>
              <w:jc w:val="left"/>
              <w:rPr/>
            </w:pPr>
            <w:r>
              <w:rPr/>
              <w:t>CV</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Designation Deadline</w:t>
            </w:r>
          </w:p>
        </w:tc>
        <w:tc>
          <w:tcPr>
            <w:tcW w:w="905" w:type="dxa"/>
            <w:tcBorders/>
            <w:vAlign w:val="center"/>
          </w:tcPr>
          <w:p>
            <w:pPr>
              <w:pStyle w:val="TableContents"/>
              <w:bidi w:val="0"/>
              <w:spacing w:before="0" w:after="283"/>
              <w:jc w:val="right"/>
              <w:rPr/>
            </w:pPr>
            <w:r>
              <w:rPr/>
              <w:t>5.12</w:t>
            </w:r>
          </w:p>
        </w:tc>
      </w:tr>
      <w:tr>
        <w:trPr/>
        <w:tc>
          <w:tcPr>
            <w:tcW w:w="3215" w:type="dxa"/>
            <w:tcBorders/>
            <w:vAlign w:val="center"/>
          </w:tcPr>
          <w:p>
            <w:pPr>
              <w:pStyle w:val="TableContents"/>
              <w:bidi w:val="0"/>
              <w:spacing w:before="0" w:after="283"/>
              <w:jc w:val="left"/>
              <w:rPr/>
            </w:pPr>
            <w:r>
              <w:rPr/>
              <w:t>Employer</w:t>
            </w:r>
          </w:p>
        </w:tc>
        <w:tc>
          <w:tcPr>
            <w:tcW w:w="905" w:type="dxa"/>
            <w:tcBorders/>
            <w:vAlign w:val="center"/>
          </w:tcPr>
          <w:p>
            <w:pPr>
              <w:pStyle w:val="TableContents"/>
              <w:bidi w:val="0"/>
              <w:spacing w:before="0" w:after="283"/>
              <w:jc w:val="right"/>
              <w:rPr/>
            </w:pPr>
            <w:r>
              <w:rPr/>
              <w:t>5.5(a)</w:t>
            </w:r>
          </w:p>
        </w:tc>
      </w:tr>
      <w:tr>
        <w:trPr/>
        <w:tc>
          <w:tcPr>
            <w:tcW w:w="3215" w:type="dxa"/>
            <w:tcBorders/>
            <w:vAlign w:val="center"/>
          </w:tcPr>
          <w:p>
            <w:pPr>
              <w:pStyle w:val="TableContents"/>
              <w:bidi w:val="0"/>
              <w:spacing w:before="0" w:after="283"/>
              <w:jc w:val="left"/>
              <w:rPr/>
            </w:pPr>
            <w:r>
              <w:rPr/>
              <w:t>Employment Terms</w:t>
            </w:r>
          </w:p>
        </w:tc>
        <w:tc>
          <w:tcPr>
            <w:tcW w:w="905" w:type="dxa"/>
            <w:tcBorders/>
            <w:vAlign w:val="center"/>
          </w:tcPr>
          <w:p>
            <w:pPr>
              <w:pStyle w:val="TableContents"/>
              <w:bidi w:val="0"/>
              <w:spacing w:before="0" w:after="283"/>
              <w:jc w:val="right"/>
              <w:rPr/>
            </w:pPr>
            <w:r>
              <w:rPr/>
              <w:t>5.5(a)</w:t>
            </w:r>
          </w:p>
        </w:tc>
      </w:tr>
      <w:tr>
        <w:trPr/>
        <w:tc>
          <w:tcPr>
            <w:tcW w:w="3215" w:type="dxa"/>
            <w:tcBorders/>
            <w:vAlign w:val="center"/>
          </w:tcPr>
          <w:p>
            <w:pPr>
              <w:pStyle w:val="TableContents"/>
              <w:bidi w:val="0"/>
              <w:spacing w:before="0" w:after="283"/>
              <w:jc w:val="left"/>
              <w:rPr/>
            </w:pPr>
            <w:r>
              <w:rPr/>
              <w:t>Estimated Cash</w:t>
            </w:r>
          </w:p>
        </w:tc>
        <w:tc>
          <w:tcPr>
            <w:tcW w:w="905" w:type="dxa"/>
            <w:tcBorders/>
            <w:vAlign w:val="center"/>
          </w:tcPr>
          <w:p>
            <w:pPr>
              <w:pStyle w:val="TableContents"/>
              <w:bidi w:val="0"/>
              <w:spacing w:before="0" w:after="283"/>
              <w:jc w:val="right"/>
              <w:rPr/>
            </w:pPr>
            <w:r>
              <w:rPr/>
              <w:t>2.4</w:t>
            </w:r>
          </w:p>
        </w:tc>
      </w:tr>
      <w:tr>
        <w:trPr/>
        <w:tc>
          <w:tcPr>
            <w:tcW w:w="3215" w:type="dxa"/>
            <w:tcBorders/>
            <w:vAlign w:val="center"/>
          </w:tcPr>
          <w:p>
            <w:pPr>
              <w:pStyle w:val="TableContents"/>
              <w:bidi w:val="0"/>
              <w:spacing w:before="0" w:after="283"/>
              <w:jc w:val="left"/>
              <w:rPr/>
            </w:pPr>
            <w:r>
              <w:rPr/>
              <w:t>Estimated Closing Statement</w:t>
            </w:r>
          </w:p>
        </w:tc>
        <w:tc>
          <w:tcPr>
            <w:tcW w:w="905" w:type="dxa"/>
            <w:tcBorders/>
            <w:vAlign w:val="center"/>
          </w:tcPr>
          <w:p>
            <w:pPr>
              <w:pStyle w:val="TableContents"/>
              <w:bidi w:val="0"/>
              <w:spacing w:before="0" w:after="283"/>
              <w:jc w:val="right"/>
              <w:rPr/>
            </w:pPr>
            <w:r>
              <w:rPr/>
              <w:t>2.4</w:t>
            </w:r>
          </w:p>
        </w:tc>
      </w:tr>
      <w:tr>
        <w:trPr/>
        <w:tc>
          <w:tcPr>
            <w:tcW w:w="3215" w:type="dxa"/>
            <w:tcBorders/>
            <w:vAlign w:val="center"/>
          </w:tcPr>
          <w:p>
            <w:pPr>
              <w:pStyle w:val="TableContents"/>
              <w:bidi w:val="0"/>
              <w:spacing w:before="0" w:after="283"/>
              <w:jc w:val="left"/>
              <w:rPr/>
            </w:pPr>
            <w:r>
              <w:rPr/>
              <w:t>Estimated Working Capital</w:t>
            </w:r>
          </w:p>
        </w:tc>
        <w:tc>
          <w:tcPr>
            <w:tcW w:w="905" w:type="dxa"/>
            <w:tcBorders/>
            <w:vAlign w:val="center"/>
          </w:tcPr>
          <w:p>
            <w:pPr>
              <w:pStyle w:val="TableContents"/>
              <w:bidi w:val="0"/>
              <w:spacing w:before="0" w:after="283"/>
              <w:jc w:val="right"/>
              <w:rPr/>
            </w:pPr>
            <w:r>
              <w:rPr/>
              <w:t>2.4</w:t>
            </w:r>
          </w:p>
        </w:tc>
      </w:tr>
      <w:tr>
        <w:trPr/>
        <w:tc>
          <w:tcPr>
            <w:tcW w:w="3215" w:type="dxa"/>
            <w:tcBorders/>
            <w:vAlign w:val="center"/>
          </w:tcPr>
          <w:p>
            <w:pPr>
              <w:pStyle w:val="TableContents"/>
              <w:bidi w:val="0"/>
              <w:spacing w:before="0" w:after="283"/>
              <w:jc w:val="left"/>
              <w:rPr/>
            </w:pPr>
            <w:r>
              <w:rPr/>
              <w:t>Excess Amount</w:t>
            </w:r>
          </w:p>
        </w:tc>
        <w:tc>
          <w:tcPr>
            <w:tcW w:w="905" w:type="dxa"/>
            <w:tcBorders/>
            <w:vAlign w:val="center"/>
          </w:tcPr>
          <w:p>
            <w:pPr>
              <w:pStyle w:val="TableContents"/>
              <w:bidi w:val="0"/>
              <w:spacing w:before="0" w:after="283"/>
              <w:jc w:val="right"/>
              <w:rPr/>
            </w:pPr>
            <w:r>
              <w:rPr/>
              <w:t>2.5(c)</w:t>
            </w:r>
          </w:p>
        </w:tc>
      </w:tr>
      <w:tr>
        <w:trPr/>
        <w:tc>
          <w:tcPr>
            <w:tcW w:w="3215" w:type="dxa"/>
            <w:tcBorders/>
            <w:vAlign w:val="center"/>
          </w:tcPr>
          <w:p>
            <w:pPr>
              <w:pStyle w:val="TableContents"/>
              <w:bidi w:val="0"/>
              <w:spacing w:before="0" w:after="283"/>
              <w:jc w:val="left"/>
              <w:rPr/>
            </w:pPr>
            <w:r>
              <w:rPr/>
              <w:t>Excluded Federal Claim</w:t>
            </w:r>
          </w:p>
        </w:tc>
        <w:tc>
          <w:tcPr>
            <w:tcW w:w="905" w:type="dxa"/>
            <w:tcBorders/>
            <w:vAlign w:val="center"/>
          </w:tcPr>
          <w:p>
            <w:pPr>
              <w:pStyle w:val="TableContents"/>
              <w:bidi w:val="0"/>
              <w:spacing w:before="0" w:after="283"/>
              <w:jc w:val="right"/>
              <w:rPr/>
            </w:pPr>
            <w:r>
              <w:rPr/>
              <w:t>9.12</w:t>
            </w:r>
          </w:p>
        </w:tc>
      </w:tr>
      <w:tr>
        <w:trPr/>
        <w:tc>
          <w:tcPr>
            <w:tcW w:w="3215" w:type="dxa"/>
            <w:tcBorders/>
            <w:vAlign w:val="center"/>
          </w:tcPr>
          <w:p>
            <w:pPr>
              <w:pStyle w:val="TableContents"/>
              <w:bidi w:val="0"/>
              <w:spacing w:before="0" w:after="283"/>
              <w:jc w:val="left"/>
              <w:rPr/>
            </w:pPr>
            <w:r>
              <w:rPr/>
              <w:t>Final Cash</w:t>
            </w:r>
          </w:p>
        </w:tc>
        <w:tc>
          <w:tcPr>
            <w:tcW w:w="905" w:type="dxa"/>
            <w:tcBorders/>
            <w:vAlign w:val="center"/>
          </w:tcPr>
          <w:p>
            <w:pPr>
              <w:pStyle w:val="TableContents"/>
              <w:bidi w:val="0"/>
              <w:spacing w:before="0" w:after="283"/>
              <w:jc w:val="right"/>
              <w:rPr/>
            </w:pPr>
            <w:r>
              <w:rPr/>
              <w:t>2.5(a)</w:t>
            </w:r>
          </w:p>
        </w:tc>
      </w:tr>
      <w:tr>
        <w:trPr/>
        <w:tc>
          <w:tcPr>
            <w:tcW w:w="3215" w:type="dxa"/>
            <w:tcBorders/>
            <w:vAlign w:val="center"/>
          </w:tcPr>
          <w:p>
            <w:pPr>
              <w:pStyle w:val="TableContents"/>
              <w:bidi w:val="0"/>
              <w:spacing w:before="0" w:after="283"/>
              <w:jc w:val="left"/>
              <w:rPr/>
            </w:pPr>
            <w:r>
              <w:rPr/>
              <w:t>Final Working Capital</w:t>
            </w:r>
          </w:p>
        </w:tc>
        <w:tc>
          <w:tcPr>
            <w:tcW w:w="905" w:type="dxa"/>
            <w:tcBorders/>
            <w:vAlign w:val="center"/>
          </w:tcPr>
          <w:p>
            <w:pPr>
              <w:pStyle w:val="TableContents"/>
              <w:bidi w:val="0"/>
              <w:spacing w:before="0" w:after="283"/>
              <w:jc w:val="right"/>
              <w:rPr/>
            </w:pPr>
            <w:r>
              <w:rPr/>
              <w:t>2.5(a)</w:t>
            </w:r>
          </w:p>
        </w:tc>
      </w:tr>
      <w:tr>
        <w:trPr/>
        <w:tc>
          <w:tcPr>
            <w:tcW w:w="3215" w:type="dxa"/>
            <w:tcBorders/>
            <w:vAlign w:val="center"/>
          </w:tcPr>
          <w:p>
            <w:pPr>
              <w:pStyle w:val="TableContents"/>
              <w:bidi w:val="0"/>
              <w:spacing w:before="0" w:after="283"/>
              <w:jc w:val="left"/>
              <w:rPr/>
            </w:pPr>
            <w:r>
              <w:rPr/>
              <w:t>Financial Statements</w:t>
            </w:r>
          </w:p>
        </w:tc>
        <w:tc>
          <w:tcPr>
            <w:tcW w:w="905" w:type="dxa"/>
            <w:tcBorders/>
            <w:vAlign w:val="center"/>
          </w:tcPr>
          <w:p>
            <w:pPr>
              <w:pStyle w:val="TableContents"/>
              <w:bidi w:val="0"/>
              <w:spacing w:before="0" w:after="283"/>
              <w:jc w:val="right"/>
              <w:rPr/>
            </w:pPr>
            <w:r>
              <w:rPr/>
              <w:t>3.4(a)</w:t>
            </w:r>
          </w:p>
        </w:tc>
      </w:tr>
      <w:tr>
        <w:trPr/>
        <w:tc>
          <w:tcPr>
            <w:tcW w:w="3215" w:type="dxa"/>
            <w:tcBorders/>
            <w:vAlign w:val="center"/>
          </w:tcPr>
          <w:p>
            <w:pPr>
              <w:pStyle w:val="TableContents"/>
              <w:bidi w:val="0"/>
              <w:spacing w:before="0" w:after="283"/>
              <w:jc w:val="left"/>
              <w:rPr/>
            </w:pPr>
            <w:r>
              <w:rPr/>
              <w:t>Initial Closing</w:t>
            </w:r>
          </w:p>
        </w:tc>
        <w:tc>
          <w:tcPr>
            <w:tcW w:w="905" w:type="dxa"/>
            <w:tcBorders/>
            <w:vAlign w:val="center"/>
          </w:tcPr>
          <w:p>
            <w:pPr>
              <w:pStyle w:val="TableContents"/>
              <w:bidi w:val="0"/>
              <w:spacing w:before="0" w:after="283"/>
              <w:jc w:val="right"/>
              <w:rPr/>
            </w:pPr>
            <w:r>
              <w:rPr/>
              <w:t>2.6(d)</w:t>
            </w:r>
          </w:p>
        </w:tc>
      </w:tr>
      <w:tr>
        <w:trPr/>
        <w:tc>
          <w:tcPr>
            <w:tcW w:w="3215" w:type="dxa"/>
            <w:tcBorders/>
            <w:vAlign w:val="center"/>
          </w:tcPr>
          <w:p>
            <w:pPr>
              <w:pStyle w:val="TableContents"/>
              <w:bidi w:val="0"/>
              <w:spacing w:before="0" w:after="283"/>
              <w:jc w:val="left"/>
              <w:rPr/>
            </w:pPr>
            <w:r>
              <w:rPr/>
              <w:t>IRS</w:t>
            </w:r>
          </w:p>
        </w:tc>
        <w:tc>
          <w:tcPr>
            <w:tcW w:w="905" w:type="dxa"/>
            <w:tcBorders/>
            <w:vAlign w:val="center"/>
          </w:tcPr>
          <w:p>
            <w:pPr>
              <w:pStyle w:val="TableContents"/>
              <w:bidi w:val="0"/>
              <w:spacing w:before="0" w:after="283"/>
              <w:jc w:val="right"/>
              <w:rPr/>
            </w:pPr>
            <w:r>
              <w:rPr/>
              <w:t>3.14(a)</w:t>
            </w:r>
          </w:p>
        </w:tc>
      </w:tr>
      <w:tr>
        <w:trPr/>
        <w:tc>
          <w:tcPr>
            <w:tcW w:w="3215" w:type="dxa"/>
            <w:tcBorders/>
            <w:vAlign w:val="center"/>
          </w:tcPr>
          <w:p>
            <w:pPr>
              <w:pStyle w:val="TableContents"/>
              <w:bidi w:val="0"/>
              <w:spacing w:before="0" w:after="283"/>
              <w:jc w:val="left"/>
              <w:rPr/>
            </w:pPr>
            <w:r>
              <w:rPr/>
              <w:t>Latest Balance Sheet</w:t>
            </w:r>
          </w:p>
        </w:tc>
        <w:tc>
          <w:tcPr>
            <w:tcW w:w="905" w:type="dxa"/>
            <w:tcBorders/>
            <w:vAlign w:val="center"/>
          </w:tcPr>
          <w:p>
            <w:pPr>
              <w:pStyle w:val="TableContents"/>
              <w:bidi w:val="0"/>
              <w:spacing w:before="0" w:after="283"/>
              <w:jc w:val="right"/>
              <w:rPr/>
            </w:pPr>
            <w:r>
              <w:rPr/>
              <w:t>3.4(a)</w:t>
            </w:r>
          </w:p>
        </w:tc>
      </w:tr>
      <w:tr>
        <w:trPr/>
        <w:tc>
          <w:tcPr>
            <w:tcW w:w="3215" w:type="dxa"/>
            <w:tcBorders/>
            <w:vAlign w:val="center"/>
          </w:tcPr>
          <w:p>
            <w:pPr>
              <w:pStyle w:val="TableContents"/>
              <w:bidi w:val="0"/>
              <w:spacing w:before="0" w:after="283"/>
              <w:jc w:val="left"/>
              <w:rPr/>
            </w:pPr>
            <w:r>
              <w:rPr/>
              <w:t>Lien Releases</w:t>
            </w:r>
          </w:p>
        </w:tc>
        <w:tc>
          <w:tcPr>
            <w:tcW w:w="905" w:type="dxa"/>
            <w:tcBorders/>
            <w:vAlign w:val="center"/>
          </w:tcPr>
          <w:p>
            <w:pPr>
              <w:pStyle w:val="TableContents"/>
              <w:bidi w:val="0"/>
              <w:spacing w:before="0" w:after="283"/>
              <w:jc w:val="right"/>
              <w:rPr/>
            </w:pPr>
            <w:r>
              <w:rPr/>
              <w:t>2.5(b)(ii)</w:t>
            </w:r>
          </w:p>
        </w:tc>
      </w:tr>
      <w:tr>
        <w:trPr/>
        <w:tc>
          <w:tcPr>
            <w:tcW w:w="3215" w:type="dxa"/>
            <w:tcBorders/>
            <w:vAlign w:val="center"/>
          </w:tcPr>
          <w:p>
            <w:pPr>
              <w:pStyle w:val="TableContents"/>
              <w:bidi w:val="0"/>
              <w:spacing w:before="0" w:after="283"/>
              <w:jc w:val="left"/>
              <w:rPr/>
            </w:pPr>
            <w:r>
              <w:rPr/>
              <w:t>Marijuana Permits</w:t>
            </w:r>
          </w:p>
        </w:tc>
        <w:tc>
          <w:tcPr>
            <w:tcW w:w="905" w:type="dxa"/>
            <w:tcBorders/>
            <w:vAlign w:val="center"/>
          </w:tcPr>
          <w:p>
            <w:pPr>
              <w:pStyle w:val="TableContents"/>
              <w:bidi w:val="0"/>
              <w:spacing w:before="0" w:after="283"/>
              <w:jc w:val="right"/>
              <w:rPr/>
            </w:pPr>
            <w:r>
              <w:rPr/>
              <w:t>3.16(d)</w:t>
            </w:r>
          </w:p>
        </w:tc>
      </w:tr>
      <w:tr>
        <w:trPr/>
        <w:tc>
          <w:tcPr>
            <w:tcW w:w="3215" w:type="dxa"/>
            <w:tcBorders/>
            <w:vAlign w:val="center"/>
          </w:tcPr>
          <w:p>
            <w:pPr>
              <w:pStyle w:val="TableContents"/>
              <w:bidi w:val="0"/>
              <w:spacing w:before="0" w:after="283"/>
              <w:jc w:val="left"/>
              <w:rPr/>
            </w:pPr>
            <w:r>
              <w:rPr/>
              <w:t>Material Contract</w:t>
            </w:r>
          </w:p>
        </w:tc>
        <w:tc>
          <w:tcPr>
            <w:tcW w:w="905" w:type="dxa"/>
            <w:tcBorders/>
            <w:vAlign w:val="center"/>
          </w:tcPr>
          <w:p>
            <w:pPr>
              <w:pStyle w:val="TableContents"/>
              <w:bidi w:val="0"/>
              <w:spacing w:before="0" w:after="283"/>
              <w:jc w:val="right"/>
              <w:rPr/>
            </w:pPr>
            <w:r>
              <w:rPr/>
              <w:t>3.9(b)</w:t>
            </w:r>
          </w:p>
        </w:tc>
      </w:tr>
      <w:tr>
        <w:trPr/>
        <w:tc>
          <w:tcPr>
            <w:tcW w:w="3215" w:type="dxa"/>
            <w:tcBorders/>
            <w:vAlign w:val="center"/>
          </w:tcPr>
          <w:p>
            <w:pPr>
              <w:pStyle w:val="TableContents"/>
              <w:bidi w:val="0"/>
              <w:spacing w:before="0" w:after="283"/>
              <w:jc w:val="left"/>
              <w:rPr/>
            </w:pPr>
            <w:r>
              <w:rPr/>
              <w:t>Member</w:t>
            </w:r>
          </w:p>
        </w:tc>
        <w:tc>
          <w:tcPr>
            <w:tcW w:w="905" w:type="dxa"/>
            <w:tcBorders/>
            <w:vAlign w:val="center"/>
          </w:tcPr>
          <w:p>
            <w:pPr>
              <w:pStyle w:val="TableContents"/>
              <w:bidi w:val="0"/>
              <w:spacing w:before="0" w:after="283"/>
              <w:jc w:val="right"/>
              <w:rPr/>
            </w:pPr>
            <w:r>
              <w:rPr/>
              <w:t>preamble</w:t>
            </w:r>
          </w:p>
        </w:tc>
      </w:tr>
      <w:tr>
        <w:trPr/>
        <w:tc>
          <w:tcPr>
            <w:tcW w:w="3215" w:type="dxa"/>
            <w:tcBorders/>
            <w:vAlign w:val="center"/>
          </w:tcPr>
          <w:p>
            <w:pPr>
              <w:pStyle w:val="TableContents"/>
              <w:bidi w:val="0"/>
              <w:spacing w:before="0" w:after="283"/>
              <w:jc w:val="left"/>
              <w:rPr/>
            </w:pPr>
            <w:r>
              <w:rPr/>
              <w:t>Member Prepared Returns</w:t>
            </w:r>
          </w:p>
        </w:tc>
        <w:tc>
          <w:tcPr>
            <w:tcW w:w="905" w:type="dxa"/>
            <w:tcBorders/>
            <w:vAlign w:val="center"/>
          </w:tcPr>
          <w:p>
            <w:pPr>
              <w:pStyle w:val="TableContents"/>
              <w:bidi w:val="0"/>
              <w:spacing w:before="0" w:after="283"/>
              <w:jc w:val="right"/>
              <w:rPr/>
            </w:pPr>
            <w:r>
              <w:rPr/>
              <w:t>6.2(a)(i)</w:t>
            </w:r>
          </w:p>
        </w:tc>
      </w:tr>
      <w:tr>
        <w:trPr/>
        <w:tc>
          <w:tcPr>
            <w:tcW w:w="3215" w:type="dxa"/>
            <w:tcBorders/>
            <w:vAlign w:val="center"/>
          </w:tcPr>
          <w:p>
            <w:pPr>
              <w:pStyle w:val="TableContents"/>
              <w:bidi w:val="0"/>
              <w:spacing w:before="0" w:after="283"/>
              <w:jc w:val="left"/>
              <w:rPr/>
            </w:pPr>
            <w:r>
              <w:rPr/>
              <w:t>Minimum Cash Deficit</w:t>
            </w:r>
          </w:p>
        </w:tc>
        <w:tc>
          <w:tcPr>
            <w:tcW w:w="905" w:type="dxa"/>
            <w:tcBorders/>
            <w:vAlign w:val="center"/>
          </w:tcPr>
          <w:p>
            <w:pPr>
              <w:pStyle w:val="TableContents"/>
              <w:bidi w:val="0"/>
              <w:spacing w:before="0" w:after="283"/>
              <w:jc w:val="right"/>
              <w:rPr/>
            </w:pPr>
            <w:r>
              <w:rPr/>
              <w:t>5.6</w:t>
            </w:r>
          </w:p>
        </w:tc>
      </w:tr>
      <w:tr>
        <w:trPr/>
        <w:tc>
          <w:tcPr>
            <w:tcW w:w="3215" w:type="dxa"/>
            <w:tcBorders/>
            <w:vAlign w:val="center"/>
          </w:tcPr>
          <w:p>
            <w:pPr>
              <w:pStyle w:val="TableContents"/>
              <w:bidi w:val="0"/>
              <w:spacing w:before="0" w:after="283"/>
              <w:jc w:val="left"/>
              <w:rPr/>
            </w:pPr>
            <w:r>
              <w:rPr/>
              <w:t>Nonparty Affiliates</w:t>
            </w:r>
          </w:p>
        </w:tc>
        <w:tc>
          <w:tcPr>
            <w:tcW w:w="905" w:type="dxa"/>
            <w:tcBorders/>
            <w:vAlign w:val="center"/>
          </w:tcPr>
          <w:p>
            <w:pPr>
              <w:pStyle w:val="TableContents"/>
              <w:bidi w:val="0"/>
              <w:spacing w:before="0" w:after="283"/>
              <w:jc w:val="right"/>
              <w:rPr/>
            </w:pPr>
            <w:r>
              <w:rPr/>
              <w:t>9.14</w:t>
            </w:r>
          </w:p>
        </w:tc>
      </w:tr>
      <w:tr>
        <w:trPr/>
        <w:tc>
          <w:tcPr>
            <w:tcW w:w="3215" w:type="dxa"/>
            <w:tcBorders/>
            <w:vAlign w:val="center"/>
          </w:tcPr>
          <w:p>
            <w:pPr>
              <w:pStyle w:val="TableContents"/>
              <w:bidi w:val="0"/>
              <w:spacing w:before="0" w:after="283"/>
              <w:jc w:val="left"/>
              <w:rPr/>
            </w:pPr>
            <w:r>
              <w:rPr/>
              <w:t>Non-Transferred Employee</w:t>
            </w:r>
          </w:p>
        </w:tc>
        <w:tc>
          <w:tcPr>
            <w:tcW w:w="905" w:type="dxa"/>
            <w:tcBorders/>
            <w:vAlign w:val="center"/>
          </w:tcPr>
          <w:p>
            <w:pPr>
              <w:pStyle w:val="TableContents"/>
              <w:bidi w:val="0"/>
              <w:spacing w:before="0" w:after="283"/>
              <w:jc w:val="right"/>
              <w:rPr/>
            </w:pPr>
            <w:r>
              <w:rPr/>
              <w:t>5.5(a)</w:t>
            </w:r>
          </w:p>
        </w:tc>
      </w:tr>
      <w:tr>
        <w:trPr/>
        <w:tc>
          <w:tcPr>
            <w:tcW w:w="3215" w:type="dxa"/>
            <w:tcBorders/>
            <w:vAlign w:val="center"/>
          </w:tcPr>
          <w:p>
            <w:pPr>
              <w:pStyle w:val="TableContents"/>
              <w:bidi w:val="0"/>
              <w:spacing w:before="0" w:after="283"/>
              <w:jc w:val="left"/>
              <w:rPr/>
            </w:pPr>
            <w:r>
              <w:rPr/>
              <w:t>Notes</w:t>
            </w:r>
          </w:p>
        </w:tc>
        <w:tc>
          <w:tcPr>
            <w:tcW w:w="905" w:type="dxa"/>
            <w:tcBorders/>
            <w:vAlign w:val="center"/>
          </w:tcPr>
          <w:p>
            <w:pPr>
              <w:pStyle w:val="TableContents"/>
              <w:bidi w:val="0"/>
              <w:spacing w:before="0" w:after="283"/>
              <w:jc w:val="right"/>
              <w:rPr/>
            </w:pPr>
            <w:r>
              <w:rPr/>
              <w:t>2.6(b)(i)</w:t>
            </w:r>
          </w:p>
        </w:tc>
      </w:tr>
      <w:tr>
        <w:trPr/>
        <w:tc>
          <w:tcPr>
            <w:tcW w:w="3215" w:type="dxa"/>
            <w:tcBorders/>
            <w:vAlign w:val="center"/>
          </w:tcPr>
          <w:p>
            <w:pPr>
              <w:pStyle w:val="TableContents"/>
              <w:bidi w:val="0"/>
              <w:spacing w:before="0" w:after="283"/>
              <w:jc w:val="left"/>
              <w:rPr/>
            </w:pPr>
            <w:r>
              <w:rPr/>
              <w:t>Noteholders</w:t>
            </w:r>
          </w:p>
        </w:tc>
        <w:tc>
          <w:tcPr>
            <w:tcW w:w="905" w:type="dxa"/>
            <w:tcBorders/>
            <w:vAlign w:val="center"/>
          </w:tcPr>
          <w:p>
            <w:pPr>
              <w:pStyle w:val="TableContents"/>
              <w:bidi w:val="0"/>
              <w:spacing w:before="0" w:after="283"/>
              <w:jc w:val="right"/>
              <w:rPr/>
            </w:pPr>
            <w:r>
              <w:rPr/>
              <w:t>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150"/>
        <w:gridCol w:w="905"/>
      </w:tblGrid>
      <w:tr>
        <w:trPr/>
        <w:tc>
          <w:tcPr>
            <w:tcW w:w="2150" w:type="dxa"/>
            <w:tcBorders/>
            <w:vAlign w:val="center"/>
          </w:tcPr>
          <w:p>
            <w:pPr>
              <w:pStyle w:val="TableContents"/>
              <w:bidi w:val="0"/>
              <w:spacing w:before="0" w:after="283"/>
              <w:jc w:val="left"/>
              <w:rPr/>
            </w:pPr>
            <w:r>
              <w:rPr/>
              <w:t>Offered Employee</w:t>
            </w:r>
          </w:p>
        </w:tc>
        <w:tc>
          <w:tcPr>
            <w:tcW w:w="905" w:type="dxa"/>
            <w:tcBorders/>
            <w:vAlign w:val="center"/>
          </w:tcPr>
          <w:p>
            <w:pPr>
              <w:pStyle w:val="TableContents"/>
              <w:bidi w:val="0"/>
              <w:spacing w:before="0" w:after="283"/>
              <w:jc w:val="right"/>
              <w:rPr/>
            </w:pPr>
            <w:r>
              <w:rPr/>
              <w:t>5.5(a)</w:t>
            </w:r>
          </w:p>
        </w:tc>
      </w:tr>
      <w:tr>
        <w:trPr/>
        <w:tc>
          <w:tcPr>
            <w:tcW w:w="2150" w:type="dxa"/>
            <w:tcBorders/>
            <w:vAlign w:val="center"/>
          </w:tcPr>
          <w:p>
            <w:pPr>
              <w:pStyle w:val="TableContents"/>
              <w:bidi w:val="0"/>
              <w:spacing w:before="0" w:after="283"/>
              <w:jc w:val="left"/>
              <w:rPr/>
            </w:pPr>
            <w:r>
              <w:rPr/>
              <w:t>Outside Date</w:t>
            </w:r>
          </w:p>
        </w:tc>
        <w:tc>
          <w:tcPr>
            <w:tcW w:w="905" w:type="dxa"/>
            <w:tcBorders/>
            <w:vAlign w:val="center"/>
          </w:tcPr>
          <w:p>
            <w:pPr>
              <w:pStyle w:val="TableContents"/>
              <w:bidi w:val="0"/>
              <w:spacing w:before="0" w:after="283"/>
              <w:jc w:val="right"/>
              <w:rPr/>
            </w:pPr>
            <w:r>
              <w:rPr/>
              <w:t>8.1(d)(ii)</w:t>
            </w:r>
          </w:p>
        </w:tc>
      </w:tr>
      <w:tr>
        <w:trPr/>
        <w:tc>
          <w:tcPr>
            <w:tcW w:w="2150" w:type="dxa"/>
            <w:tcBorders/>
            <w:vAlign w:val="center"/>
          </w:tcPr>
          <w:p>
            <w:pPr>
              <w:pStyle w:val="TableContents"/>
              <w:bidi w:val="0"/>
              <w:spacing w:before="0" w:after="283"/>
              <w:jc w:val="left"/>
              <w:rPr/>
            </w:pPr>
            <w:r>
              <w:rPr/>
              <w:t>Party</w:t>
            </w:r>
          </w:p>
        </w:tc>
        <w:tc>
          <w:tcPr>
            <w:tcW w:w="905" w:type="dxa"/>
            <w:tcBorders/>
            <w:vAlign w:val="center"/>
          </w:tcPr>
          <w:p>
            <w:pPr>
              <w:pStyle w:val="TableContents"/>
              <w:bidi w:val="0"/>
              <w:spacing w:before="0" w:after="283"/>
              <w:jc w:val="right"/>
              <w:rPr/>
            </w:pPr>
            <w:r>
              <w:rPr/>
              <w:t>preamble</w:t>
            </w:r>
          </w:p>
        </w:tc>
      </w:tr>
      <w:tr>
        <w:trPr/>
        <w:tc>
          <w:tcPr>
            <w:tcW w:w="2150" w:type="dxa"/>
            <w:tcBorders/>
            <w:vAlign w:val="center"/>
          </w:tcPr>
          <w:p>
            <w:pPr>
              <w:pStyle w:val="TableContents"/>
              <w:bidi w:val="0"/>
              <w:spacing w:before="0" w:after="283"/>
              <w:jc w:val="left"/>
              <w:rPr/>
            </w:pPr>
            <w:r>
              <w:rPr/>
              <w:t>PCI DSS</w:t>
            </w:r>
          </w:p>
        </w:tc>
        <w:tc>
          <w:tcPr>
            <w:tcW w:w="905" w:type="dxa"/>
            <w:tcBorders/>
            <w:vAlign w:val="center"/>
          </w:tcPr>
          <w:p>
            <w:pPr>
              <w:pStyle w:val="TableContents"/>
              <w:bidi w:val="0"/>
              <w:spacing w:before="0" w:after="283"/>
              <w:jc w:val="right"/>
              <w:rPr/>
            </w:pPr>
            <w:r>
              <w:rPr/>
              <w:t>1.1</w:t>
            </w:r>
          </w:p>
        </w:tc>
      </w:tr>
      <w:tr>
        <w:trPr/>
        <w:tc>
          <w:tcPr>
            <w:tcW w:w="2150" w:type="dxa"/>
            <w:tcBorders/>
            <w:vAlign w:val="center"/>
          </w:tcPr>
          <w:p>
            <w:pPr>
              <w:pStyle w:val="TableContents"/>
              <w:bidi w:val="0"/>
              <w:spacing w:before="0" w:after="283"/>
              <w:jc w:val="left"/>
              <w:rPr/>
            </w:pPr>
            <w:r>
              <w:rPr/>
              <w:t>Purchase Price</w:t>
            </w:r>
          </w:p>
        </w:tc>
        <w:tc>
          <w:tcPr>
            <w:tcW w:w="905" w:type="dxa"/>
            <w:tcBorders/>
            <w:vAlign w:val="center"/>
          </w:tcPr>
          <w:p>
            <w:pPr>
              <w:pStyle w:val="TableContents"/>
              <w:bidi w:val="0"/>
              <w:spacing w:before="0" w:after="283"/>
              <w:jc w:val="right"/>
              <w:rPr/>
            </w:pPr>
            <w:r>
              <w:rPr/>
              <w:t>2.3</w:t>
            </w:r>
          </w:p>
        </w:tc>
      </w:tr>
      <w:tr>
        <w:trPr/>
        <w:tc>
          <w:tcPr>
            <w:tcW w:w="2150" w:type="dxa"/>
            <w:tcBorders/>
            <w:vAlign w:val="center"/>
          </w:tcPr>
          <w:p>
            <w:pPr>
              <w:pStyle w:val="TableContents"/>
              <w:bidi w:val="0"/>
              <w:spacing w:before="0" w:after="283"/>
              <w:jc w:val="left"/>
              <w:rPr/>
            </w:pPr>
            <w:r>
              <w:rPr/>
              <w:t>Real Estate Lease</w:t>
            </w:r>
          </w:p>
        </w:tc>
        <w:tc>
          <w:tcPr>
            <w:tcW w:w="905" w:type="dxa"/>
            <w:tcBorders/>
            <w:vAlign w:val="center"/>
          </w:tcPr>
          <w:p>
            <w:pPr>
              <w:pStyle w:val="TableContents"/>
              <w:bidi w:val="0"/>
              <w:spacing w:before="0" w:after="283"/>
              <w:jc w:val="right"/>
              <w:rPr/>
            </w:pPr>
            <w:r>
              <w:rPr/>
              <w:t>3.6(b)</w:t>
            </w:r>
          </w:p>
        </w:tc>
      </w:tr>
      <w:tr>
        <w:trPr/>
        <w:tc>
          <w:tcPr>
            <w:tcW w:w="2150" w:type="dxa"/>
            <w:tcBorders/>
            <w:vAlign w:val="center"/>
          </w:tcPr>
          <w:p>
            <w:pPr>
              <w:pStyle w:val="TableContents"/>
              <w:bidi w:val="0"/>
              <w:spacing w:before="0" w:after="283"/>
              <w:jc w:val="left"/>
              <w:rPr/>
            </w:pPr>
            <w:r>
              <w:rPr/>
              <w:t>Real Property</w:t>
            </w:r>
          </w:p>
        </w:tc>
        <w:tc>
          <w:tcPr>
            <w:tcW w:w="905" w:type="dxa"/>
            <w:tcBorders/>
            <w:vAlign w:val="center"/>
          </w:tcPr>
          <w:p>
            <w:pPr>
              <w:pStyle w:val="TableContents"/>
              <w:bidi w:val="0"/>
              <w:spacing w:before="0" w:after="283"/>
              <w:jc w:val="right"/>
              <w:rPr/>
            </w:pPr>
            <w:r>
              <w:rPr/>
              <w:t>3.6(b)</w:t>
            </w:r>
          </w:p>
        </w:tc>
      </w:tr>
      <w:tr>
        <w:trPr/>
        <w:tc>
          <w:tcPr>
            <w:tcW w:w="2150" w:type="dxa"/>
            <w:tcBorders/>
            <w:vAlign w:val="center"/>
          </w:tcPr>
          <w:p>
            <w:pPr>
              <w:pStyle w:val="TableContents"/>
              <w:bidi w:val="0"/>
              <w:spacing w:before="0" w:after="283"/>
              <w:jc w:val="left"/>
              <w:rPr/>
            </w:pPr>
            <w:r>
              <w:rPr/>
              <w:t>Schedules</w:t>
            </w:r>
          </w:p>
        </w:tc>
        <w:tc>
          <w:tcPr>
            <w:tcW w:w="905" w:type="dxa"/>
            <w:tcBorders/>
            <w:vAlign w:val="center"/>
          </w:tcPr>
          <w:p>
            <w:pPr>
              <w:pStyle w:val="TableContents"/>
              <w:bidi w:val="0"/>
              <w:spacing w:before="0" w:after="283"/>
              <w:jc w:val="right"/>
              <w:rPr/>
            </w:pPr>
            <w:r>
              <w:rPr/>
              <w:t>9.11</w:t>
            </w:r>
          </w:p>
        </w:tc>
      </w:tr>
      <w:tr>
        <w:trPr/>
        <w:tc>
          <w:tcPr>
            <w:tcW w:w="2150" w:type="dxa"/>
            <w:tcBorders/>
            <w:vAlign w:val="center"/>
          </w:tcPr>
          <w:p>
            <w:pPr>
              <w:pStyle w:val="TableContents"/>
              <w:bidi w:val="0"/>
              <w:spacing w:before="0" w:after="283"/>
              <w:jc w:val="left"/>
              <w:rPr/>
            </w:pPr>
            <w:r>
              <w:rPr/>
              <w:t>Shortfall Amount</w:t>
            </w:r>
          </w:p>
        </w:tc>
        <w:tc>
          <w:tcPr>
            <w:tcW w:w="905" w:type="dxa"/>
            <w:tcBorders/>
            <w:vAlign w:val="center"/>
          </w:tcPr>
          <w:p>
            <w:pPr>
              <w:pStyle w:val="TableContents"/>
              <w:bidi w:val="0"/>
              <w:spacing w:before="0" w:after="283"/>
              <w:jc w:val="right"/>
              <w:rPr/>
            </w:pPr>
            <w:r>
              <w:rPr/>
              <w:t>2.5(d)</w:t>
            </w:r>
          </w:p>
        </w:tc>
      </w:tr>
      <w:tr>
        <w:trPr/>
        <w:tc>
          <w:tcPr>
            <w:tcW w:w="2150" w:type="dxa"/>
            <w:tcBorders/>
            <w:vAlign w:val="center"/>
          </w:tcPr>
          <w:p>
            <w:pPr>
              <w:pStyle w:val="TableContents"/>
              <w:bidi w:val="0"/>
              <w:spacing w:before="0" w:after="283"/>
              <w:jc w:val="left"/>
              <w:rPr/>
            </w:pPr>
            <w:r>
              <w:rPr/>
              <w:t>Tax Arbitrator</w:t>
            </w:r>
          </w:p>
        </w:tc>
        <w:tc>
          <w:tcPr>
            <w:tcW w:w="905" w:type="dxa"/>
            <w:tcBorders/>
            <w:vAlign w:val="center"/>
          </w:tcPr>
          <w:p>
            <w:pPr>
              <w:pStyle w:val="TableContents"/>
              <w:bidi w:val="0"/>
              <w:spacing w:before="0" w:after="283"/>
              <w:jc w:val="right"/>
              <w:rPr/>
            </w:pPr>
            <w:r>
              <w:rPr/>
              <w:t>6.2(f)</w:t>
            </w:r>
          </w:p>
        </w:tc>
      </w:tr>
      <w:tr>
        <w:trPr/>
        <w:tc>
          <w:tcPr>
            <w:tcW w:w="2150" w:type="dxa"/>
            <w:tcBorders/>
            <w:vAlign w:val="center"/>
          </w:tcPr>
          <w:p>
            <w:pPr>
              <w:pStyle w:val="TableContents"/>
              <w:bidi w:val="0"/>
              <w:spacing w:before="0" w:after="283"/>
              <w:jc w:val="left"/>
              <w:rPr/>
            </w:pPr>
            <w:r>
              <w:rPr/>
              <w:t>Tax Contest</w:t>
            </w:r>
          </w:p>
        </w:tc>
        <w:tc>
          <w:tcPr>
            <w:tcW w:w="905" w:type="dxa"/>
            <w:tcBorders/>
            <w:vAlign w:val="center"/>
          </w:tcPr>
          <w:p>
            <w:pPr>
              <w:pStyle w:val="TableContents"/>
              <w:bidi w:val="0"/>
              <w:spacing w:before="0" w:after="283"/>
              <w:jc w:val="right"/>
              <w:rPr/>
            </w:pPr>
            <w:r>
              <w:rPr/>
              <w:t>6.2(a)</w:t>
            </w:r>
          </w:p>
        </w:tc>
      </w:tr>
      <w:tr>
        <w:trPr/>
        <w:tc>
          <w:tcPr>
            <w:tcW w:w="2150" w:type="dxa"/>
            <w:tcBorders/>
            <w:vAlign w:val="center"/>
          </w:tcPr>
          <w:p>
            <w:pPr>
              <w:pStyle w:val="TableContents"/>
              <w:bidi w:val="0"/>
              <w:spacing w:before="0" w:after="283"/>
              <w:jc w:val="left"/>
              <w:rPr/>
            </w:pPr>
            <w:r>
              <w:rPr/>
              <w:t>Tax Refund</w:t>
            </w:r>
          </w:p>
        </w:tc>
        <w:tc>
          <w:tcPr>
            <w:tcW w:w="905" w:type="dxa"/>
            <w:tcBorders/>
            <w:vAlign w:val="center"/>
          </w:tcPr>
          <w:p>
            <w:pPr>
              <w:pStyle w:val="TableContents"/>
              <w:bidi w:val="0"/>
              <w:spacing w:before="0" w:after="283"/>
              <w:jc w:val="right"/>
              <w:rPr/>
            </w:pPr>
            <w:r>
              <w:rPr/>
              <w:t>6.2(c)</w:t>
            </w:r>
          </w:p>
        </w:tc>
      </w:tr>
      <w:tr>
        <w:trPr/>
        <w:tc>
          <w:tcPr>
            <w:tcW w:w="2150" w:type="dxa"/>
            <w:tcBorders/>
            <w:vAlign w:val="center"/>
          </w:tcPr>
          <w:p>
            <w:pPr>
              <w:pStyle w:val="TableContents"/>
              <w:bidi w:val="0"/>
              <w:spacing w:before="0" w:after="283"/>
              <w:jc w:val="left"/>
              <w:rPr/>
            </w:pPr>
            <w:r>
              <w:rPr/>
              <w:t>Trademarks</w:t>
            </w:r>
          </w:p>
        </w:tc>
        <w:tc>
          <w:tcPr>
            <w:tcW w:w="905" w:type="dxa"/>
            <w:tcBorders/>
            <w:vAlign w:val="center"/>
          </w:tcPr>
          <w:p>
            <w:pPr>
              <w:pStyle w:val="TableContents"/>
              <w:bidi w:val="0"/>
              <w:spacing w:before="0" w:after="283"/>
              <w:jc w:val="right"/>
              <w:rPr/>
            </w:pPr>
            <w:r>
              <w:rPr/>
              <w:t>1.1</w:t>
            </w:r>
          </w:p>
        </w:tc>
      </w:tr>
      <w:tr>
        <w:trPr/>
        <w:tc>
          <w:tcPr>
            <w:tcW w:w="2150" w:type="dxa"/>
            <w:tcBorders/>
            <w:vAlign w:val="center"/>
          </w:tcPr>
          <w:p>
            <w:pPr>
              <w:pStyle w:val="TableContents"/>
              <w:bidi w:val="0"/>
              <w:spacing w:before="0" w:after="283"/>
              <w:jc w:val="left"/>
              <w:rPr/>
            </w:pPr>
            <w:r>
              <w:rPr/>
              <w:t>Transaction Dispute</w:t>
            </w:r>
          </w:p>
        </w:tc>
        <w:tc>
          <w:tcPr>
            <w:tcW w:w="905" w:type="dxa"/>
            <w:tcBorders/>
            <w:vAlign w:val="center"/>
          </w:tcPr>
          <w:p>
            <w:pPr>
              <w:pStyle w:val="TableContents"/>
              <w:bidi w:val="0"/>
              <w:spacing w:before="0" w:after="283"/>
              <w:jc w:val="right"/>
              <w:rPr/>
            </w:pPr>
            <w:r>
              <w:rPr/>
              <w:t>9.8</w:t>
            </w:r>
          </w:p>
        </w:tc>
      </w:tr>
      <w:tr>
        <w:trPr/>
        <w:tc>
          <w:tcPr>
            <w:tcW w:w="2150" w:type="dxa"/>
            <w:tcBorders/>
            <w:vAlign w:val="center"/>
          </w:tcPr>
          <w:p>
            <w:pPr>
              <w:pStyle w:val="TableContents"/>
              <w:bidi w:val="0"/>
              <w:spacing w:before="0" w:after="283"/>
              <w:jc w:val="left"/>
              <w:rPr/>
            </w:pPr>
            <w:r>
              <w:rPr/>
              <w:t>Transfer Taxes</w:t>
            </w:r>
          </w:p>
        </w:tc>
        <w:tc>
          <w:tcPr>
            <w:tcW w:w="905" w:type="dxa"/>
            <w:tcBorders/>
            <w:vAlign w:val="center"/>
          </w:tcPr>
          <w:p>
            <w:pPr>
              <w:pStyle w:val="TableContents"/>
              <w:bidi w:val="0"/>
              <w:spacing w:before="0" w:after="283"/>
              <w:jc w:val="right"/>
              <w:rPr/>
            </w:pPr>
            <w:r>
              <w:rPr/>
              <w:t>6.2(d)</w:t>
            </w:r>
          </w:p>
        </w:tc>
      </w:tr>
      <w:tr>
        <w:trPr/>
        <w:tc>
          <w:tcPr>
            <w:tcW w:w="2150" w:type="dxa"/>
            <w:tcBorders/>
            <w:vAlign w:val="center"/>
          </w:tcPr>
          <w:p>
            <w:pPr>
              <w:pStyle w:val="TableContents"/>
              <w:bidi w:val="0"/>
              <w:spacing w:before="0" w:after="283"/>
              <w:jc w:val="left"/>
              <w:rPr/>
            </w:pPr>
            <w:r>
              <w:rPr/>
              <w:t>Transferred Contract</w:t>
            </w:r>
          </w:p>
        </w:tc>
        <w:tc>
          <w:tcPr>
            <w:tcW w:w="905" w:type="dxa"/>
            <w:tcBorders/>
            <w:vAlign w:val="center"/>
          </w:tcPr>
          <w:p>
            <w:pPr>
              <w:pStyle w:val="TableContents"/>
              <w:bidi w:val="0"/>
              <w:spacing w:before="0" w:after="283"/>
              <w:jc w:val="right"/>
              <w:rPr/>
            </w:pPr>
            <w:r>
              <w:rPr/>
              <w:t>5.12</w:t>
            </w:r>
          </w:p>
        </w:tc>
      </w:tr>
      <w:tr>
        <w:trPr/>
        <w:tc>
          <w:tcPr>
            <w:tcW w:w="2150" w:type="dxa"/>
            <w:tcBorders/>
            <w:vAlign w:val="center"/>
          </w:tcPr>
          <w:p>
            <w:pPr>
              <w:pStyle w:val="TableContents"/>
              <w:bidi w:val="0"/>
              <w:spacing w:before="0" w:after="283"/>
              <w:jc w:val="left"/>
              <w:rPr/>
            </w:pPr>
            <w:r>
              <w:rPr/>
              <w:t>Transferred Employee</w:t>
            </w:r>
          </w:p>
        </w:tc>
        <w:tc>
          <w:tcPr>
            <w:tcW w:w="905" w:type="dxa"/>
            <w:tcBorders/>
            <w:vAlign w:val="center"/>
          </w:tcPr>
          <w:p>
            <w:pPr>
              <w:pStyle w:val="TableContents"/>
              <w:bidi w:val="0"/>
              <w:spacing w:before="0" w:after="283"/>
              <w:jc w:val="right"/>
              <w:rPr/>
            </w:pPr>
            <w:r>
              <w:rPr/>
              <w:t>5.5(a)</w:t>
            </w:r>
          </w:p>
        </w:tc>
      </w:tr>
      <w:tr>
        <w:trPr/>
        <w:tc>
          <w:tcPr>
            <w:tcW w:w="2150" w:type="dxa"/>
            <w:tcBorders/>
            <w:vAlign w:val="center"/>
          </w:tcPr>
          <w:p>
            <w:pPr>
              <w:pStyle w:val="TableContents"/>
              <w:bidi w:val="0"/>
              <w:spacing w:before="0" w:after="283"/>
              <w:jc w:val="left"/>
              <w:rPr/>
            </w:pPr>
            <w:r>
              <w:rPr/>
              <w:t>Utility Systems</w:t>
            </w:r>
          </w:p>
        </w:tc>
        <w:tc>
          <w:tcPr>
            <w:tcW w:w="905" w:type="dxa"/>
            <w:tcBorders/>
            <w:vAlign w:val="center"/>
          </w:tcPr>
          <w:p>
            <w:pPr>
              <w:pStyle w:val="TableContents"/>
              <w:bidi w:val="0"/>
              <w:spacing w:before="0" w:after="283"/>
              <w:jc w:val="right"/>
              <w:rPr/>
            </w:pPr>
            <w:r>
              <w:rPr/>
              <w:t>3.6(h)</w:t>
            </w:r>
          </w:p>
        </w:tc>
      </w:tr>
      <w:tr>
        <w:trPr/>
        <w:tc>
          <w:tcPr>
            <w:tcW w:w="2150" w:type="dxa"/>
            <w:tcBorders/>
            <w:vAlign w:val="center"/>
          </w:tcPr>
          <w:p>
            <w:pPr>
              <w:pStyle w:val="TableContents"/>
              <w:bidi w:val="0"/>
              <w:spacing w:before="0" w:after="283"/>
              <w:jc w:val="left"/>
              <w:rPr/>
            </w:pPr>
            <w:r>
              <w:rPr/>
              <w:t>Valuation Firm</w:t>
            </w:r>
          </w:p>
        </w:tc>
        <w:tc>
          <w:tcPr>
            <w:tcW w:w="905" w:type="dxa"/>
            <w:tcBorders/>
            <w:vAlign w:val="center"/>
          </w:tcPr>
          <w:p>
            <w:pPr>
              <w:pStyle w:val="TableContents"/>
              <w:bidi w:val="0"/>
              <w:spacing w:before="0" w:after="283"/>
              <w:jc w:val="right"/>
              <w:rPr/>
            </w:pPr>
            <w:r>
              <w:rPr/>
              <w:t>2.5(b)</w:t>
            </w:r>
          </w:p>
        </w:tc>
      </w:tr>
      <w:tr>
        <w:trPr/>
        <w:tc>
          <w:tcPr>
            <w:tcW w:w="2150" w:type="dxa"/>
            <w:tcBorders/>
            <w:vAlign w:val="center"/>
          </w:tcPr>
          <w:p>
            <w:pPr>
              <w:pStyle w:val="TableContents"/>
              <w:bidi w:val="0"/>
              <w:spacing w:before="0" w:after="283"/>
              <w:jc w:val="left"/>
              <w:rPr/>
            </w:pPr>
            <w:r>
              <w:rPr/>
              <w:t>WARN Act</w:t>
            </w:r>
          </w:p>
        </w:tc>
        <w:tc>
          <w:tcPr>
            <w:tcW w:w="905" w:type="dxa"/>
            <w:tcBorders/>
            <w:vAlign w:val="center"/>
          </w:tcPr>
          <w:p>
            <w:pPr>
              <w:pStyle w:val="TableContents"/>
              <w:bidi w:val="0"/>
              <w:spacing w:before="0" w:after="283"/>
              <w:jc w:val="right"/>
              <w:rPr/>
            </w:pPr>
            <w:r>
              <w:rPr/>
              <w:t>5.5(d)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r>
      <w:r>
        <w:rPr>
          <w:rFonts w:ascii="Times New Roman;Times;Serif" w:hAnsi="Times New Roman;Times;Serif"/>
          <w:b w:val="false"/>
          <w:i w:val="false"/>
          <w:caps/>
          <w:sz w:val="20"/>
          <w:u w:val="single"/>
        </w:rPr>
        <w:t>Purchase and Sale Transactions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Signing Cash Deposit</w:t>
      </w:r>
      <w:r>
        <w:rPr>
          <w:rFonts w:ascii="Times New Roman;Times;Serif" w:hAnsi="Times New Roman;Times;Serif"/>
          <w:b w:val="false"/>
          <w:i w:val="false"/>
          <w:caps w:val="false"/>
          <w:smallCaps w:val="false"/>
          <w:sz w:val="20"/>
        </w:rPr>
        <w:t>. Within three (3) Business Days of the date hereof, the Buyer shall pay to the Member the Signing Cash Deposit Amount as a non-refundable cash deposit. For the avoidance of doubt, the Member shall not be required to return the Signing Cash Deposit Amount to the Buyer under any circumstances, including the valid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Purchase and Sale of the Transferred Assets; Excluded Assets and Excluded Liabilities of the Companies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Transferred Assets</w:t>
      </w:r>
      <w:r>
        <w:rPr>
          <w:rFonts w:ascii="Times New Roman;Times;Serif" w:hAnsi="Times New Roman;Times;Serif"/>
          <w:b w:val="false"/>
          <w:i w:val="false"/>
          <w:caps w:val="false"/>
          <w:smallCaps w:val="false"/>
          <w:sz w:val="20"/>
        </w:rPr>
        <w:t xml:space="preserve">. Subject to the terms and conditions set forth herein and in accordance with the terms of the Sale Order, at the Closing, the Seller Entities, and solely with respect to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 the Member, shall sell, convey, assign, transfer and deliver to the Cultivation Buyer and Dispensary Buyer, and the Cultivation Buyer and Dispensary Buyer shall (and the Buyer shall cause the Cultivation Buyer and the Dispensary Buyer to) purchase, acquire and accept from each such Seller Entity or the Member (as applicable), all of such Seller Entity’s or the Member’s right, title and interest in, to the following assets, in each case, other than the Excluded Assets (collectively, the “</w:t>
      </w:r>
      <w:r>
        <w:rPr>
          <w:rFonts w:ascii="Times New Roman;Times;Serif" w:hAnsi="Times New Roman;Times;Serif"/>
          <w:b w:val="false"/>
          <w:i w:val="false"/>
          <w:caps w:val="false"/>
          <w:smallCaps w:val="false"/>
          <w:sz w:val="20"/>
          <w:u w:val="single"/>
        </w:rPr>
        <w:t>Transferred Assets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Transferred Contracts set forth on </w:t>
      </w:r>
      <w:r>
        <w:rPr>
          <w:rFonts w:ascii="Times New Roman;Times;Serif" w:hAnsi="Times New Roman;Times;Serif"/>
          <w:b w:val="false"/>
          <w:i w:val="false"/>
          <w:caps w:val="false"/>
          <w:smallCaps w:val="false"/>
          <w:sz w:val="20"/>
          <w:u w:val="single"/>
        </w:rPr>
        <w:t>Schedule 2.2(a)(i)</w:t>
      </w:r>
      <w:r>
        <w:rPr>
          <w:rFonts w:ascii="Times New Roman;Times;Serif" w:hAnsi="Times New Roman;Times;Serif"/>
          <w:b w:val="false"/>
          <w:i w:val="false"/>
          <w:caps w:val="false"/>
          <w:smallCaps w:val="false"/>
          <w:sz w:val="20"/>
        </w:rPr>
        <w:t xml:space="preserve"> (as may be updated from time to time in accordance with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solely with respect to the Member, the Sugarloaf MSA and Sugarloaf Purchase Option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solely with respect to the Seller Entities, all other assets that are reasonably necessary for, used or held for use in the operation of such Seller Entity’s respective business in the Market, as the same shall exist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xml:space="preserve">. Notwithstanding anything to the contrary herein, certain assets of or in the possession of the Seller Entities as applicable, as set forth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and all assets of the Member (other than the Sugarloaf MSA and the Sugarloaf Purchase Option Agreement) (collectively,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shall be retained at the Closing by the Seller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and the other terms and conditions set forth herein and in accordance with the terms of the Sale Order, at the Closing, as partial consideration for the Transferred Assets, the Cultivation Buyer and the Dispensary Buyer shall (and the Buyer shall cause the Cultivation Buyer and the Dispensary Buyer to) assume and thereafter timely pay, discharge and perform in accordance with their terms, all Liabilities of such Seller Entity or the Member (as applicable) arising from or related to the applicable Transferred Assets or the respective business of such Seller Entity, as the same shall exist on or after the Closing Date and irrespective of whether the same arise or accrue prior to, on or following the Closing Date (the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For the avoidance of doubt, Assumed Liabilities shall include all (i) Liabilities of the Seller Entities included in the calculation of Final Working Capital and Final Indebtedness, (ii) Transfer Taxes, and (iii) Assumed Prepetition Payables.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Notwithstanding anything to the contrary herein, the following Liabilities of the Seller Entities (the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shall be retained by the Seller Entities or their respective Affiliates (as applicable) and not assumed by Buyers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liability arising out of an Excluded Asset;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Taxes imposed on or with respect to the Seller Entities, the business of the Seller Entities or the Transferred Assets, in each case, for any Pre-Closing Tax Period;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Excluded Prepetition Payables;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Liability related to the Cultivation Property;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Liabilities of the Seller Entities with respect to their employees (including any Transferred Employees) arising out of the Transactions or related to a pre-Closing period, including without limitation any Liabilities or obligations with respect to any Company Employee Benefit Plan.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aggregate consideration (to be delivered in the manner described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and subject to adjustment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for the sale of the Transferred Assets shall be an aggregate amount equal to the sum of (a) the Signing Cash Deposit Amount,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Final Closing Cash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the Buyer Cash Amount, if any, (collectively,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At least three (3) Business Days prior to the earlier of (x) if the Closing has not yet occurred (and will not occur by such date), the date that is the first anniversary of the date hereof and (y) the Closing Date (unless otherwise mutually agreed by Buyer and the Member), the Member shall prepare and deliver to Buyer a statement (“</w:t>
      </w:r>
      <w:r>
        <w:rPr>
          <w:rFonts w:ascii="Times New Roman;Times;Serif" w:hAnsi="Times New Roman;Times;Serif"/>
          <w:b w:val="false"/>
          <w:i w:val="false"/>
          <w:caps w:val="false"/>
          <w:smallCaps w:val="false"/>
          <w:sz w:val="20"/>
          <w:u w:val="single"/>
          <w:shd w:fill="FFFFFF" w:val="clear"/>
        </w:rPr>
        <w:t>Estimated Closing Statement</w:t>
      </w:r>
      <w:r>
        <w:rPr>
          <w:rFonts w:ascii="Times New Roman;Times;Serif" w:hAnsi="Times New Roman;Times;Serif"/>
          <w:b w:val="false"/>
          <w:i w:val="false"/>
          <w:caps w:val="false"/>
          <w:smallCaps w:val="false"/>
          <w:sz w:val="20"/>
          <w:shd w:fill="FFFFFF" w:val="clear"/>
        </w:rPr>
        <w:t>”) setting forth (a) its good faith calculation of: (i) Cash (“</w:t>
      </w:r>
      <w:r>
        <w:rPr>
          <w:rFonts w:ascii="Times New Roman;Times;Serif" w:hAnsi="Times New Roman;Times;Serif"/>
          <w:b w:val="false"/>
          <w:i w:val="false"/>
          <w:caps w:val="false"/>
          <w:smallCaps w:val="false"/>
          <w:sz w:val="20"/>
          <w:u w:val="single"/>
          <w:shd w:fill="FFFFFF" w:val="clear"/>
        </w:rPr>
        <w:t>Estimated Cash</w:t>
      </w:r>
      <w:r>
        <w:rPr>
          <w:rFonts w:ascii="Times New Roman;Times;Serif" w:hAnsi="Times New Roman;Times;Serif"/>
          <w:b w:val="false"/>
          <w:i w:val="false"/>
          <w:caps w:val="false"/>
          <w:smallCaps w:val="false"/>
          <w:sz w:val="20"/>
          <w:shd w:fill="FFFFFF" w:val="clear"/>
        </w:rPr>
        <w:t>”), (ii) Working Capital (“</w:t>
      </w:r>
      <w:r>
        <w:rPr>
          <w:rFonts w:ascii="Times New Roman;Times;Serif" w:hAnsi="Times New Roman;Times;Serif"/>
          <w:b w:val="false"/>
          <w:i w:val="false"/>
          <w:caps w:val="false"/>
          <w:smallCaps w:val="false"/>
          <w:sz w:val="20"/>
          <w:u w:val="single"/>
          <w:shd w:fill="FFFFFF" w:val="clear"/>
        </w:rPr>
        <w:t>Estimated Working Capital</w:t>
      </w:r>
      <w:r>
        <w:rPr>
          <w:rFonts w:ascii="Times New Roman;Times;Serif" w:hAnsi="Times New Roman;Times;Serif"/>
          <w:b w:val="false"/>
          <w:i w:val="false"/>
          <w:caps w:val="false"/>
          <w:smallCaps w:val="false"/>
          <w:sz w:val="20"/>
          <w:shd w:fill="FFFFFF" w:val="clear"/>
        </w:rPr>
        <w:t>”), and (iii) Indebtedness (“</w:t>
      </w:r>
      <w:r>
        <w:rPr>
          <w:rFonts w:ascii="Times New Roman;Times;Serif" w:hAnsi="Times New Roman;Times;Serif"/>
          <w:b w:val="false"/>
          <w:i w:val="false"/>
          <w:caps w:val="false"/>
          <w:smallCaps w:val="false"/>
          <w:sz w:val="20"/>
          <w:u w:val="single"/>
          <w:shd w:fill="FFFFFF" w:val="clear"/>
        </w:rPr>
        <w:t>Estimated Indebtedness</w:t>
      </w:r>
      <w:r>
        <w:rPr>
          <w:rFonts w:ascii="Times New Roman;Times;Serif" w:hAnsi="Times New Roman;Times;Serif"/>
          <w:b w:val="false"/>
          <w:i w:val="false"/>
          <w:caps w:val="false"/>
          <w:smallCaps w:val="false"/>
          <w:sz w:val="20"/>
          <w:shd w:fill="FFFFFF" w:val="clear"/>
        </w:rPr>
        <w:t>”), (b) its good faith estimate of Transaction Expenses (“</w:t>
      </w:r>
      <w:r>
        <w:rPr>
          <w:rFonts w:ascii="Times New Roman;Times;Serif" w:hAnsi="Times New Roman;Times;Serif"/>
          <w:b w:val="false"/>
          <w:i w:val="false"/>
          <w:caps w:val="false"/>
          <w:smallCaps w:val="false"/>
          <w:sz w:val="20"/>
          <w:u w:val="single"/>
          <w:shd w:fill="FFFFFF" w:val="clear"/>
        </w:rPr>
        <w:t>Estimated Transaction Expenses</w:t>
      </w:r>
      <w:r>
        <w:rPr>
          <w:rFonts w:ascii="Times New Roman;Times;Serif" w:hAnsi="Times New Roman;Times;Serif"/>
          <w:b w:val="false"/>
          <w:i w:val="false"/>
          <w:caps w:val="false"/>
          <w:smallCaps w:val="false"/>
          <w:sz w:val="20"/>
          <w:shd w:fill="FFFFFF" w:val="clear"/>
        </w:rPr>
        <w:t>”), and</w:t>
      </w:r>
      <w:r>
        <w:rPr>
          <w:rFonts w:ascii="Times New Roman;Times;Serif" w:hAnsi="Times New Roman;Times;Serif"/>
          <w:b w:val="false"/>
          <w:i w:val="false"/>
          <w:caps w:val="false"/>
          <w:smallCaps w:val="false"/>
          <w:sz w:val="20"/>
        </w:rPr>
        <w:t xml:space="preserve"> (c) the resulting calculation of the Closing Cash Payment. The Member and its representatives shall review and consult with Buyer regarding the Estimated Closing Statement, and the Member shall consider all comments reasonably made by Buyer and its representatives with respect to the Estimated Closing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Post-Closing Adjustment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90 calendar days after the Closing Date, Buyer will deliver to the Member a statement (the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setting forth Buyer’s calculation of the following items (each, a “</w:t>
      </w:r>
      <w:r>
        <w:rPr>
          <w:rFonts w:ascii="Times New Roman;Times;Serif" w:hAnsi="Times New Roman;Times;Serif"/>
          <w:b w:val="false"/>
          <w:i w:val="false"/>
          <w:caps w:val="false"/>
          <w:smallCaps w:val="false"/>
          <w:sz w:val="20"/>
          <w:u w:val="single"/>
        </w:rPr>
        <w:t>Closing Item</w:t>
      </w:r>
      <w:r>
        <w:rPr>
          <w:rFonts w:ascii="Times New Roman;Times;Serif" w:hAnsi="Times New Roman;Times;Serif"/>
          <w:b w:val="false"/>
          <w:i w:val="false"/>
          <w:caps w:val="false"/>
          <w:smallCaps w:val="false"/>
          <w:sz w:val="20"/>
        </w:rPr>
        <w:t xml:space="preserve">”): (i) Cash (as finally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Cash</w:t>
      </w:r>
      <w:r>
        <w:rPr>
          <w:rFonts w:ascii="Times New Roman;Times;Serif" w:hAnsi="Times New Roman;Times;Serif"/>
          <w:b w:val="false"/>
          <w:i w:val="false"/>
          <w:caps w:val="false"/>
          <w:smallCaps w:val="false"/>
          <w:sz w:val="20"/>
        </w:rPr>
        <w:t xml:space="preserve">”), (ii) Working Capital (as finally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Working Capital</w:t>
      </w:r>
      <w:r>
        <w:rPr>
          <w:rFonts w:ascii="Times New Roman;Times;Serif" w:hAnsi="Times New Roman;Times;Serif"/>
          <w:b w:val="false"/>
          <w:i w:val="false"/>
          <w:caps w:val="false"/>
          <w:smallCaps w:val="false"/>
          <w:sz w:val="20"/>
        </w:rPr>
        <w:t xml:space="preserve">”); (iii) Indebtedness (as finally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Indebtedness</w:t>
      </w:r>
      <w:r>
        <w:rPr>
          <w:rFonts w:ascii="Times New Roman;Times;Serif" w:hAnsi="Times New Roman;Times;Serif"/>
          <w:b w:val="false"/>
          <w:i w:val="false"/>
          <w:caps w:val="false"/>
          <w:smallCaps w:val="false"/>
          <w:sz w:val="20"/>
        </w:rPr>
        <w:t xml:space="preserve">”), (iv) Transaction Expenses (as finally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Transaction Expenses</w:t>
      </w:r>
      <w:r>
        <w:rPr>
          <w:rFonts w:ascii="Times New Roman;Times;Serif" w:hAnsi="Times New Roman;Times;Serif"/>
          <w:b w:val="false"/>
          <w:i w:val="false"/>
          <w:caps w:val="false"/>
          <w:smallCaps w:val="false"/>
          <w:sz w:val="20"/>
        </w:rPr>
        <w:t>”), and (v) the resulting calculation of the Final Closing Cash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Member shall have 45 calendar days following receipt of a Closing Statement to dispute in writing any Closing Item set forth therein, after which time any undisputed Closing Items shall be final, conclusive and binding on the Parties. If the Member timely disputes any Closing Item, Buyer and the Member shall, for a period of 20 calendar days thereafter, use commercially reasonable and good faith efforts to attempt to resolve their differences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at any time after such 20 day period, either Buyer or the Member may elect to have an independent internationally recognized accounting firm selected jointly by the Member and Buyer (the “</w:t>
      </w:r>
      <w:r>
        <w:rPr>
          <w:rFonts w:ascii="Times New Roman;Times;Serif" w:hAnsi="Times New Roman;Times;Serif"/>
          <w:b w:val="false"/>
          <w:i w:val="false"/>
          <w:caps w:val="false"/>
          <w:smallCaps w:val="false"/>
          <w:sz w:val="20"/>
          <w:u w:val="single"/>
        </w:rPr>
        <w:t>Valuation Firm</w:t>
      </w:r>
      <w:r>
        <w:rPr>
          <w:rFonts w:ascii="Times New Roman;Times;Serif" w:hAnsi="Times New Roman;Times;Serif"/>
          <w:b w:val="false"/>
          <w:i w:val="false"/>
          <w:caps w:val="false"/>
          <w:smallCaps w:val="false"/>
          <w:sz w:val="20"/>
        </w:rPr>
        <w:t xml:space="preserve">”), acting as an expert and not an arbitrator, resolve any Closing Items that remain in dispute, in which event Buyer and the Member will instruct the Valuation Firm to deliver, within 45 calendar days after appointment (or such other time period mutually agreed upon by Buyer and the Member), a written statement setting forth its determination, which statement shall be final, conclusive and binding on the Parties, absent manifest error. All fees and expenses relating to the work, if any, to be performed by the Valuation Firm will be borne by Buyer, on one hand, and the Member, on the other hand, in the proportion that the aggregate dollar amount of the disputed Closing Items submitted to the Valuation Firm by Buyer or the Member that are unsuccessfully disputed by it (as finally determined by the Valuation Firm) bears to the aggregate dollar amount of disputed Closing Items submitted by Buyer, on the one hand, and the Member, on the other hand. Except as provided in the preceding sentence, all other costs and expenses incurred by Buyer and the Member in connection with resolving any dispute hereunder before the Valuation Firm will be borne by the Party incurring such cost and expense. The Valuation Firm shall determine only those Closing Items submitted to the Valuation Firm in writing and its determination will be based upon and consistent with the terms and conditions of this Agreement, including the Applicable Accounting Guidelines. The determination by the Valuation Firm will be based solely on written presentations with respect to such disputed Closing Items by Buyer and the Member to the Valuation Firm and not on the Valuation Firm’s independent review. Neither the Buyer nor the Companies shall conduct any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communications with the Valuation Firm. Buyer and the Member shall use their commercially reasonable efforts to make their respective presentations as promptly as practicable following submission to the Valuation Firm of the disputed Closing Items (but in no event later than 15 days after engagement of the Valuation Firm), and each of Buyer and the Member will be entitled, as part of its presentation, to respond to the presentation of the other and any questions and requests of the Valuation Firm. In deciding any matter, the Valuation Firm (i) will be bound by the provisions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(ii) may not assign a value to any disputed Closing Item greater than the greatest value for such Closing Item claimed by either Buyer or the Member or less than the smallest value for such Closing Item claimed by Buyer or the Member. Notwithstanding anything to the contrary contained herein, at any time Buyer and the Member may agree to settle any Closing Item dispute, including any dispute submitted to the Valuation Firm, which agreement shall be in writing and final, conclusive and binding upon all of the Parties with respect to the subject matter of any such dispute so resolved;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Buyer and the Member shall provide a copy of such agreement to the Valuation Firm and shall instruct the Valuation Firm not to resolve such dispute, it being agreed that if the Valuation Firm nonetheless resolves such dispute for any reason, the agreement of Buyer and the Member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Final Closing Cash Payment exceeds the Closing Cash Payment, then, within five (5) Business Days of the Final Closing Cash Payment being finally determined pursuant to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the Buyers shall, jointly and severally, wire the amount of any such excess in immediately available funds to an account designated by the Seller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Final Closing Cash Payment of the Companies is less than the Closing Cash Payment, then, within five (5) Business Days of the Final Closing Cash Payment being finally determined pursuant to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the Seller Parties for the Market shall, jointly and severally, wire the amount of such shortfall in immediately available funds to an account designated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Closing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Subject to the terms and conditions of this Agreement, the closing of the Transactions (each, 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no later than three (3) Business Days after the last of the applicable conditions to Closing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have been satisfied or waived (other than conditions which, by their nature, are to be satisfied on the Closing Date), or at such other time or on such other date as the Member and Buyer may mutually agree upon in writing. The day on which the Closing takes place shall be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Closing shall be effective at 12:01 a.m. Eastern Time on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Closing Deliveries</w:t>
      </w:r>
      <w:r>
        <w:rPr>
          <w:rFonts w:ascii="Times New Roman;Times;Serif" w:hAnsi="Times New Roman;Times;Serif"/>
          <w:b w:val="false"/>
          <w:i w:val="false"/>
          <w:caps w:val="false"/>
          <w:smallCaps w:val="false"/>
          <w:sz w:val="20"/>
        </w:rPr>
        <w:t>. At or prior to the Closing, the Member shall deliver, or cause to be delivered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customary Lien and guarantor release documentation (i) from Odyssey Trust Company, in its capacity as trustee and collateral agent of the (A) 9.25% senior notes due December 31, 2028 and (B) 9.0% senior secured convertible notes due December 31, 2028 (collectively,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evidencing release and termination of all Liens on any assets of the Companies and release of any guarantees by the Companies in respect thereof and (ii) with respect to the Cultivation Property, solely to the extent the buyer thereof elects to repay the existing indebtedness and mortgage thereon in full upon such property’s acquisition on or prior to the Closing (“</w:t>
      </w:r>
      <w:r>
        <w:rPr>
          <w:rFonts w:ascii="Times New Roman;Times;Serif" w:hAnsi="Times New Roman;Times;Serif"/>
          <w:b w:val="false"/>
          <w:i w:val="false"/>
          <w:caps w:val="false"/>
          <w:smallCaps w:val="false"/>
          <w:sz w:val="20"/>
          <w:u w:val="single"/>
        </w:rPr>
        <w:t>Lien Releases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counterpart of the Bill of Sale, Assignment and Assumption Agreement for the Transferred Assets,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Bill of Sale, Assignment and Assumption Agreement</w:t>
      </w:r>
      <w:r>
        <w:rPr>
          <w:rFonts w:ascii="Times New Roman;Times;Serif" w:hAnsi="Times New Roman;Times;Serif"/>
          <w:b w:val="false"/>
          <w:i w:val="false"/>
          <w:caps w:val="false"/>
          <w:smallCaps w:val="false"/>
          <w:sz w:val="20"/>
        </w:rPr>
        <w:t>”), duly executed by the Seller Entities and the Member;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certificate, dated as of the Closing Date for each Company and signed by a duly authorized officer of each such Company, that each of the applicable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7.2(c) </w:t>
      </w:r>
      <w:r>
        <w:rPr>
          <w:rFonts w:ascii="Times New Roman;Times;Serif" w:hAnsi="Times New Roman;Times;Serif"/>
          <w:b w:val="false"/>
          <w:i w:val="false"/>
          <w:caps w:val="false"/>
          <w:smallCaps w:val="false"/>
          <w:sz w:val="20"/>
        </w:rPr>
        <w:t>have been satisfied with respect to each such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properly completed and executed IRS Form W-9 from each of the Seller Parties (or, as applicable, each such Seller Party’s regarded owner) and, with respect to an IRS Form W-9 for a Seller Party that is a disregarded entity for federal income tax purposes, such IRS Form W-9 shall (i) identify the Seller Party that is disregarded as separate from its owner within the meaning of Treasury Regulations Section 301.7701-2(c)(2)(i), and its regarded owner, and (ii) certify that the Seller Party, or such Seller Party’s regarded owner is a “United States person” within the meaning of Code Section 7701(a)(30)(C) (pursuant to Code Section 7874(b)) and Code Section 1445(f)(3) and is exempt from U.S.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lease assignment in a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Lease Assignment</w:t>
      </w:r>
      <w:r>
        <w:rPr>
          <w:rFonts w:ascii="Times New Roman;Times;Serif" w:hAnsi="Times New Roman;Times;Serif"/>
          <w:b w:val="false"/>
          <w:i w:val="false"/>
          <w:caps w:val="false"/>
          <w:smallCaps w:val="false"/>
          <w:sz w:val="20"/>
        </w:rPr>
        <w:t>”) with respect to each Real Estate Lease, duly executed by the applicable Seller Entity and, if required by the applicable Real Estate Lease, the landlord party thereto;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third-party consents and approvals obtained in the manner set forth on </w:t>
      </w:r>
      <w:r>
        <w:rPr>
          <w:rFonts w:ascii="Times New Roman;Times;Serif" w:hAnsi="Times New Roman;Times;Serif"/>
          <w:b w:val="false"/>
          <w:i w:val="false"/>
          <w:caps w:val="false"/>
          <w:smallCaps w:val="false"/>
          <w:sz w:val="20"/>
          <w:u w:val="single"/>
        </w:rPr>
        <w:t>Schedule 2.6(b)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 electronic copy of the VDR with respect to the Business;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Intellectual Property Assignment, duly executed by Green Leaf Medical.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Buyer Deliveries</w:t>
      </w:r>
      <w:r>
        <w:rPr>
          <w:rFonts w:ascii="Times New Roman;Times;Serif" w:hAnsi="Times New Roman;Times;Serif"/>
          <w:b w:val="false"/>
          <w:i w:val="false"/>
          <w:caps w:val="false"/>
          <w:smallCaps w:val="false"/>
          <w:sz w:val="20"/>
        </w:rPr>
        <w:t>. At or prior to the Closing, Buyer, the Cultivation Buyer or the Dispensary Buyer shall deliver, pay or issue (or cause to be delivered, paid or issued),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Member, the Closing Cash Payment;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counterpart of the Bill of Sale, Assignment and Assumption Agreement, duly executed by each of the Cultivation Buyer and the Dispensary Buyer, pursuant to which each Buyer shall take assignment assumption of their respective Relevant Transferred Assets and Relevant Assumed Liabilities;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the Member, a certificate, dated as of the Closing Date signed by a duly authorized officer of Buyer, that each of the applicable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payment and issuance to be made by Buyer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shall be made to the account (including wire instructions) and in the amount designated in writing by the Member no later than two (2) Business Days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xml:space="preserve">. Notwithstanding anything herein to the contrary, Buyer and each Company, as applicable, shall be entitled to deduct and withhold from any amounts otherwise payable pursuant to this Agreement to any Person such amounts that Buyer or each Company (or any Affiliate thereof), as applicable, shall determine in good faith it is required to deduct and withhold from such Person under the Code and the rules and regulations promulgated thereunder, or any other provision of applicable Tax Law; provided, however, that if Buyer or each Company (or any Affiliate thereof), as applicable, becomes aware of any such requirement to deduct or withhold on any such amount paid after Closing, Buyer shall promptly notify the Member in writing (and in no event later than five (5) Business Days prior to the date on which payment is to be made) of any amounts Buyer or each Company intends to deduct or withhold under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and shall cooperate in good faith with the Member to minimize or eliminate such deduction or withholding to the maximum extent permitted by applicable Law. To the extent that amounts are so withheld by Buyer or each Company, such withheld amounts, to the extent paid over to the applicable Governmental Entity in such manner as may be required by applicable Law, shall be treated for all purposes of this Agreement as having been paid to such Person in respect of which such deduction and withholding was made by Buyer or each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r>
      <w:r>
        <w:rPr>
          <w:rFonts w:ascii="Times New Roman;Times;Serif" w:hAnsi="Times New Roman;Times;Serif"/>
          <w:b w:val="false"/>
          <w:i w:val="false"/>
          <w:caps/>
          <w:sz w:val="20"/>
          <w:u w:val="single"/>
        </w:rPr>
        <w:t>Representations and Warranties Concerning the Companies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Cannabist, the Member, and each Seller Entity hereby represent and warrant to Buyer, jointly and severally, that the following representations and warranties are true and correct except as set forth in the Disclosure Schedules delivered by the Seller Parties to Buyer as of the date of this Agreement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Authorization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Company is duly formed, validly existing and in good standing in the jurisdiction of its formation and, if it was not formed in Maryland, in the State of Maryland. Each Company has all requisite corporate power and authority to own, operate and lease its properties and carry on its business as currently conducted. Neither the character of such Company’s properties nor the nature of such Company’s businesses requires the applicable Company to qualify to do business as a foreign entity in any jurisdiction except where the failure to so qualify would not, individually or in the aggregate, reasonably be expected to have a Material Adverse Effect. Each Company’s Organizational Documents as made available to Buyer’s counsel (collectively, the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are complete and correct in all material respects, and no amendments thereto are pending as of the date hereof (except to the extent expressly contemplated by this Agreement). No Company is in default under any provision of its Governing Documents. Subject to obtaining the Sale Order, each Company has the full power and authority to execute and deliver the Transaction Agreements to which it is a party, to perform its obligations hereunder and thereunder and to consummate the Transactions to which it is a party. The necessary governing bodies of each Company have duly approved, authorized the execution, delivery, and consummation of the Transaction Agreements to which such Company is a party. Subject to obtaining the Sale Order, the Transaction Agreements to which each Company is a party have been duly executed and delivered by such Company, as applicable, and constitute the legal, valid and binding obligations of such Company, as applicable, enforceable against such Company, as applicable, in accordance with their terms, except as may be limited by bankruptcy, insolvency, reorganization or other Laws affecting creditors’ rights generally and by general equitable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Member and Cannabist is a legal entity duly organized, validly existing and in good standing under the Laws of its jurisdiction of organization. Each of the Member and Cannabist has the legal capacity and has been duly authorized by the necessary governing bodies to enter into the Transaction Agreements to which the Member and Cannabist, as applicable, is a party and perform the Member’s obligations hereunder and thereunder. The Transaction Agreements to which the Member and Cannabist is a party, have been duly executed and delivered by the Member and Cannabist and constitute the legal, valid and binding obligations of the Member and Cannabist, enforceable in accordance with their respective terms, except as such may be limited by bankruptcy, insolvency, reorganization or other Laws affecting creditors’ rights generally and by general equitable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 xml:space="preserve">Schedule 3.2 </w:t>
      </w:r>
      <w:r>
        <w:rPr>
          <w:rFonts w:ascii="Times New Roman;Times;Serif" w:hAnsi="Times New Roman;Times;Serif"/>
          <w:b w:val="false"/>
          <w:i w:val="false"/>
          <w:caps w:val="false"/>
          <w:smallCaps w:val="false"/>
          <w:sz w:val="20"/>
        </w:rPr>
        <w:t>and subject to the entry of the Sale Order and such Sale Order still being in effect and not subject to any stay pending appeal, the execution, delivery and performance of the Transaction Agreements and the consummation of the Transactions by each of Cannabist, the Member and the Companies do not and will not (i) trigger or otherwise result in the modification, termination or acceleration of any Contract or Permit, give any Person the right to modify or terminate any Contract or Permit or give any Person the right to modify, terminate or accelerate any benefit, right, liability or obligation, or require any notice or consent or approval under, any Material Contract, (ii) violate, conflict with or result in a breach of any term or condition of any Material Contract or Permit (including a breach due to the failure to notify or obtain the prior consent or waiver of any Person), (iii) require the authorization, consent or approval of, an exemption or waiver from, notice or declaration to, or the filing of any document with, or the payment of any amounts to, any Person, (iv) constitute a default under (whether with or without the giving of notice, the passage of time or both) any Governing Documents, any Contract or any Permit of Cannabist, the Member or any Company, (v) violate or result in a violation of, or constitute a default under (whether after the giving of notice, lapse of time or both), any provision of any Law, or any Order of, or any restriction imposed by, any Governmental Entity, or (vi) result in the creation of any Lien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Financial Statements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Attached as </w:t>
      </w:r>
      <w:r>
        <w:rPr>
          <w:rFonts w:ascii="Times New Roman;Times;Serif" w:hAnsi="Times New Roman;Times;Serif"/>
          <w:b w:val="false"/>
          <w:i w:val="false"/>
          <w:caps w:val="false"/>
          <w:smallCaps w:val="false"/>
          <w:sz w:val="20"/>
          <w:u w:val="single"/>
        </w:rPr>
        <w:t>Schedule 3.4(a)</w:t>
      </w:r>
      <w:r>
        <w:rPr>
          <w:rFonts w:ascii="Times New Roman;Times;Serif" w:hAnsi="Times New Roman;Times;Serif"/>
          <w:b w:val="false"/>
          <w:i w:val="false"/>
          <w:caps w:val="false"/>
          <w:smallCaps w:val="false"/>
          <w:sz w:val="20"/>
        </w:rPr>
        <w:t xml:space="preserve"> are the following financial statements (collectively,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(i) the unaudited balance sheet of the Companies as of December 31, 2025 (the “</w:t>
      </w:r>
      <w:r>
        <w:rPr>
          <w:rFonts w:ascii="Times New Roman;Times;Serif" w:hAnsi="Times New Roman;Times;Serif"/>
          <w:b w:val="false"/>
          <w:i w:val="false"/>
          <w:caps w:val="false"/>
          <w:smallCaps w:val="false"/>
          <w:sz w:val="20"/>
          <w:u w:val="single"/>
        </w:rPr>
        <w:t>Latest Balance Sheet</w:t>
      </w:r>
      <w:r>
        <w:rPr>
          <w:rFonts w:ascii="Times New Roman;Times;Serif" w:hAnsi="Times New Roman;Times;Serif"/>
          <w:b w:val="false"/>
          <w:i w:val="false"/>
          <w:caps w:val="false"/>
          <w:smallCaps w:val="false"/>
          <w:sz w:val="20"/>
        </w:rPr>
        <w:t>”), and the related statement of profit and loss for the twelve-month period then ended, and (ii) the unaudited balance sheet of the Companies as of December 31, 2024 and December 31, 2023 and the related statement of profit and loss for each of the twelve-month periods then ended. The Financial Statements of the Companies: (A) are true, accurate and complete in all material respects, do not omit to state any fact necessary to make the statements contained therein in light of the circumstances in which they were made, not misleading, and were prepared in accordance with GAAP applied on a consistent basis throughout the periods indicated, (B) are consistent with the books and records of the Companies (which, in turn, are accurate and complete in all material respects), (C) present fairly in all material respects the financial condition of the Companies as of the respective dates thereof and the operating results of the Companies for the periods covered thereby and (D) do not reflect any transactions which are not bona fide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inventory reflected in the Financial Statements has been recorded in the Ordinary Course of Business, conforms in all material respects with all applicable specifications and warranties, and consists of a quantity and quality usable or salable, as applicable, in the Ordinary Course of Business, except for unmarketable, obsolete, defective or damaged inventory that has been written off or written down to fair market value or for which adequate reserves have been established. If saleable, inventory is saleable within a reasonable period of time and without discount outside of the Ordinary Course of Business. Since the date of the Latest Balance Sheet, the inventory levels of such Company have been maintained at levels sufficient for the continuation of the business of such Company in the Ordinary Course of Business. All inventory used in the operation of the business is located at real property either owned or leased by such Companies and is not held on consignment, nor are there any Liabilities related to consigned inventory or other goods.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3.4(c)</w:t>
      </w:r>
      <w:r>
        <w:rPr>
          <w:rFonts w:ascii="Times New Roman;Times;Serif" w:hAnsi="Times New Roman;Times;Serif"/>
          <w:b w:val="false"/>
          <w:i w:val="false"/>
          <w:caps w:val="false"/>
          <w:smallCaps w:val="false"/>
          <w:sz w:val="20"/>
        </w:rPr>
        <w:t xml:space="preserve">, no Company has any material Liabilities (contingent or otherwise) and there is no existing condition, fact or set of circumstances that would reasonably be expected to result in any Liabilities, except for: (i) performance obligations under Contracts described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xml:space="preserve"> (or under Contracts entered into in the Ordinary Course of Business which, because of the dollar thresholds set forth in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are not required to be described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none of which involves non-performance or a breach), (ii) Liabilities reflected (and adequately reserved for) on the face of the Latest Balance Sheet and (iii) Liabilities of the type set forth on the face of the Latest Balance Sheet which have arisen after the date of the Latest Balance Sheet in the Ordinary Course of Business (none of which is a liability for breach of Contract or involves a tort, infringement, claim, lawsuit, warranty or environmental, health or safety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Such Company has established and adhered to a system of internal accounting controls which is designed to provide assurance regarding the reliability of financial reporting. During the past three (3) years, there has not been (i) any significant deficiency or weakness in the system of internal accounting controls used by such Company except as set forth on </w:t>
      </w:r>
      <w:r>
        <w:rPr>
          <w:rFonts w:ascii="Times New Roman;Times;Serif" w:hAnsi="Times New Roman;Times;Serif"/>
          <w:b w:val="false"/>
          <w:i w:val="false"/>
          <w:caps w:val="false"/>
          <w:smallCaps w:val="false"/>
          <w:sz w:val="20"/>
          <w:u w:val="single"/>
        </w:rPr>
        <w:t>Schedule 3.4(d)</w:t>
      </w:r>
      <w:r>
        <w:rPr>
          <w:rFonts w:ascii="Times New Roman;Times;Serif" w:hAnsi="Times New Roman;Times;Serif"/>
          <w:b w:val="false"/>
          <w:i w:val="false"/>
          <w:caps w:val="false"/>
          <w:smallCaps w:val="false"/>
          <w:sz w:val="20"/>
        </w:rPr>
        <w:t>, (ii) any Fraud by any of such Company’s managers, directors, officers, employees or independent contractors, (iii) any wrongdoing that involves any manager, director, officer, employee or independent contractor of such Company who has or had a role in the preparation of Financial Statements or the internal accounting controls used by such Company or (iv) any claim or allegation regarding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Absence of Developments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date of the Latest Balance Sheet, there has been no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3.5(b)</w:t>
      </w:r>
      <w:r>
        <w:rPr>
          <w:rFonts w:ascii="Times New Roman;Times;Serif" w:hAnsi="Times New Roman;Times;Serif"/>
          <w:b w:val="false"/>
          <w:i w:val="false"/>
          <w:caps w:val="false"/>
          <w:smallCaps w:val="false"/>
          <w:sz w:val="20"/>
        </w:rPr>
        <w:t xml:space="preserve"> and in connection with the Canadian Proceeding, since the date of the Latest Balance Sheet, no Company has taken any action described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that, if such action had been taken after the date hereof and prior to the Closing without the prior written consent of Buyer, would have violated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Companies owns any real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3.6(b)</w:t>
      </w:r>
      <w:r>
        <w:rPr>
          <w:rFonts w:ascii="Times New Roman;Times;Serif" w:hAnsi="Times New Roman;Times;Serif"/>
          <w:b w:val="false"/>
          <w:i w:val="false"/>
          <w:caps w:val="false"/>
          <w:smallCaps w:val="false"/>
          <w:sz w:val="20"/>
        </w:rPr>
        <w:t xml:space="preserve"> sets forth a complete list of all leases or subleases, in effect on the date hereof, with respect to which any of the Companies lease, sublease, or otherwise occupy any Leased Real Property (individually, a “</w:t>
      </w:r>
      <w:r>
        <w:rPr>
          <w:rFonts w:ascii="Times New Roman;Times;Serif" w:hAnsi="Times New Roman;Times;Serif"/>
          <w:b w:val="false"/>
          <w:i w:val="false"/>
          <w:caps w:val="false"/>
          <w:smallCaps w:val="false"/>
          <w:sz w:val="20"/>
          <w:u w:val="single"/>
        </w:rPr>
        <w:t>Real Estate Lease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Real Estate Leases</w:t>
      </w:r>
      <w:r>
        <w:rPr>
          <w:rFonts w:ascii="Times New Roman;Times;Serif" w:hAnsi="Times New Roman;Times;Serif"/>
          <w:b w:val="false"/>
          <w:i w:val="false"/>
          <w:caps w:val="false"/>
          <w:smallCaps w:val="false"/>
          <w:sz w:val="20"/>
        </w:rPr>
        <w:t>”). Except as such may be limited by bankruptcy, insolvency, reorganization or other Laws affecting creditors’ rights generally and by general equitable principles, each Company has a valid, binding and enforceable leasehold interest under each of the Real Estate Leases, free and clear of all Liens (other than Permitted Liens and Liens that will be released pursuant to the Lien Releases). None of the Companies nor, to the Companies’ Knowledge, any other party thereto, is in material breach or material default under any of the Real Estate Leases, other than breaches or defaults which have been cured or waived in writing, and no event has occurred or circumstance or fact exists which, with the delivery of notice, the passage of time or both, would constitute such a material breach or material default, or permit the termination or acceleration of rent under the Real Estate Leases. No Company has subleased, licensed or otherwise granted any Person the right to use or occupy the Leased Real Property or any portion thereof or has collaterally assigned or granted any other security interest in such Real Estate Lease or any interest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Schedule 3.6(c)</w:t>
      </w:r>
      <w:r>
        <w:rPr>
          <w:rFonts w:ascii="Times New Roman;Times;Serif" w:hAnsi="Times New Roman;Times;Serif"/>
          <w:b w:val="false"/>
          <w:i w:val="false"/>
          <w:caps w:val="false"/>
          <w:smallCaps w:val="false"/>
          <w:sz w:val="20"/>
        </w:rPr>
        <w:t xml:space="preserve"> sets forth a description of all material Leasehold Improvements for each Leased Real Property. Such Company has good and marketable title to its Leasehold Improvements, free and clear of all Liens, </w:t>
      </w:r>
      <w:r>
        <w:rPr>
          <w:rFonts w:ascii="Times New Roman;Times;Serif" w:hAnsi="Times New Roman;Times;Serif"/>
          <w:b w:val="false"/>
          <w:i w:val="false"/>
          <w:caps w:val="false"/>
          <w:smallCaps w:val="false"/>
          <w:sz w:val="20"/>
          <w:shd w:fill="FFFFFF" w:val="clear"/>
        </w:rPr>
        <w:t xml:space="preserve">other than the Permitted Liens and Liens that will be released pursuant to the Lien Releases, and to the Companies’ Knowledge, </w:t>
      </w:r>
      <w:r>
        <w:rPr>
          <w:rFonts w:ascii="Times New Roman;Times;Serif" w:hAnsi="Times New Roman;Times;Serif"/>
          <w:b w:val="false"/>
          <w:i w:val="false"/>
          <w:caps w:val="false"/>
          <w:smallCaps w:val="false"/>
          <w:sz w:val="20"/>
        </w:rPr>
        <w:t>there are no outstanding options, rights of first offer or rights of first refusal to purchase any such Leasehold Improvements or any portion thereof or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Leased Real Property, together with the Cultivation Property, comprises all of the real property used or intended to be used in, and that is necessary in the operation of, the Business, as currently conducted.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 xml:space="preserve">To the Companies’ Knowledge, </w:t>
      </w: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shd w:fill="FFFFFF" w:val="clear"/>
        </w:rPr>
        <w:t>there are no material structural deficiencies or latent defects affecting any of the Leasehold Improvements and (ii) there are no facts or conditions affecting any of the Leasehold Improvements or the Leased Real Properties which would, individually or in the aggregate, interfere in any material respect with the use or occupancy of the Leasehold Improvements, the Leased Real Properties, or any portion thereof in the current operation of the Business. To the Companies’ Knowledge, the Leasehold Improvements and the Leased Real Properties, in all material respects, are in good condition and repair and the systems located therein are in good working order and adequate to operate such facilities as currently used and do not require material repair or replacement in order to serve their intended purposes, except for scheduled maintenance, repairs and replacements conducted or required in the Ordinary Course of Business with respect to the operation of the Leased Real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shd w:fill="FFFFFF" w:val="clear"/>
        </w:rPr>
        <w:t>To the Companies’ Knowledge, none of the Leasehold Improvements encroach on any adjoining property owned by others or public rights of way.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Companies’ Knowledge, such Company has not received written notice of any condemnation or other Proceeding in eminent domain pending or threatened, affecting any Leased Real Property or any portion thereof or interest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Leased Real Property is supplied with all water, gas, electrical, telecommunications systems, sanitary sewer, storm sewer and other utility systems (the “</w:t>
      </w:r>
      <w:r>
        <w:rPr>
          <w:rFonts w:ascii="Times New Roman;Times;Serif" w:hAnsi="Times New Roman;Times;Serif"/>
          <w:b w:val="false"/>
          <w:i w:val="false"/>
          <w:caps w:val="false"/>
          <w:smallCaps w:val="false"/>
          <w:sz w:val="20"/>
          <w:u w:val="single"/>
        </w:rPr>
        <w:t>Utility Systems</w:t>
      </w:r>
      <w:r>
        <w:rPr>
          <w:rFonts w:ascii="Times New Roman;Times;Serif" w:hAnsi="Times New Roman;Times;Serif"/>
          <w:b w:val="false"/>
          <w:i w:val="false"/>
          <w:caps w:val="false"/>
          <w:smallCaps w:val="false"/>
          <w:sz w:val="20"/>
        </w:rPr>
        <w:t xml:space="preserve">”) and all Utility Systems are operational and sufficient </w:t>
      </w:r>
      <w:r>
        <w:rPr>
          <w:rFonts w:ascii="Times New Roman;Times;Serif" w:hAnsi="Times New Roman;Times;Serif"/>
          <w:b w:val="false"/>
          <w:i w:val="false"/>
          <w:caps w:val="false"/>
          <w:smallCaps w:val="false"/>
          <w:sz w:val="20"/>
          <w:shd w:fill="FFFFFF" w:val="clear"/>
        </w:rPr>
        <w:t>in each case to the extent reasonably necessary</w:t>
      </w:r>
      <w:r>
        <w:rPr>
          <w:rFonts w:ascii="Times New Roman;Times;Serif" w:hAnsi="Times New Roman;Times;Serif"/>
          <w:b w:val="false"/>
          <w:i w:val="false"/>
          <w:caps w:val="false"/>
          <w:smallCaps w:val="false"/>
          <w:sz w:val="20"/>
        </w:rPr>
        <w:t xml:space="preserve"> for the operation and use of the Leased Real Property as currently operated.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shd w:fill="FFFFFF" w:val="clear"/>
        </w:rPr>
        <w:t xml:space="preserve">To the Companies’ Knowledge, </w:t>
      </w: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shd w:fill="FFFFFF" w:val="clear"/>
        </w:rPr>
        <w:t>each parcel of Leased Real Property has adequate vehicular and pedestrian ingress, egress and access to such parcel and (ii) there are no conditions which will result in the termination of the present access from the Leased Real Property to existing highways or roads.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shd w:fill="FFFFFF" w:val="clear"/>
        </w:rPr>
        <w:t xml:space="preserve">To the Companies’ Knowledge, </w:t>
      </w: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shd w:fill="FFFFFF" w:val="clear"/>
        </w:rPr>
        <w:t>there has not been in the past 12 months, and there is not now, any casualty affecting the Leased Real Property, and (ii) there is not now any material disrepair or damage that remains unrepaired, due to any prior casualty, if any, affecting the Leased Real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Company or, solely to the extent related to the Sugarloaf MSA and the Sugarloaf Purchase Option Agreement, the Member, owns good, marketable and valid title to, or holds a valid leasehold interest in, all material, tangible properties and assets owned or leased by such Company or the Member shown on the Latest Balance Sheet or acquired thereafter, free and clear of all Liens, other than the Permitted Liens or Liens that will be released pursuant to the Lien Releases. Except as disclosed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neither the Member nor any of its Affiliates (other than the Companies) owns, whether directly or indirectly (exclusively other than indirectly through the Member’s equity ownership), any assets used by such Company. Such Company’s buildings, improvements, fixtures, machinery, equipment and other tangible assets (whether owned or leased) are, except for ordinary wear and tear, in good condition and repair and are usable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(i) the Non-Transferred Employees and (ii) the Excluded Assets, the Transferred Assets and the rights, properties, and assets owned or used by the Companies and solely to the extent related to the Sugarloaf MSA or the Sugarloaf Purchase Option Agreement, the Member comprise all of the assets, tangible and intangible, of any nature whatsoever, necessary for or used in the business of the Companies (and with respect to the Member, the business conducted pursuant to the Sugarloaf MSA and the Sugarloaf Purchase Option Agreement) and are sufficient to permit Buyers to collectively conduct such businesses immediately following the Closing in substantially the same form and manner as conducted by the Companies (and the business conducted pursuant to the Sugarloaf MSA and the Sugarloaf Purchase Option Agreement with respect to the Member) during the twelve (12) month period immediately prior to the Closing. No Affiliate of such Seller Entity (other than the Member with respect to the Sugarloaf MSA and the Sugarloaf Purchase Option Agreement) owns or has any rights in or to any of the Transferred Assets or any other assets, properties or rights related to or used in connection with the business of the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material Tax Returns required to be filed prior to the Closing Date with respect to the Transferred Assets pursuant to applicable Laws have been filed and such Tax Returns are accurate, complete and correct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Taxes due and payable prior to the Closing Date with respect to the Transferred Assets (whether or not shown or required to be shown on any Tax Return) have been timely paid.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Liens for Taxes upon any of the Transferred Assets,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such Company is not party to, or bound by (excluding Company Employee Benefit Plans), any: (i) collective bargaining agreement or other Contract with any labor organization; (ii) employment, staffing, independent contractor, retirement, equity based, profit sharing, bonus (including transaction or retention bonus), consulting, incentive, separation, change in control, deferred compensation or severance Contract with any directors, officers, employees or independent contractors of such Company at annual compensation in excess of $200,000; (iii) Contract relating to Indebtedness or to mortgaging, pledging or otherwise placing a Lien on any of such Company’s assets or to the guaranty of any obligation for borrowed money or otherwise; (iv) Contract with respect to the advancement, lending or investing of funds; (v) Contract containing any grant by any Person to any Company of any license, sublicense, or covenant not to assert, under or with respect to any Intellectual Property of any Person, other than Incidental Licenses; (vi) Contract or lease under which any Company is a lessee of or holds or operates any property, real or personal, owned by any other Person, that involves annual payments of more than $100,000; (vii) Contract not terminable by such Company upon 90 days’ or less notice without penalty; (viii) Contract which contains any provision with respect to exclusivity in favor of any third Person; (ix) Contract prohibiting, limiting or otherwise restricting in any way any Company from soliciting or hiring employees, of any other Person; (x) Contract involving the settlement of any Proceeding or threatened Proceeding in excess of $100,000 or that involves an admission of wrongdoing, the institution of mandated new procedures or other business conduct, or the imposition of equitable or similar relief; (xi) Contract containing an obligation concerning or consisting of a joint venture, alliance or similar arrangement; (xii) Contract under which any Company is, or may become, obligated to pay an amount in respect of indemnification obligations, deferred purchase price, purchase price adjustment or otherwise in connection with any acquisition or disposition of material assets or securities, merger, consolidation or other business combination; (xiii) Contract with a Material Supplier; (xiv) Contract that purports to (A) limit or restrict the ability of such Company to enter into or engage in any market or line of business (for the avoidance of doubt, excluding confidentiality agreements or similar agreements entered into in the Ordinary Course of Business), (B) restrict in any material respect the manufacture, marketing or distribution of any products of such Company; (xv) Contract providing for the research or development by a third party of any material product of such Company; (xvi) Contract that is a distributor, group purchasing organization or similar network Contract; (xvii) Contract for the sale of any material assets of such Company other than sales of inventory in the Ordinary Course of Business; or (xviii) Contract with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 Material Contract has been breached in any material respect or cancelled by any party thereto, and, to the Companies’ Knowledge, there has been no event which, upon giving of notice or lapse of time or both, would constitute such a breach or default, (ii) each Material Contract is legal, valid, binding and enforceable against the applicable Company and, to the Companies’ Knowledge, against each other party thereto, and is in full force and effect, (iii) to the Companies’ Knowledge, no party to a Material Contract has made a claim in writing of force majeure, (iv) no Company has received any written notice of intention to terminate or amend any Material Contract, and to the Companies’ Knowledge, no such action has been threatened, and (v) such Company has made available to Buyer a true and correct copy of each Material Contract. For purposes of this Agreement,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xml:space="preserve">” means each Contract listed or required to be listed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Intellectual Property; Data Privacy and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3.10(a)</w:t>
      </w:r>
      <w:r>
        <w:rPr>
          <w:rFonts w:ascii="Times New Roman;Times;Serif" w:hAnsi="Times New Roman;Times;Serif"/>
          <w:b w:val="false"/>
          <w:i w:val="false"/>
          <w:caps w:val="false"/>
          <w:smallCaps w:val="false"/>
          <w:sz w:val="20"/>
        </w:rPr>
        <w:t xml:space="preserve"> contains a correct, current, and complete list of (i) all Intellectual Property registrations of each Company, specifying as to each, as applicable: the title, mark, or design; the record owner and inventor(s), if any; the jurisdiction by or in which it has been issued, registered, or filed; the patent, registration, or application serial number; the issue, registration, or filing date; and the current status; (ii) all material unregistered and/or material common law Trademarks owned by each Company; (iii) all material proprietary software owned by each Company; and (iv) all domain names owned by each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Schedule 3.10(b)</w:t>
      </w:r>
      <w:r>
        <w:rPr>
          <w:rFonts w:ascii="Times New Roman;Times;Serif" w:hAnsi="Times New Roman;Times;Serif"/>
          <w:b w:val="false"/>
          <w:i w:val="false"/>
          <w:caps w:val="false"/>
          <w:smallCaps w:val="false"/>
          <w:sz w:val="20"/>
        </w:rPr>
        <w:t xml:space="preserve">, such Company is the sole and exclusive legal and beneficial, and with respect to the registered Intellectual Property of such Company, record, owner of all right, title, and interest in and to the registered Intellectual Property, and has the valid and enforceable right to use all other Intellectual Property, used or held for use by such Company in the conduct of the Companies’ business as currently conducted, in each case, free and clear of Liens other than Permitted Liens. Except as set forth in </w:t>
      </w:r>
      <w:r>
        <w:rPr>
          <w:rFonts w:ascii="Times New Roman;Times;Serif" w:hAnsi="Times New Roman;Times;Serif"/>
          <w:b w:val="false"/>
          <w:i w:val="false"/>
          <w:caps w:val="false"/>
          <w:smallCaps w:val="false"/>
          <w:sz w:val="20"/>
          <w:u w:val="single"/>
        </w:rPr>
        <w:t>Schedule 3.10(b)</w:t>
      </w:r>
      <w:r>
        <w:rPr>
          <w:rFonts w:ascii="Times New Roman;Times;Serif" w:hAnsi="Times New Roman;Times;Serif"/>
          <w:b w:val="false"/>
          <w:i w:val="false"/>
          <w:caps w:val="false"/>
          <w:smallCaps w:val="false"/>
          <w:sz w:val="20"/>
        </w:rPr>
        <w:t>, such Company has entered into binding, valid and enforceable, written agreements with each current and former employee, current and former independent contractor, and any other Person involved in the creation or development of material Intellectual Property of such Company whereby such employee, independent contractor, or other Person grants to such Company an assignment of any ownership interest such employee, independent contractor, or other Person may have in or to Intellectual Property, to the extent such Intellectual Property does not constitute a “work made for hire” within the meaning of 17 U.S.C. §§ 101 and 201 of the Copyright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Intellectual Property registrations of such Company are subsisting and, to the Companies’ Knowledge, in full force and effect. Such Company has (i) taken all necessary steps to maintain and enforce such Intellectual Property which is registered or for which an application for registration has been filed and (ii) taken all commercially reasonable steps to preserve the confidentiality of all material trade secrets included in the Intellectual Property of such Company. All required filings and fees related to the registered Intellectual Property of such Company have been timely submitted with and paid to the relevant Governmental Entity and authorized registrars.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delivery or performance of this Agreement, nor the consummation of the transaction contemplated hereunder, will result in the loss or impairment of, or require the consent of any other Person in respect of, any Company’s rights to own or use any material Intellectual Property of such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Company has implemented and for the past three (3) years maintained commercially reasonable security procedures and practices to safeguard the availability, security and integrity of the IT Assets and all data and information stored thereon, including by implementing disaster recovery and security plans and procedures.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Companies’ Knowledge, the conduct and operation of the Business have not, in the past three (3) years, infringed, misappropriated or otherwise violated, and do not infringe, misappropriate or otherwise violate, any Intellectual Property of any Person. No Company is the subject of any pending Proceeding that either alleges a claim of infringement, misappropriation or other violation of any Intellectual Property rights of any Person, and, to the Companies’ Knowledge, no such claims have been asserted or are threatened against any Company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Company is and for the past three (3) years has been, in material compliance in all material respects with all Privacy and Security Requirements. Such Company has not, and, to the Companies’ Knowledge, no third-party Processing Personal Information on behalf of any Company has, suspected or experienced any material Security Breaches. No Company has received any written notices or complaints from any Person (including any Governmental Entity) regarding the unauthorized Processing of Personal Information or non-compliance with Privacy and Security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be material to any Company’s business as a whole, (i) such Company has valid and legal rights to Process all of the Personal Information that is Processed by or on behalf of such Company in connection with the use and/or operation of its business, (ii) and the execution, delivery, or performance of this Agreement will not affect such rights or violate any Privacy and Security Requirements. Such Company has implemented, and used commercially reasonable efforts to require all third parties that receive Personal Information from or on behalf of such Company, commercially reasonable physical, technical and administrative safeguards consistent with industry standards that are designed to protect Personal Information from unauthorized access by any Person, and to ensure compliance in all material respects with all applicable Privacy and Security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and there have not been any within the last three (3) years, Proceedings pending or, to the Companies’ Knowledge, threatened against or affecting, the Member or any Company, or any director, manager, officer, executive employee, independent contractor or agent of any Company or any staffing agency used by any Company, at law or in equity, or before or by any Governmental Entity or arbitrator.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None of the Seller Parties, nor any Company, nor anyone on their behalf has engaged any broker, finder or similar agent in connection with the Transactions. There are no claims for brokerage commissions, finders’ fees or similar compensation in connection with the Transactions based on any arrangement or agreement made by or on behalf of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required by Law and identified on </w:t>
      </w:r>
      <w:r>
        <w:rPr>
          <w:rFonts w:ascii="Times New Roman;Times;Serif" w:hAnsi="Times New Roman;Times;Serif"/>
          <w:b w:val="false"/>
          <w:i w:val="false"/>
          <w:caps w:val="false"/>
          <w:smallCaps w:val="false"/>
          <w:sz w:val="20"/>
          <w:u w:val="single"/>
        </w:rPr>
        <w:t>Schedule 3.13(a)</w:t>
      </w:r>
      <w:r>
        <w:rPr>
          <w:rFonts w:ascii="Times New Roman;Times;Serif" w:hAnsi="Times New Roman;Times;Serif"/>
          <w:b w:val="false"/>
          <w:i w:val="false"/>
          <w:caps w:val="false"/>
          <w:smallCaps w:val="false"/>
          <w:sz w:val="20"/>
        </w:rPr>
        <w:t>, no Company is party to or bound by any collective bargaining agreement or other labor-related Contract with an Employee Representative Body (each, a “</w:t>
      </w:r>
      <w:r>
        <w:rPr>
          <w:rFonts w:ascii="Times New Roman;Times;Serif" w:hAnsi="Times New Roman;Times;Serif"/>
          <w:b w:val="false"/>
          <w:i w:val="false"/>
          <w:caps w:val="false"/>
          <w:smallCaps w:val="false"/>
          <w:sz w:val="20"/>
          <w:u w:val="single"/>
        </w:rPr>
        <w:t>Labor Agreement</w:t>
      </w:r>
      <w:r>
        <w:rPr>
          <w:rFonts w:ascii="Times New Roman;Times;Serif" w:hAnsi="Times New Roman;Times;Serif"/>
          <w:b w:val="false"/>
          <w:i w:val="false"/>
          <w:caps w:val="false"/>
          <w:smallCaps w:val="false"/>
          <w:sz w:val="20"/>
        </w:rPr>
        <w:t>”), and no Labor Agreements are currently being negotiated by or on behalf of any Company. No Company employees are represented by an Employee Representative Body with respect to their employment with a Company, and no Company is obligated to, nor within the past three (3) years has undertaken to, recognize any Employee Representative Body as the representative of its employees. Within the past three (3) years, no Company has experienced any strikes, concerted work stoppages or concerted slowdowns, material labor grievances, claims of unfair labor practices or other material labor disputes. To the knowledge of the Companies, there are no ongoing or threatened union organizing or decertification activities with respect to employees of any Company and no such activities have occurred within the past three (3) years.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Company has provided Buyer with a true, complete and accurate list, as of a date within one (1) week of the date hereof, of each employee and individual independent contractor of such Company, as well as each other employee of the Member or its Affiliates who exclusively provides services to the Business and, for each such employee, the date(s) of hire, position and title (if any), current rate of compensation and rate of compensation during the 2025 calendar year (in each case, including bonuses, commissions and incentive compensation, if any), employing entity, whether such Person is exempt or non-exempt for overtime pay purposes, whether such Person is full-time or part-time, the number of such Person’s accrued but unpaid paid time off, whether such Person is absent from active employment and, if so, the date such Person became inactive (if known), the reason for such inactive status and, if applicable, the anticipated date of return to active employment. As of the date hereof, except for de minimis deficiencies, all compensation (including bonuses, commissions and incentive compensation) payable to all employees or independent contractors of each Company for services performed on or before the date hereof have been paid in full and there are no outstanding agreements, understandings, or commitments of the Member or any Company regarding any compensation, wages, commissions, bonuses, or fees.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Company, within the past three (3) years, is and has been in material compliance with all applicable Laws (including local laws) respecting employment, including provisions thereof relating to employment practices, terms and conditions of employment, wages and hours, pay equity, break periods, leaves of absences, paid sick leave, unemployment insurance laws, equal employment, immigration, occupational health and safety, and workers compensation and, in each case, with respect to current and former employees and individual independent contractors. All individuals characterized and treated by the Companies as consultants or independent contractors of the Companies are properly treated as independent contractors, and all employees of the Companies classified as exempt under the Fair Labor Standards Act and state and local wage and hour laws are properly classified as exempt, in each case, in material compliance with applicable Laws. In the past three (3) years, no Company has implemented any “plant closing” or “mass layoff” of employees as those terms are defined under the Worker Adjustment and Retraining Notification Act of 1988, as amended, or any similar state or local law (the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triggering notice under the WARN Act, nor is there presently any outstanding liability under the WARN Act, and no plant closings or mass layoffs of employees that could trigger liability under the WARN Act are currently contemplated, planned, or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knowledge of the Companies, all employees of such Company employed at any time in the past three (3) years, including seasonal and temporary employees, have presented proper documentation (including Form I-9) for employment in the United States with such Company. Within the past three (3) years, such Company has not been the subject of any audit of its immigration, employment verification or Form I-9 practices by any Governmental Entity nor has any Company had any penalties assessed against it by any Governmental Entity due to its hire of unauthorized workers or failure to comply with applicable document collection and retention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the past three (3) years, there has not been any claim, controversy or investigation relating to, or any act or allegation of or relating to, race or sex-based discrimination, race-based or sexual harassment or sexual misconduct, or breach of any policy of any Company relating to the foregoing, in each case involving such Company and any current or former supervisory-level employee, officer, director, executive, or manager (in relation to his or her work at such Company) of such Company. None of the Companies, in the past three (3) years, have entered into any settlement agreements related to allegations of race or sex-based discrimination, race-based or sexual harassment or sexual misconduct, or breach of any policy of any Company relating to the foregoing by any current or former director, officer, or employee at the level of vice president or above at any of the Companies for which any Company has outstanding obligations. Within the past three (3) years, no actions, suits, investigations, or proceedings have been pending or, to the Companies’ Knowledge, threatened, related to any allegations of race or sex-based discrimination, race-based or sexual harassment or sexual misconduct, or breach of any policy of any Company relating to the foregoing by any current or former director, officer, or supervisory-level employee at any of the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3.14(a)</w:t>
      </w:r>
      <w:r>
        <w:rPr>
          <w:rFonts w:ascii="Times New Roman;Times;Serif" w:hAnsi="Times New Roman;Times;Serif"/>
          <w:b w:val="false"/>
          <w:i w:val="false"/>
          <w:caps w:val="false"/>
          <w:smallCaps w:val="false"/>
          <w:sz w:val="20"/>
        </w:rPr>
        <w:t xml:space="preserve"> sets forth a complete and correct list as of the date hereof of each material Company Employee Benefit Plan (or forms thereof with respect to individual arrangements that do not differ in any material respect from such form). For purposes of this Agreement, “</w:t>
      </w:r>
      <w:r>
        <w:rPr>
          <w:rFonts w:ascii="Times New Roman;Times;Serif" w:hAnsi="Times New Roman;Times;Serif"/>
          <w:b w:val="false"/>
          <w:i w:val="false"/>
          <w:caps w:val="false"/>
          <w:smallCaps w:val="false"/>
          <w:sz w:val="20"/>
          <w:u w:val="single"/>
        </w:rPr>
        <w:t>Company Employee Benefit Plan</w:t>
      </w:r>
      <w:r>
        <w:rPr>
          <w:rFonts w:ascii="Times New Roman;Times;Serif" w:hAnsi="Times New Roman;Times;Serif"/>
          <w:b w:val="false"/>
          <w:i w:val="false"/>
          <w:caps w:val="false"/>
          <w:smallCaps w:val="false"/>
          <w:sz w:val="20"/>
        </w:rPr>
        <w:t>” means each “employee benefit plan” (as such term is defined in Section 3(3) of ERISA, whether or not subject to ERISA), each “voluntary employees’ beneficiary association” within the meaning of Section 501(c)(9) of the Code, each employment, consulting, retirement, option, equity or equity-based, phantom equity, profit sharing, bonus, commission, incentive, severance, separation, change in control, retention, deferred compensation, fringe benefit, vacation, paid time off, medical, dental, life, disability or other welfare and each other benefit or compensation plan, program, policy, agreement, arrangement or Contract (i) that is maintained, sponsored or contributed to (or required to be contributed to) by such Company or any ERISA Affiliate and under which any Offered Employee has any present or future right to compensation or benefits or (ii) under or with respect to which any Company has any current or contingent liability or obligation (other than any governmental plan or statutorily required benefits). With respect to each material Company Employee Benefit Plan, to the extent applicable, such Company has furnished to Buyer true and complete copies of (A) the plan documents (and all amendments thereto) (or forms thereof with respect to individual arrangements that do not differ in any material respect from such form), summary plan descriptions and summaries of material modifications, (B) the most recent determination or opinion letter received from the Internal Revenue Service (the “</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(C) the Form 5500 Annual Report (including all Schedules and other attachments) as filed for the most recent year, and (D) all related trust agreements, insurance Contracts, and other funding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Company Employee Benefit Plan provides, and such Company does not have any obligation to provide or any other liability with respect to, post-employment or post-termination health or life insurance or other welfare-type benefits for any Person (other than as required under Part 6 of Subtitle B of Title I of ERISA, Section 4980B of the Code or similar state Law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for which the covered Person pays the full cost of coverage). Such Company and the ERISA Affiliates have complied in all material respects and are in compliance in all material respects with the requirements of COBRA. Such Company does not sponsor, maintain, or contribute to (or is obligated to contribute to) or has any liability under or with respect to: (i) any “employee pension benefit plan,” as defined in Section 3(2) of ERISA, or other plan that is subject to Section 302 or Title IV of ERISA or Section 412 of the Code, (ii) any “multiple employer welfare arrangement” as defined in Section 3(40) of ERISA, or (iii) any multiple employer plan as determined under Section 413 of the Code. Such Company does not have any current or contingent material liability or obligation by reason of at any time being considered a single employer with any other Person under Section 414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Company Employee Benefit Plan that is intended to be qualified within the meaning of Section 401(a) of the Code has received or is otherwise entitled to rely on a current favorable determination or opinion letter to that effect from the IRS, and, to the knowledge of the Companies, no circumstance exists that would reasonably be expected to result in revocation of any such favorable determination or opinion letter or adversely affect the qualified status of any Company Employee Benefit Plan. Each Company Employee Benefit Plan and any related trust, insurance Contract or fund has been established, maintained, funded, operated, and administered, in all material respects, in accordance with its respective terms and in compliance, in all material respects, with all applicable Laws, including ERISA and the Code. Except as would not result in material liability to the Company Group, (i) all contributions (including all employer contributions and employee salary reduction contributions), distributions, reimbursements, and premiums or other payments required to be made prior to the Closing have been timely made and (ii) all contributions, distributions, reimbursements and premiums or other payments for any period ending on or before the Closing Date that are not yet due have been made or properly accrued. Except as would not result in material liability to the Company Group, there has been no non-exempt “prohibited transaction” (as defined in Section 4975 of the Code or Section 406 of ERISA) or breach of fiduciary duty (as determined under ERISA) with respect to any Company Employee Benefit Plan. There are no pending or, to the knowledge of the Companies, threatened Proceedings with respect to any Company Employee Benefit Plan (other than routine claims for benefits), and, to the knowledge of the Companies, there is no circumstance that would reasonably be expected to give rise to any such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Company Employee Benefit Plan is currently under audit or examination by the IRS or the Department of Labor. There are no pending or, to the knowledge of the Companies, threatened, audits, investigations, claims, suits, grievances or other Proceedings, and to the knowledge of the Companies, there are no facts that could reasonably give rise thereto, involving, directly or indirectly, any Company Employee Benefit Plan or any fiduciary or administrator thereof, or any rights or benefits thereby, other than the ordinary and usual claims for benefits by participants, dependents or beneficiaries.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None of the Company Employee Benefit Plans or any other arrangement obligates such Company to pay any separation, severance, termination or any other benefit or compensation that may be triggered, increased or accelerated or otherwise results in the acceleration of time of payment, funding, or vesting as a result of the execution and delivery of this Agreement or any transaction contemplated by this Agreement (alone, or in combination with any other event) or as a result of a change in control or ownership within the meaning of Section 280G of the Code and (ii) no material unfunded liability exists under any Company 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Company does not contribute to, nor has at any time within the previous three (3) years contributed to or had any obligation to contribute to, nor has any current or contingent liability or obligation with respect to, any multiemployer plan within the meaning of Section 3(37) of ERISA.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Company has any written commitment to create, materially modify, or terminate any Company Employee Benefit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Company Employee Benefit Plan that is subject to Section 409A of the Code has been administered in material compliance with its terms and the operational and documentary requirements of Section 409A of the Code and all applicable regulatory guidance (including notices, rulings, and proposed and final regulations) thereunder. Such Company has not any obligation to gross up, indemnify, or otherwise reimburse any individual for any Taxes, interest, or penalties, including those imposed under Section 4999 or Section 409A of the Code (or any similar provisions of state, local, or foreign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Schedule 3.15 </w:t>
      </w:r>
      <w:r>
        <w:rPr>
          <w:rFonts w:ascii="Times New Roman;Times;Serif" w:hAnsi="Times New Roman;Times;Serif"/>
          <w:b w:val="false"/>
          <w:i w:val="false"/>
          <w:caps w:val="false"/>
          <w:smallCaps w:val="false"/>
          <w:sz w:val="20"/>
        </w:rPr>
        <w:t xml:space="preserve">sets forth a list of all insurance policies such Company has in place, which list sets forth the name of the insurer, policy number, policy limit, deductible, premium, expiration date, scope of coverage and status of any Proceedings pending thereunder for each insurance policy (and includes a description of any self-insurance or co-insurance arrangements, including any reserves). Each such insurance policy is in full force and effect in all material respects and all premiums are currently paid in accordance with the terms of such insurance policy. No current or historical limits under such insurance policies have been eroded or materially impaired by claims. There has not been a failure by any Company to give notice of any material claim that may be insured under any such insurance policy in a timely fashion. Such Company has not received any notice that any such insurance policy will be cancelled or will not be renewed. The insurance coverage maintained by such Company is customary for businesses of similar size engaged in similar lines of business. Except as set forth on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in the past three (3) years, no claim has been made on any of such Company’s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identified on </w:t>
      </w:r>
      <w:r>
        <w:rPr>
          <w:rFonts w:ascii="Times New Roman;Times;Serif" w:hAnsi="Times New Roman;Times;Serif"/>
          <w:b w:val="false"/>
          <w:i w:val="false"/>
          <w:caps w:val="false"/>
          <w:smallCaps w:val="false"/>
          <w:sz w:val="20"/>
          <w:u w:val="single"/>
        </w:rPr>
        <w:t>Schedule 3.16(a)</w:t>
      </w:r>
      <w:r>
        <w:rPr>
          <w:rFonts w:ascii="Times New Roman;Times;Serif" w:hAnsi="Times New Roman;Times;Serif"/>
          <w:b w:val="false"/>
          <w:i w:val="false"/>
          <w:caps w:val="false"/>
          <w:smallCaps w:val="false"/>
          <w:sz w:val="20"/>
        </w:rPr>
        <w:t>, such Company (or the Member with respect to the Sugarloaf MSA and the Sugarloaf Purchase Option Agreement) has for the past three (3) years complied and is in compliance in all material respects, with all applicable Laws or Orders of a Governmental Entity and no written notices have been received by and no claims have been filed against any of such Company (or the Member with respect to the Sugarloaf MSA and the Sugarloaf Purchase Option Agreement) alleging a default or violation of any such Laws other than violations that are either immaterial and/or that have been resolved prior to the date hereof. In the past three (3) years, such Company (or the Member with respect to the Sugarloaf MSA and the Sugarloaf Purchase Option Agreement) has not received any written notice, or to the Companies’ Knowledge, other notice, alleging or stating that it is under investigation or audit with respect to, or been formally charged by a Governmental Entity with, the material violation of any Laws, and no Company (or the Member with respect to the Sugarloaf MSA and the Sugarloaf Purchase Option Agreement) is under any such investigation or audit other than violations that are either immaterial and/or have been resolved prior to the date hereof. For the past three (3) years, such Company (or the Member with respect to the Sugarloaf MSA and the Sugarloaf Purchase Option Agreement) has not conducted any internal investigation or audit in respect of any actual or potential violation of Law except with respect to routine investigations and/or audits associated with violations that are either immaterial and/or have been resolved prior to the date hereof. For the past three (3) years, all reports required to be filed by or on behalf of each Company (or the Member with respect to the Sugarloaf MSA and the Sugarloaf Purchase Option Agreement) with any Governmental Entity have been filed and, when filed, were correct and complete in all material respects. No officer, director, manager, employee, independent contractor, consultant, advisor or agent of any Company (or the Member with respect to the Sugarloaf MSA and the Sugarloaf Purchase Option Agreement) has been or is authorized to make or receive, and none of such Company’s (or the Member with respect to the Sugarloaf MSA and the Sugarloaf Purchase Option Agreement) officers, directors, managers, employees or consultants or advisors or agents have made or received, any bribe, kickback payment or other illegal payment at any time with respect to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such Company nor any of its directors, officers, or employees, nor, to the Companies’ Knowledge, any of its agents or representatives: (i) has been, nor is, a Sanctioned Person; (ii) has transacted any business with or for the benefit of any Sanctioned Person nor violated applicable Sanctions; or (iii) has violated applicable Ex-Im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nor, to the Companies’ Knowledge, any of its directors, officers, employees, agents, or representatives has been the subject of any allegation, deficiency notice, voluntary disclosure, investigation, prosecution or other enforcement action related to any Anti-Corruption Laws, Sanctions or Ex-Im Laws, and no such allegation, notice, investigation, prosecution or other action is pending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Company (i) holds all Permits required for the ownership and use of its assets and properties and the conduct of the Businesses (including all Permits necessary to operate a cannabis business in the Market consistent with the applicable State Cannabis Laws (the “</w:t>
      </w:r>
      <w:r>
        <w:rPr>
          <w:rFonts w:ascii="Times New Roman;Times;Serif" w:hAnsi="Times New Roman;Times;Serif"/>
          <w:b w:val="false"/>
          <w:i w:val="false"/>
          <w:caps w:val="false"/>
          <w:smallCaps w:val="false"/>
          <w:sz w:val="20"/>
          <w:u w:val="single"/>
        </w:rPr>
        <w:t>Marijuana Permits</w:t>
      </w:r>
      <w:r>
        <w:rPr>
          <w:rFonts w:ascii="Times New Roman;Times;Serif" w:hAnsi="Times New Roman;Times;Serif"/>
          <w:b w:val="false"/>
          <w:i w:val="false"/>
          <w:caps w:val="false"/>
          <w:smallCaps w:val="false"/>
          <w:sz w:val="20"/>
        </w:rPr>
        <w:t xml:space="preserve">”) as currently conducted and </w:t>
      </w:r>
      <w:r>
        <w:rPr>
          <w:rFonts w:ascii="Times New Roman;Times;Serif" w:hAnsi="Times New Roman;Times;Serif"/>
          <w:b w:val="false"/>
          <w:i w:val="false"/>
          <w:caps w:val="false"/>
          <w:smallCaps w:val="false"/>
          <w:sz w:val="20"/>
          <w:u w:val="single"/>
        </w:rPr>
        <w:t>Schedule 3.16(d)</w:t>
      </w:r>
      <w:r>
        <w:rPr>
          <w:rFonts w:ascii="Times New Roman;Times;Serif" w:hAnsi="Times New Roman;Times;Serif"/>
          <w:b w:val="false"/>
          <w:i w:val="false"/>
          <w:caps w:val="false"/>
          <w:smallCaps w:val="false"/>
          <w:sz w:val="20"/>
        </w:rPr>
        <w:t xml:space="preserve"> sets forth a list of all of such Permits, and (ii) has been and is in compliance with all terms and conditions of any such Permits. Upon receipt of the Cannabis Transaction Approval, all such Permits may be relied upon by Buyer and such Company for lawful operation of the Business on and immediately after the Closing without transfer, reissuance or other Governmental Entity 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Member nor such Company has received any notice of assessment, provisional assessment, reassessment, supplementary assessment, penalty assessment or increased assessment (collectively, “</w:t>
      </w:r>
      <w:r>
        <w:rPr>
          <w:rFonts w:ascii="Times New Roman;Times;Serif" w:hAnsi="Times New Roman;Times;Serif"/>
          <w:b w:val="false"/>
          <w:i w:val="false"/>
          <w:caps w:val="false"/>
          <w:smallCaps w:val="false"/>
          <w:sz w:val="20"/>
          <w:u w:val="single"/>
        </w:rPr>
        <w:t>Assessments</w:t>
      </w:r>
      <w:r>
        <w:rPr>
          <w:rFonts w:ascii="Times New Roman;Times;Serif" w:hAnsi="Times New Roman;Times;Serif"/>
          <w:b w:val="false"/>
          <w:i w:val="false"/>
          <w:caps w:val="false"/>
          <w:smallCaps w:val="false"/>
          <w:sz w:val="20"/>
        </w:rPr>
        <w:t>”) or any other communications related thereto from any workers’ compensation or workplace safety and insurance board or similar authorities in any jurisdictions where such Company conducts business. There are no Assessments that are unpaid as of the date hereof, and there are no facts or circumstances that would be reasonably likely to result in an increase in liability to such Company after the Closing Date under any applicable workers’ compensation or workplace safety and insurance Laws. Such Company’s accident cost experience relating to such Company’s business is such that there are no pending Assessments, and there are no claims or potential claims which may adversely affect such Company’s accident cost experience.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Company is and for the past three (3) years has been in compliance, in all material respects, with all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Company possesses all Permits required by Environmental Laws to operate the business as conducted as of the Closing Date, and there are no proceedings or threat to revoke, terminate, or adversely modify any such Permit. Such Company has not received any notice of violation, claims alleging liability, or written request for information pursuant to Environmental Laws, which, in each case, either remains pending or unresolved, or is the source of ongoing obligations or requirements. There are no facts, circumstances, or conditions that could reasonably be expected to result in such an occurrence. There has been no Release of Hazardous Material in contravention of or so as to give rise to liability under any Environmental Laws with respect to the business or assets of such Company used or with respect to any real property owned, operated or leased by any Company. Such Company has not retained or assumed by contract or operation of Law, any liabilities or obligations of any third party under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representations and warranties contained in this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constitute the sole and exclusive representations and warranties of the Member and such Company relating to any Environmental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Affiliated Transactions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no Insider (i) owns any interest in any material asset used in the business of such Company or (ii) is a party to any Contract or other transaction with such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such Company does not have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Bank Accounts; Identification Numbers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Schedule 3.20(a) </w:t>
      </w:r>
      <w:r>
        <w:rPr>
          <w:rFonts w:ascii="Times New Roman;Times;Serif" w:hAnsi="Times New Roman;Times;Serif"/>
          <w:b w:val="false"/>
          <w:i w:val="false"/>
          <w:caps w:val="false"/>
          <w:smallCaps w:val="false"/>
          <w:sz w:val="20"/>
        </w:rPr>
        <w:t xml:space="preserve">sets forth a true, complete and correct list of all banks or other financial institutions with which such Company has an account, showing the type and account number of each such account, and the names of the Persons authorized as signatories thereon or to act or deal in connection therewith. </w:t>
      </w:r>
      <w:r>
        <w:rPr>
          <w:rFonts w:ascii="Times New Roman;Times;Serif" w:hAnsi="Times New Roman;Times;Serif"/>
          <w:b w:val="false"/>
          <w:i w:val="false"/>
          <w:caps w:val="false"/>
          <w:smallCaps w:val="false"/>
          <w:sz w:val="20"/>
          <w:u w:val="single"/>
        </w:rPr>
        <w:t>Schedule 3.20(b)</w:t>
      </w:r>
      <w:r>
        <w:rPr>
          <w:rFonts w:ascii="Times New Roman;Times;Serif" w:hAnsi="Times New Roman;Times;Serif"/>
          <w:b w:val="false"/>
          <w:i w:val="false"/>
          <w:caps w:val="false"/>
          <w:smallCaps w:val="false"/>
          <w:sz w:val="20"/>
        </w:rPr>
        <w:t xml:space="preserve"> sets forth a true, complete and correct list of all employer identification numbers and state identification numbers of such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Material Suppliers</w:t>
      </w:r>
      <w:r>
        <w:rPr>
          <w:rFonts w:ascii="Times New Roman;Times;Serif" w:hAnsi="Times New Roman;Times;Serif"/>
          <w:b w:val="false"/>
          <w:i w:val="false"/>
          <w:caps w:val="false"/>
          <w:smallCaps w:val="false"/>
          <w:sz w:val="20"/>
        </w:rPr>
        <w:t xml:space="preserve">. With respect to the fiscal year ended December 31, 2025,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lists the ten (10) largest (by dollar volume) suppliers and vendors of the Companies collectively during such period (each, a “</w:t>
      </w:r>
      <w:r>
        <w:rPr>
          <w:rFonts w:ascii="Times New Roman;Times;Serif" w:hAnsi="Times New Roman;Times;Serif"/>
          <w:b w:val="false"/>
          <w:i w:val="false"/>
          <w:caps w:val="false"/>
          <w:smallCaps w:val="false"/>
          <w:sz w:val="20"/>
          <w:u w:val="single"/>
        </w:rPr>
        <w:t>Material Supplier</w:t>
      </w:r>
      <w:r>
        <w:rPr>
          <w:rFonts w:ascii="Times New Roman;Times;Serif" w:hAnsi="Times New Roman;Times;Serif"/>
          <w:b w:val="false"/>
          <w:i w:val="false"/>
          <w:caps w:val="false"/>
          <w:smallCaps w:val="false"/>
          <w:sz w:val="20"/>
        </w:rPr>
        <w:t>”) (showing the approximate dollar volume for each), along with a true and complete list of each Contract with each such Material Supplier. Since the date of the Latest Balance Sheet, no Material Supplier has terminated its relationship with any Company, and, to the knowledge of the Companies, such Company has not received notice from any Material Supplier of its intent to terminate its relationship with such Company or otherwise alter its business relationship in a manner adverse to any Company. Such Company is not involved in any material dispute with any Material Supplier.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val="false"/>
          <w:i w:val="false"/>
          <w:caps w:val="false"/>
          <w:smallCaps w:val="false"/>
          <w:sz w:val="20"/>
          <w:u w:val="single"/>
        </w:rPr>
        <w:t>Absence of Certain Business Practices</w:t>
      </w:r>
      <w:r>
        <w:rPr>
          <w:rFonts w:ascii="Times New Roman;Times;Serif" w:hAnsi="Times New Roman;Times;Serif"/>
          <w:b w:val="false"/>
          <w:i w:val="false"/>
          <w:caps w:val="false"/>
          <w:smallCaps w:val="false"/>
          <w:sz w:val="20"/>
        </w:rPr>
        <w:t>. Such Company and its officers, directors, and equity holders, and to the Companies’ Knowledge, such Company’s employees, representatives and Affiliates, are currently in compliance in all material respects and within the past three (3) years have been in compliance in all material respects with the Foreign Corrupt Practices Act of 1977, as amended, and any other applicable foreign or domestic anticorruption or anti-bribery Laws (collectively, the “</w:t>
      </w:r>
      <w:r>
        <w:rPr>
          <w:rFonts w:ascii="Times New Roman;Times;Serif" w:hAnsi="Times New Roman;Times;Serif"/>
          <w:b w:val="false"/>
          <w:i w:val="false"/>
          <w:caps w:val="false"/>
          <w:smallCaps w:val="false"/>
          <w:sz w:val="20"/>
          <w:u w:val="single"/>
        </w:rPr>
        <w:t>Fraud and Bribery Laws</w:t>
      </w:r>
      <w:r>
        <w:rPr>
          <w:rFonts w:ascii="Times New Roman;Times;Serif" w:hAnsi="Times New Roman;Times;Serif"/>
          <w:b w:val="false"/>
          <w:i w:val="false"/>
          <w:caps w:val="false"/>
          <w:smallCaps w:val="false"/>
          <w:sz w:val="20"/>
        </w:rPr>
        <w:t>”). There are no pending or, to the Companies’ Knowledge, threatened claims against any Company or any of their Affiliates with respect to violations of any Fraud and Bribery Laws. Without limiting the foregoing, such Company nor any of its officers, directors, or equity holders, and to the Companies’ Knowledge, none of such Company’s employees, representatives, or Affiliates, have directly or indirectly: (i) used any corporate funds for unlawful contributions, gifts, entertainment or other unlawful expenses relating to political activity; (ii) offered, promised, provided, paid, delivered, attempted to provide or authorized the payment or provision of any fee, commission or other sum of money or anything of value, however characterized, to any Person, including any public official of a Governmental Entity, customer or supplier, or to any customer or supplier or any officer, director, manager, shareholder, partner, member, employee, agent or representative of any of the foregoing; (iii) promised, offered, paid, provided or attempted to provide any unlawful payment, gratuity, emolument, bribe, kickback, excessive gift or hospitality or other illegal or unethical benefit to any Person, including any public official of a Governmental Entity, customer or supplier or any officer, director, manager, shareholder, partner, member, employee, agent or representative of any of the foregoing; or (iv) engaged in any other unlawful practice, or made any other unlawful payment or given any other unlawful consideration to any Person, including any public official of a Governmental Entity, customer or supplier or any officer, director, manager, shareholder, partner, member, employee, agent or representative of any of the foregoing. Such Company has no sales agents, consultants or other third parties that are entitled to compensation of any nature for introduction or referral of business to any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expressly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modified by the Schedules) and the Transaction Agreements, neither any Company, the Member, Cannabist, nor any other Person has made, makes or shall be deemed to make any other express or implied representation or warranty, either written or oral, at law or in equity, on behalf of such Company, the Member, Cannabist, or any of their respective Affiliates, including any representation or warranty regarding the Member, Cannabist, any Company, or any other Person, the Transferred Assets, the Assumed Liabilities, the Business, the Transaction, any other rights or obligations to be transferred pursuant to the Transaction Agreements or any other matter, and the Member, Cannabist, and Companies hereby disclaim all other representations and warranties of any kind whatsoever, express or implied, written or oral, at law or in equity, whether made by or on behalf of the Member, Cannabist, any Company, or any other Person, including any of their respective representatives. Except for the representations and warranties expressly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modified by the Schedules) and the Transaction Agreements, the Member, Cannabist, and such Company hereby (a) disclaims and negates any representation or warranty, expressed or implied, at common law, by statute, or otherwise, relating to the condition of the assets of such Company, the Transferred Assets, the Assumed Liabilities or the Business, and (b) disclaims all liability and responsibility for all projections, forecasts, estimates, financial statements, financial information, appraisals, statements, promises, advice, data or information made, communicated or furnished (orally or in writing, including electronically) to Buyer or any of Buyer’s Affiliates or any representatives of Buyer or any of Buyer’s Affiliates (including any opinion, information, projection, or advice that may have been or may be provided to Buyer by any representative of the Member, Cannabist, or any Company, respectively), including omissions therefrom. Without limiting the foregoing, neither the Member, Cannabist, nor any Company makes any representation or, warranty of any kind whatsoever, express or implied, written or oral, at law or in equity, to Buyer or any of its Affiliates or any representatives of Buyer of any of its Affiliates regarding the probable success, profitability or value of the Member, Cannabist, or the Companies, assets of such Company, the Transferred Assets, the Assumed Liabilities or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r>
      <w:r>
        <w:rPr>
          <w:rFonts w:ascii="Times New Roman;Times;Serif" w:hAnsi="Times New Roman;Times;Serif"/>
          <w:b w:val="false"/>
          <w:i w:val="false"/>
          <w:caps/>
          <w:sz w:val="20"/>
          <w:u w:val="single"/>
        </w:rPr>
        <w:t>Representations and Warranties of Buyer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the Member and the Companies to enter into this Agreement and consummate the Transactions, each Buyer hereby, jointly and severally, represents and warrants that each of the following representations are true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 Authorization</w:t>
      </w:r>
      <w:r>
        <w:rPr>
          <w:rFonts w:ascii="Times New Roman;Times;Serif" w:hAnsi="Times New Roman;Times;Serif"/>
          <w:b w:val="false"/>
          <w:i w:val="false"/>
          <w:caps w:val="false"/>
          <w:smallCaps w:val="false"/>
          <w:sz w:val="20"/>
        </w:rPr>
        <w:t>. Such Buyer is a validly formed under the Laws of the State of Delaware with full power and authority to enter into this Agreement and to perform its obligations hereunder. The execution, delivery and performance of the Transaction Agreements to be executed and delivered by such Buyer and the consummation of the Transactions have been duly authorized by all requisite action on the part of such Buyer and no other Proceedings on the part of such Buyer are necessary to authorize the execution, delivery or performance of the Transaction Agreements. The Transaction Agreements to be executed and delivered by such Buyer constitute valid and binding obligations of such Buyer enforceable against such Buyer in accordance with its terms, except as such may be limited by bankruptcy, insolvency, reorganization or other Laws affecting creditors’ rights generally and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4.2</w:t>
      </w:r>
      <w:r>
        <w:rPr>
          <w:rFonts w:ascii="Times New Roman;Times;Serif" w:hAnsi="Times New Roman;Times;Serif"/>
          <w:b w:val="false"/>
          <w:i w:val="false"/>
          <w:caps w:val="false"/>
          <w:smallCaps w:val="false"/>
          <w:sz w:val="20"/>
        </w:rPr>
        <w:t>, other than the Cannabis Transaction Approval and subject to the Sale Order having been entered and still being in effect and not subject to any stay pending appeal at the time of Closing, the execution, delivery and performance of the Transaction Agreements and the consummation of the Transactions by such Buyer do not and will not (a) require the authorization, consent or approval of, an exemption or waiver from, notice or declaration to, or the filing of any document with, or the payment of any amounts to, any Person, (b) constitute a default under (whether with or without the giving of notice, the passage of time or both) the governing documents of such Buyer or (c) violate any Law or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Sufficiency of 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delivered to the Seller Parties on the date hereof (the “</w:t>
      </w:r>
      <w:r>
        <w:rPr>
          <w:rFonts w:ascii="Times New Roman;Times;Serif" w:hAnsi="Times New Roman;Times;Serif"/>
          <w:b w:val="false"/>
          <w:i w:val="false"/>
          <w:caps w:val="false"/>
          <w:smallCaps w:val="false"/>
          <w:sz w:val="20"/>
          <w:u w:val="single"/>
        </w:rPr>
        <w:t>Loan Delivery Date</w:t>
      </w:r>
      <w:r>
        <w:rPr>
          <w:rFonts w:ascii="Times New Roman;Times;Serif" w:hAnsi="Times New Roman;Times;Serif"/>
          <w:b w:val="false"/>
          <w:i w:val="false"/>
          <w:caps w:val="false"/>
          <w:smallCaps w:val="false"/>
          <w:sz w:val="20"/>
        </w:rPr>
        <w:t>”), the executed loan and security agreement (as amended, restated, supplemented or modified, the “</w:t>
      </w:r>
      <w:r>
        <w:rPr>
          <w:rFonts w:ascii="Times New Roman;Times;Serif" w:hAnsi="Times New Roman;Times;Serif"/>
          <w:b w:val="false"/>
          <w:i w:val="false"/>
          <w:caps w:val="false"/>
          <w:smallCaps w:val="false"/>
          <w:sz w:val="20"/>
          <w:u w:val="single"/>
        </w:rPr>
        <w:t>Loan Financing Agreement</w:t>
      </w:r>
      <w:r>
        <w:rPr>
          <w:rFonts w:ascii="Times New Roman;Times;Serif" w:hAnsi="Times New Roman;Times;Serif"/>
          <w:b w:val="false"/>
          <w:i w:val="false"/>
          <w:caps w:val="false"/>
          <w:smallCaps w:val="false"/>
          <w:sz w:val="20"/>
        </w:rPr>
        <w:t>”), entered into among the Buyers and Chicago Atlantic, as administrative agent, and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pursuant to which the Lenders have committed to provide the Buyers with debt financing for the Transactions in an aggregate amount of $15,000,000 (the “</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which amount, net of original issue discount (if any), is greater than or equal to the full amount required to (i) pay the Signing Cash Deposit Amount, (ii) pay the Final Closing Cash Payment, (iii) pay the Buyer Cash Amount, (iv) pay all of the expenses of the Buyers in connection with the Transactions, and (v) consummate the Transactions on the terms contemplated by the Transaction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Loan Delivery Date, the Loan Financing Agreement shall be legal, valid and binding obligations of the Buyers and, to the knowledge of Buyers, the other parties thereto, are in full force and effect, and are enforceable against the parties thereto in accordance with their terms, except as such may be limited by bankruptcy, insolvency, reorganization or other Laws affecting creditors’ rights generally and by general equitable principles. As of the Loan Delivery Date, none of the Debt Financing has been terminated or withdrawn, the Lenders have not notified Buyer of its intention to terminate or withdraw the Debt Financing to be provided by such Lenders, and Buyer does not know of any facts or circumstances that may be expected to result in the conditions set forth in the Loan Financing Agreement has not being satisfied. To the extent this Agreement must be in a form acceptable to the Lenders providing Debt Financing, the Lenders have approved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There are no side letters or other Contracts, agreements or understandings to which Buyer or any of its Affiliates is a party relating to the Debt Financing other than as expressly set forth in the Loan Financing Agreement. There are no conditions precedent related to the funding of the full amount of the Debt Financing contemplated by the Loan Financing Agreement, other than the conditions precedent expressly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The Loan Financing Agreement has not been modified, altered, or amended on or prior to the Loan Delivery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Buyers (i) have no reason to believe that it or any of the other parties to the Loan Financing Agreement will be unable to satisfy on a timely basis any term or condition of closing to be satisfied by it or its Affiliates contained in the Loan Financing Agreement and (ii) has no reason to believe that any portion of the Debt Financing required to consummate the Transactions will not be made available to the Buyers on the Closing Date, including any reason to believe that the Lenders will not perform their respective funding obligations under the Loan Financing Agreement in accordance with their respective terms and conditions. The Buyers will have fully paid any and all commitment fees and other fees required by the Loan Financing Agreement to be paid as of the Loan Delivery Date. The Buyers are not in default or breach under the terms and conditions of the Loan Financing Agreement and no event has occurred that, with or without notice, lapse of time or both, would or would reasonably be expected to constitute a default or breach or a failure to satisfy a condition under the terms and conditions of the Loan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Buyers under this Agreement are not contingent on the availability of the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and there have not been any, Proceedings pending or threatened against or affecting such Buyer, at law or in equity, or before or by any Governmental Entity or arbitrator that would reasonably be expected to impact such Buyer’s ability to consummate the Transactions or otherwise impede the Buyer’s ability to purchase or own the Transferred Assets. Such Buyer is not subject to or bound by any outstanding Orders applicable to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Neither such Buyer nor anyone on their behalf has engaged any broker, finder or similar agent in connection with the Transactions. There are no claims for brokerage commissions, finders’ fees or similar compensation in connection with the Transactions based on any arrangement or agreement made by or on behalf of such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Such Buyer has conducted its own independent review and analysis of the Transferred Assets and the Assumed Liabilities and acknowledges that it has been provided with access to projections, forecasts, estimates, appraisals, statements, promises, advice, data or information about the Member, the Companies, the assets and the liabilities of the Companies, the Transferred Assets, the Assumed Liabilities, the Business and any other rights or obligations to be transferred, directly or indirectly, pursuant to the Transaction Agreements. Such Buyer further acknowledges and agrees that (x) the only representations and warranties made by the Member or the Companies are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modified by the Schedules) and the Transaction Agreements, and such Buyer have not relied upon, and will not rely upon, any other express or implied representations, warranties or other projections, forecasts, estimates, appraisals, statements, promises, advice, data or information made, communicated or furnished by or on behalf of the Member, the Companies, or any of its Affiliates or any other Person, including any projections, forecasts, estimates, appraisals, statements, promises, advice, data or information made, communicated or furnished by or through the respective representatives of the Member and the Companies, or management presentations, data rooms (electronic or otherwise) or other due diligence information, and that such Buyer will not have any right or remedy arising out of any such other representation, warranty or other projections, forecasts, estimates, appraisals, statements, promises, advice, data or information, and (y) any claims such Buyer may have for breach of any representation or warranty shall be based solely on the representations and warranties of the Member or the Companies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modified by the Schedules) and the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r>
      <w:r>
        <w:rPr>
          <w:rFonts w:ascii="Times New Roman;Times;Serif" w:hAnsi="Times New Roman;Times;Serif"/>
          <w:b w:val="false"/>
          <w:i w:val="false"/>
          <w:caps/>
          <w:sz w:val="20"/>
          <w:u w:val="single"/>
        </w:rPr>
        <w:t>Pre-Closing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Conduct of Business Prior to the Closing</w:t>
      </w:r>
      <w:r>
        <w:rPr>
          <w:rFonts w:ascii="Times New Roman;Times;Serif" w:hAnsi="Times New Roman;Times;Serif"/>
          <w:b w:val="false"/>
          <w:i w:val="false"/>
          <w:caps w:val="false"/>
          <w:smallCaps w:val="false"/>
          <w:sz w:val="20"/>
        </w:rPr>
        <w:t>. From the date hereof until the Closing except as otherwise consented to in writing by Buyer (which consent may not be unreasonably withheld, delayed or conditioned and, subject to the CCAA or as ordered by the Canadian Court, each Company shall (i) conduct its business and affairs in the Ordinary Course of Business and, (ii) from the date hereof until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commercially reasonable efforts to maintain the assets owned, operated, or used by it (including, with respect to the Seller Entities and the Member, the Transferred Assets) in substantially the same condition as they were on the date of this Agreement, subject to reasonable wear and tear and the sale of inventory and other assets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enter into, terminate, materially amend or waive any Material Contract (other than renewals and extensions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maintain its books and records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issue, sell, grant, dispose of, pledge or otherwise encumber any equity, voting securities or equity interests, or any securities or rights convertible into, exchangeable or exercisable for, or evidencing the right to subscribe for any equity, voting securities or equity interests or any rights, warrants, options, calls, commitments or any other Contracts of any character to purchase or acquire any equity, voting securities or equity interests or any securities or rights convertible into, exchangeable or exercisable for, or evidencing the right to subscribe for, any equity, voting securities or equity interests of such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(i) redeem, purchase or otherwise acquire any of its outstanding equity, voting securities or equity interests, or any rights, warrants, options, calls, commitments or any other Contracts or acquire any equity, voting securities or equity interests or (ii) form any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 split, combine, subdivide or reclassify any of its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other than in connection with a debtor-in-possession or similar financing with an un-related third party incurred in compliance in all material respects with the CCAA, not incur or assume any Indebtedness or guarantee any Indebtedness of another Person or issue or sell any debt securities or options, warrants, calls or other rights to acquire any debt securities of such Company or cancel, forgive, or compromise any debt or claim or waive or release any material right of such Company regarding such debt other than (A) any non-financial Indebtedness incurred with an unrelated third party in the Ordinary Course of Business and that does not otherwise result in a breach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(B) trade payables incurred in the Ordinary Course of Business and/or otherwise taken into consideration in the calculation of Working Capital or (C) pursuant to cash sharing arrangements in the Ordinary Course of Business solely among or between any applicable Company and one or more of other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 commit to make any capital expenditure in excess of $100,000 individually or $500,000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directly or indirectly acquire by merging or consolidating with, or by purchasing all of or a substantial equity interest in, or by any other manner, any Person or division, business or equity interest in any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 make any loan or advance to or investment in any Person (other than any other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not make any payment to or for the benefit of any of a Seller Party or any Affiliate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not (i) hire any employees with an annual compensation in excess of $100,000 other than in the Ordinary Course of Business, (ii) increase the compensation payable or to become payable by such Company other than in the Ordinary Course of Business, (iii) grant any bonus, benefit or other direct or indirect compensation to any employees other than to new employees or as provided for under any Company Employee Benefit Plan(s) in existence as of the date hereof, or (iv) increase the coverage or benefits available under any (or create any new) severance pay, termination pay, vacation pay, salary continuation for disability, sick leave, deferred compensation, bonus or other incentive compensation, insurance, pension or other employee benefit plan or arrangement made to, for or with any employees or otherwise modify or amend or terminate any such plan or arrangement;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not modify, extend, terminate, or enter into any Labor Agreement or recognize or certify any Employee Representative Body as the bargaining representative for any Offered Employee, in each case except as otherwise required by Law and existing Labor Agreements identified under </w:t>
      </w:r>
      <w:r>
        <w:rPr>
          <w:rFonts w:ascii="Times New Roman;Times;Serif" w:hAnsi="Times New Roman;Times;Serif"/>
          <w:b w:val="false"/>
          <w:i w:val="false"/>
          <w:caps w:val="false"/>
          <w:smallCaps w:val="false"/>
          <w:sz w:val="20"/>
          <w:u w:val="single"/>
        </w:rPr>
        <w:t>Schedule 3.13(a)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not (i) file any material amended sales or use Tax Return of any Company, (ii) enter into any closing agreement or waiver or extension of the statute of limitations period with respect to any material Tax Proceeding involving any sales or use taxes of any Company, or (iii) settle any material Tax Proceeding or obtain any Tax ruling involving any sales or use tax matter of any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not make any changes in accounting methods, principles or practices, except as may be required by a change in GAAP or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not amend any Governing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not adopt a plan or agreement of complete or partial liquidation, dissolution, restructuring, recapitalization, merger, consolidation or other reorganization other than in connection with the Canadian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not acquire or dispose of any properties or assets (including, with respect to the Seller Entities, the Transferred Assets) other than (i) in the Ordinary Course of Business with an individual value of less than $10,000 or aggregate value of less than $50,000 or (ii) sales of inventory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except for any Liens granted by the Canadian Court, not allow any properties or assets (including, with respect to the Seller Entities and the Member, the Transferred Assets) to become subject to a Lien, other than a Permitted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not settle, compromise or initiate any material Proceeding relating to the Business other than (i) in connection with the Canadian Proceeding or (ii) any settlement or release entered into in the Ordinary Course of Business, that (A) contemplates only the payment of money without ongoing limits on the conduct or operation of the Business, (B) results in a full release of the applicable Companies with respect to the claims giving rise to such action, or (C) involves the payment of Liabilities reflected or reserved against in full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not declare, set aside, establish a record date for, make or pay any dividend or distribution (whether payable in cash, equity, property or a combination thereof) with respect to any of its equity interests, or enter into any Contract with respect thereto; not transfer or surrender any assets, rights or other benefits to or for the benefit of any of a Seller Party or Affiliate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 make any payment, transfer of value, benefit, or other arrangement (whether direct or indirect, in cash or in kind, actual or contingent) made by or on behalf of any Company to, or for the benefit of, the Member or any of its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maintain its Permits and not initiate or cause to be initiated any Proceeding (except with respect to Permit renewal applications, investigations, and proceedings in the Ordinary Course of Business) related to or in connection with the grant of Permits by any Governmental Entity pursuant to, in relation to, or otherwise in connection with the applicable State Cannabis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timely file all sales and use Tax Returns of each Company and timely pay all sales and use Taxes of each Company if and when due and payable;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to the extent requested by Buyer, make prompt and complete filings with federal and/or state agencies as contemplated under AG Order No. 6754-2026 with respect to its medical cannabis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to the extent that a Company takes any of the foregoing actions or omissions, as the case may be, (a) pursuant to a Transition Committee Recommendation, (b) in accordance with the express terms of any agreement entered into by the Parties pursuant to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(c) as otherwise expressly permitted by this Agreement, such actions or omissions, as the case may be, shall be deemed to be consented to by Buyer for the purposes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hereof until the earlier of the termination of this Agreement in full in accordance with </w:t>
      </w:r>
      <w:r>
        <w:rPr>
          <w:rFonts w:ascii="Times New Roman;Times;Serif" w:hAnsi="Times New Roman;Times;Serif"/>
          <w:b w:val="false"/>
          <w:i w:val="false"/>
          <w:caps w:val="false"/>
          <w:smallCaps w:val="false"/>
          <w:sz w:val="20"/>
          <w:u w:val="single"/>
        </w:rPr>
        <w:t xml:space="preserve">Article VIII </w:t>
      </w:r>
      <w:r>
        <w:rPr>
          <w:rFonts w:ascii="Times New Roman;Times;Serif" w:hAnsi="Times New Roman;Times;Serif"/>
          <w:b w:val="false"/>
          <w:i w:val="false"/>
          <w:caps w:val="false"/>
          <w:smallCaps w:val="false"/>
          <w:sz w:val="20"/>
        </w:rPr>
        <w:t xml:space="preserve">or the Closing, the Companies shall (i) afford Buyer and its representatives reasonable access to and the right to reasonably inspect, with reasonable advance notice, all of the assets, premises, books and records, Contracts and other documents and data related to the Companies or the Business, provided that (x) in no event shall any sampling, testing, boring, drilling, chipping, disassembling, inspection or analysis of soil, groundwater, building materials or other environmental media, or sampling, testing, boring, drilling, chipping, disassembling, inspection or any analysis generally referred to as a Phase II, be permitted without the written consent of the Member, which consent shall not be unreasonably withheld, conditioned or delayed, and (y) in no event shall any report or other document concerning the environment that is prepared in connection with the access contemplated by this </w:t>
      </w:r>
      <w:r>
        <w:rPr>
          <w:rFonts w:ascii="Times New Roman;Times;Serif" w:hAnsi="Times New Roman;Times;Serif"/>
          <w:b w:val="false"/>
          <w:i w:val="false"/>
          <w:caps w:val="false"/>
          <w:smallCaps w:val="false"/>
          <w:sz w:val="20"/>
          <w:u w:val="single"/>
        </w:rPr>
        <w:t xml:space="preserve">Section 5.2(a) </w:t>
      </w:r>
      <w:r>
        <w:rPr>
          <w:rFonts w:ascii="Times New Roman;Times;Serif" w:hAnsi="Times New Roman;Times;Serif"/>
          <w:b w:val="false"/>
          <w:i w:val="false"/>
          <w:caps w:val="false"/>
          <w:smallCaps w:val="false"/>
          <w:sz w:val="20"/>
        </w:rPr>
        <w:t>be provided or disclosed to any Person unless the Member, in the Member’s sole discretion, in each such instance expressly elects to allow for such provision or disclosure; (ii) furnish Buyer and its representatives with such financial, operating, and other data and information of the Companies or the Business as Buyer and its representatives may reasonably request; and (iii) instruct the representatives of the Companies to reasonably cooperate with Buyer and its representatives in their investigation of the Companies or the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the terms of the Transaction Agreements shall be Confidential Information (as defined in the Confidentiality Agreement) and are subject to the Confidentiality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the Member and Buyer (i) may issue a press release detailing the general terms of the Transactions, which press release may be publicly filed with CSE, the SEC or other regulatory bodies, (ii) may disclose such information to the extent required by applicable Law, the CCAA, the Canadian Court or CSE policy and (iii) the Member, the Companies and their respective Representative (as defined in the Confidentiality Agreement) may disclose the terms of the Transaction Agreements and any discussions regarding the Transactions to the lenders of Cannabist and its Affiliates and advisors and other Representatives on a confidential basis. Notwithstanding the foregoing, nothing in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will prevent any party hereto from making any other public disclosure required by Law or the rules or policies of any stock exchange. Subject to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the terms of the Confidentiality Agreement are incorporated into this Agreement by reference and shall continue in full force and effect (and all obligations thereunder shall be binding upon Buyer, its Representatives (as defined in the Confidentiality Agreement) and any other third party who signed (or signs) a joinder thereto subject to and in accordance with the Confidentiality Agreement as if parties thereto) until the Closing, at which time the obligations under this Section shall terminate. If for any reason the Closing does not occur and this Agreement is terminated, the confidentiality provisions of this Section shall continue in full force and effect in accordance with the terms of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shall, as promptly as possible following the execution of this Agreement, (i) make, or cause to be made, all filings and submissions required under any Law applicable to such party or any of its Affiliates or any rules or policies of any stock exchange (including those required to obtain the Cannabis Transaction Approval and execute the Service Agreement); and (ii) use commercially reasonable efforts to obtain, or cause to be obtained, all consents, authorizations, Orders, and approvals from all Governmental Entities that may be or become necessary in connection with the execution and delivery of this Agreement and the Service Agreement and the performance of its obligations pursuant to this Agreement and any other certificate, agreement, document, or instrument to be executed and delivered by it in connection with the Transactions (including those required to obtain the Cannabis Transaction Approval), and the execution and delivery of any other agreement that would allow Buyer to manage one or more of the Seller Entities pursuant to a master services agreement (a “</w:t>
      </w:r>
      <w:r>
        <w:rPr>
          <w:rFonts w:ascii="Times New Roman;Times;Serif" w:hAnsi="Times New Roman;Times;Serif"/>
          <w:b w:val="false"/>
          <w:i w:val="false"/>
          <w:caps w:val="false"/>
          <w:smallCaps w:val="false"/>
          <w:sz w:val="20"/>
          <w:u w:val="single"/>
        </w:rPr>
        <w:t>Service Agreement</w:t>
      </w:r>
      <w:r>
        <w:rPr>
          <w:rFonts w:ascii="Times New Roman;Times;Serif" w:hAnsi="Times New Roman;Times;Serif"/>
          <w:b w:val="false"/>
          <w:i w:val="false"/>
          <w:caps w:val="false"/>
          <w:smallCaps w:val="false"/>
          <w:sz w:val="20"/>
        </w:rPr>
        <w:t>”). The Parties shall not willfully take any action that will have the effect of delaying, impairing, or impeding the receipt of any required consents, authorizations, Orders, and approvals. Buyer and Cannabist shall each bear fifty percent (50%) of all fees and costs payable to a Governmental Entity in connection with any regulatory, governmental or other approvals required in connection 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the undertakings of the Parties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each of the Parties shall use all commercially reasonable efforts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respond to any inquiries by any Governmental Entity regarding matters with respect to the Transactions or any agreement entered into by the Parties pursuant to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avoid the imposition of any Order or the taking of any action that would restrain, alter or enjoin the Transactions or any agreement entered into by the Parties pursuant to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any Order adversely affecting the ability of the Parties to consummate the Transactions has been issued, have such Order vacated or lifted.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will keep each other apprised of the status of, and work cooperatively in connection with obtaining, the requisite Governmental Authorizations, including: (i) cooperating with the other Party in connection with filings, registrations and declarations with or to any Governmental Entity, including, with respect to the Party making a filing: (A) providing copies of all such documents to the non-filing Party and its advisors prior to filing (other than documents containing confidential business information that will be shared only with outside legal counsel to the non-filing Party or confidential personal information of any individual owner or officer of Buyer or its Affiliates, which information may be sent directly to the applicable Governmental Entity); and (B) if requested, accepting all reasonable additions, deletions or changes suggested in connection with any such filing; (ii) furnishing to each other all information required for any application or other filing to be made with respect to any license, permit or approval sought in connection with the transactions contemplated by this Agreement; (iii) promptly notifying the other of, and if in writing furnishing the other with copies of, any communications from or with any Governmental Entity with respect to the transactions contemplated by this Agreement; (iv) except as otherwise specifically permitted hereunder, permitting the other Party to review in advance, and considering in good faith the views of such other Party, in connection with any proposed communication with, or any Proceeding before, any Governmental Entity with respect to the transactions contemplated by this Agreement; (v) not agreeing to participate in any meeting or discussion with any Governmental Entity with respect to the transactions contemplated by this Agreement unless it consults with the other Party in advance and, to the extent permitted by the applicable Governmental Entity, gives the other Party the opportunity to attend and participate in such meetings or discussions; and (vi) consulting and cooperating with one another in connection with any analyses, appearances, presentations, memoranda, briefs, arguments, opinions and proposals made or submitted by or on behalf of either Party in connection with any permit, license or approval sought with respect to the transactions contemplated by this Agreement or any Proceedings relating thereto. If either Party or any Affiliate or Representative thereof receives a request for additional information or documentary material from a Governmental Entity with respect to the transactions contemplated by this Agreement, then such Party will endeavor in good faith to make, or cause to be made, as soon as practicable and after consultation with the other Party, an appropriate response in compliance with such request. Buyer will advise the Member promptly in respect of any understandings, undertakings or agreements (oral or written) which Buyer proposes to make or enter into with any Governmental Entity in connection with the transactions contemplated by this Agreement. Subject to the foregoing, the Companies and the Member hereby authorize the Buyer and its Representatives to communicate with any Governmental Entity in connection with the transactions contemplated by this Agreement and it shall notify each Governmental Entity of such authorization if, as and when needed for the Governmental Entity to communicate directly with Buyer or its applicable Affiliate as contemplated by this section.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Canadian Court Approval</w:t>
      </w:r>
      <w:r>
        <w:rPr>
          <w:rFonts w:ascii="Times New Roman;Times;Serif" w:hAnsi="Times New Roman;Times;Serif"/>
          <w:b w:val="false"/>
          <w:i w:val="false"/>
          <w:caps w:val="false"/>
          <w:smallCaps w:val="false"/>
          <w:sz w:val="20"/>
        </w:rPr>
        <w:t xml:space="preserve">. Each Party acknowledges that this Agreement and the transactions contemplated hereunder are subject to Canadian Court approval pursuant to the Sale Order. From and after the date of execution of this Agreement and until the Closing Date, the Member and Cannabist shall use commercially reasonable efforts to (x) deliver to the Buyer copies of all pleadings, motions, notices, statements, schedules, applications, reports and other papers that relate, in whole or in part, to this Agreement that are to be filed by the Member in connection with the approval of the Transactions contemplated by this Agreement by the Canadian Court in advance of their filing, and (y) provide the Buyer with a reasonable opportunity to review and comment thereon. The Member and Cannabist shall act reasonably and in good faith in considering any comments provided by the Buyer to such papers;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subject in each case to the foregoing good faith obligations of the Member and Cannabist, the Member shall have no obligation to accept and incorporate the Buyer’s comments to such papers and neither the Member’s inadvertent failure to comply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nor the Member’s failure to comply with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due to emergency circumstances, shall constitute a breach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five (5) Business Days prior to the Closing Date, the Buyers may, but are not obligated to, offer employment to any Person employed by the Member or its Affiliates (the “</w:t>
      </w:r>
      <w:r>
        <w:rPr>
          <w:rFonts w:ascii="Times New Roman;Times;Serif" w:hAnsi="Times New Roman;Times;Serif"/>
          <w:b w:val="false"/>
          <w:i w:val="false"/>
          <w:caps w:val="false"/>
          <w:smallCaps w:val="false"/>
          <w:sz w:val="20"/>
          <w:u w:val="single"/>
        </w:rPr>
        <w:t>Employer</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3.13(b)</w:t>
      </w:r>
      <w:r>
        <w:rPr>
          <w:rFonts w:ascii="Times New Roman;Times;Serif" w:hAnsi="Times New Roman;Times;Serif"/>
          <w:b w:val="false"/>
          <w:i w:val="false"/>
          <w:caps w:val="false"/>
          <w:smallCaps w:val="false"/>
          <w:sz w:val="20"/>
        </w:rPr>
        <w:t>, including those who are not actively at work on the Closing Date due to a temporary furlough, leave of absence (including medical leave, military leave, or workers’ compensation leave) or short-term or long-term disability (the “</w:t>
      </w:r>
      <w:r>
        <w:rPr>
          <w:rFonts w:ascii="Times New Roman;Times;Serif" w:hAnsi="Times New Roman;Times;Serif"/>
          <w:b w:val="false"/>
          <w:i w:val="false"/>
          <w:caps w:val="false"/>
          <w:smallCaps w:val="false"/>
          <w:sz w:val="20"/>
          <w:u w:val="single"/>
        </w:rPr>
        <w:t>Offered Employees</w:t>
      </w:r>
      <w:r>
        <w:rPr>
          <w:rFonts w:ascii="Times New Roman;Times;Serif" w:hAnsi="Times New Roman;Times;Serif"/>
          <w:b w:val="false"/>
          <w:i w:val="false"/>
          <w:caps w:val="false"/>
          <w:smallCaps w:val="false"/>
          <w:sz w:val="20"/>
        </w:rPr>
        <w:t>”) (such employment offers to be contingent on the occurrence of the Closing for such Market and to commence effective as of 12:01am local time on the Closing Date). Each such offer of employment shall provide for (i) an annual base salary or hourly wage rate, as applicable, that is no less favorable than the annual base salary or hourly wage rate, as applicable, in effect with respect such Offered Employee immediately prior to the Closing, (ii) target short-term cash incentive compensation opportunities that are substantially comparable to the target short-term cash incentive compensation opportunities as in effect with respect to such Offered Employee immediately prior to the Closing, and (iii) employee benefits (excluding any equity-based compensation, change in control, retention, severance, deferred compensation and defined benefit pension benefits) that are substantially comparable, in the aggregate, to those employee benefits the relevant Buyer provides to similarly situated employees of the Buyers. The Offered Employees who accept employment from Buyer or its Affiliates prior to the Closing, as well as any employees who are employed by the Companies immediately prior to the Closing, shall be referred to herein as “</w:t>
      </w:r>
      <w:r>
        <w:rPr>
          <w:rFonts w:ascii="Times New Roman;Times;Serif" w:hAnsi="Times New Roman;Times;Serif"/>
          <w:b w:val="false"/>
          <w:i w:val="false"/>
          <w:caps w:val="false"/>
          <w:smallCaps w:val="false"/>
          <w:sz w:val="20"/>
          <w:u w:val="single"/>
        </w:rPr>
        <w:t>Transferred Employees</w:t>
      </w:r>
      <w:r>
        <w:rPr>
          <w:rFonts w:ascii="Times New Roman;Times;Serif" w:hAnsi="Times New Roman;Times;Serif"/>
          <w:b w:val="false"/>
          <w:i w:val="false"/>
          <w:caps w:val="false"/>
          <w:smallCaps w:val="false"/>
          <w:sz w:val="20"/>
        </w:rPr>
        <w:t>.” The Persons who do not accept employment with Buyer or one of its Affiliates, shall be referred to herein as “</w:t>
      </w:r>
      <w:r>
        <w:rPr>
          <w:rFonts w:ascii="Times New Roman;Times;Serif" w:hAnsi="Times New Roman;Times;Serif"/>
          <w:b w:val="false"/>
          <w:i w:val="false"/>
          <w:caps w:val="false"/>
          <w:smallCaps w:val="false"/>
          <w:sz w:val="20"/>
          <w:u w:val="single"/>
        </w:rPr>
        <w:t>Non-Transferred Employees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Parties, on behalf of themselves and their Affiliates, hereby consent to the hiring by the Buyer or any of its Affiliates of each Transferred Employee and agree not to enforce any non-competition or similar covenant that could, but for this provision, prevent such Transferred Employee from fulfilling the terms and conditions of his, her, or its services to the Business following the Closing. The Seller Parties will make the employees of each Company reasonably available to the Buyer or its Affiliates for purposes of determining which such individuals will be Offered Employees and will otherwise provide reasonable cooperation in Buyer’s evaluation of and communication with such individuals.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described in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neither Buyer nor any of its Affiliates (including for the avoidance of doubt, the Companies following the Closing) shall have any liability with respect to any Non-Transferred Employee, regardless of when such liability arose or occurred (whether on, prior to or after the Closing Date). Neither Buyer nor any of its Affiliates (including for the avoidance of doubt, the Companies following the Closing) shall assume any liability with respect to any Company Employee Benefit Plan or other employee benefit plan of any kind or nature maintained by the Employer for any of its employees, former employees, consultants, former consultants or retirees. Notwithstanding the foregoing in this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to the extent reflected in Working Capital (as adjusted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if the Closing occurs during a regularly scheduled payroll period of an Employer, Buyer or an Affiliate of Buyer shall be responsible for all wages and salaries (including the employer portion of any payroll or other employment Taxes that are attributable to any such amounts) payable to Transferred Employees for the entirety of such payroll period to the extent accounted for in Working Capital, whether such obligations accrued during such Transferred Employee’s employment with the Employer or Buyer or an Affiliate.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Seller Parties and their respective Affiliates agree to provide, or cause to be provided, any required notice under the WARN Act, with respect to any “plant closing” or “mass layoff” or similar event affecting any Company employee prior to the Closing Date. Buyer agrees to provide or cause to be provided any required notice under the “WARN Act”, with respect to any “plant closing” or “mass layoff” or similar event affecting Transferred Employees and occurring on or after the Closing Date. For a period of ninety (90) days following the Closing Date, Buyer and its Affiliates shall not engage in any conduct that would result in an employment loss or layoff for a sufficient number of employees of Buyer or its Affiliates that, if aggregated with any such conduct on the part of Seller Parties or their Affiliates prior to the Closing Date, would trigger the WARN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Closing, except as required by Law, no Party shall issue any broad-based, written communication (including any electronic communication) relating to the Transactions to the Offered Employees (or their representatives, if any) relating to post-Closing employment-related matters without the prior written approval of the other Parties (which approval shall not be unreasonably conditioned, withheld, or delayed). Except as required by Law, the Parties shall consult with each other in good faith as to the contents, scope, form, and timing of any such broad-based, written communications by any Party with the Offered Employees (or their representatives, if any) and no Party shall make any representations (on behalf of itself or any other Party) relating to post-Closing employment-related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Buyer shall use commercially reasonable efforts to cause each Transferred Employee to be immediately eligible to participate, without any waiting period, in any and all employee benefit plans, programs, arrangements, agreements, policies or practices offered by the Buyer Group (“</w:t>
      </w:r>
      <w:r>
        <w:rPr>
          <w:rFonts w:ascii="Times New Roman;Times;Serif" w:hAnsi="Times New Roman;Times;Serif"/>
          <w:b w:val="false"/>
          <w:i w:val="false"/>
          <w:caps w:val="false"/>
          <w:smallCaps w:val="false"/>
          <w:sz w:val="20"/>
          <w:u w:val="single"/>
        </w:rPr>
        <w:t>Buyer Plans</w:t>
      </w:r>
      <w:r>
        <w:rPr>
          <w:rFonts w:ascii="Times New Roman;Times;Serif" w:hAnsi="Times New Roman;Times;Serif"/>
          <w:b w:val="false"/>
          <w:i w:val="false"/>
          <w:caps w:val="false"/>
          <w:smallCaps w:val="false"/>
          <w:sz w:val="20"/>
        </w:rPr>
        <w:t>”) to the extent that coverage pursuant to any Buyer Plan replaces coverage pursuant to a comparable Company Employee Benefit Plan in which such Transferred Employee participates immediately before the Closing. For purposes of each Buyer Plan providing group health benefits to Transferred Employees in the plan year in which the Closing occurs, Buyer shall, or shall cause its Affiliates to use commercially reasonable efforts to, cause all pre-existing condition exclusions, actively-at-work requirements, and waiting periods of such Buyer Plan to be waived for such Transferred Employee and his or her spouse and/or covered dependents (to the extent waived or satisfied under the comparable plan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Nothing contained herein, express or implied, shall (i) confer upon any individual (including any Transferred Employee, Non-Transferred Employee, employee, other service provider to the Companies, or retiree, or any dependent, beneficiary or legal representative of any of the foregoing Persons) any rights or remedies of any nature or kind whatsoever under or by reason of this Agreement, including any right to employment or continued employment for any specified period, or level of compensation or benefits, (ii) constitute the establishment, adoption, modification, amendment or termination of any Company Employee Benefit Plan or any other employee benefit plan, program, policy, arrangement or agreement maintained by the Employer, or the Company Group, or (iii) confer upon any individual (including any Transferred Employee, Non-Transferred Employee, employee, other service provider to the Companies, or retiree, or any dependent, beneficiary or legal representative of any of the foregoing Persons) any right as a third-party beneficiary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Minimum Cash</w:t>
      </w:r>
      <w:r>
        <w:rPr>
          <w:rFonts w:ascii="Times New Roman;Times;Serif" w:hAnsi="Times New Roman;Times;Serif"/>
          <w:b w:val="false"/>
          <w:i w:val="false"/>
          <w:caps w:val="false"/>
          <w:smallCaps w:val="false"/>
          <w:sz w:val="20"/>
        </w:rPr>
        <w:t>. From and after the Effective Date, each Company shall use commercially reasonable efforts to cause each dispensary owned and/or operated by a Company to satisfy the Minimum Cash Amount as of the Measurement Time. If, as of the Measurement Time, any dispensary owned and/or operated by a Company has not satisfied the Minimum Cash Amount (any such deficiency, “</w:t>
      </w:r>
      <w:r>
        <w:rPr>
          <w:rFonts w:ascii="Times New Roman;Times;Serif" w:hAnsi="Times New Roman;Times;Serif"/>
          <w:b w:val="false"/>
          <w:i w:val="false"/>
          <w:caps w:val="false"/>
          <w:smallCaps w:val="false"/>
          <w:sz w:val="20"/>
          <w:u w:val="single"/>
        </w:rPr>
        <w:t>Minimum Cash Deficit</w:t>
      </w:r>
      <w:r>
        <w:rPr>
          <w:rFonts w:ascii="Times New Roman;Times;Serif" w:hAnsi="Times New Roman;Times;Serif"/>
          <w:b w:val="false"/>
          <w:i w:val="false"/>
          <w:caps w:val="false"/>
          <w:smallCaps w:val="false"/>
          <w:sz w:val="20"/>
        </w:rPr>
        <w:t>”), Buyers may elect to provide the applicable Companies operating such dispensaries a cash deposit equal to the aggregate Minimum Cash Deficit in respect of the dispensaries operated thereby (the “</w:t>
      </w:r>
      <w:r>
        <w:rPr>
          <w:rFonts w:ascii="Times New Roman;Times;Serif" w:hAnsi="Times New Roman;Times;Serif"/>
          <w:b w:val="false"/>
          <w:i w:val="false"/>
          <w:caps w:val="false"/>
          <w:smallCaps w:val="false"/>
          <w:sz w:val="20"/>
          <w:u w:val="single"/>
        </w:rPr>
        <w:t>Buyer Cash Amount</w:t>
      </w:r>
      <w:r>
        <w:rPr>
          <w:rFonts w:ascii="Times New Roman;Times;Serif" w:hAnsi="Times New Roman;Times;Serif"/>
          <w:b w:val="false"/>
          <w:i w:val="false"/>
          <w:caps w:val="false"/>
          <w:smallCaps w:val="false"/>
          <w:sz w:val="20"/>
        </w:rPr>
        <w:t>”) with the date of such deposit referred to as the “</w:t>
      </w:r>
      <w:r>
        <w:rPr>
          <w:rFonts w:ascii="Times New Roman;Times;Serif" w:hAnsi="Times New Roman;Times;Serif"/>
          <w:b w:val="false"/>
          <w:i w:val="false"/>
          <w:caps w:val="false"/>
          <w:smallCaps w:val="false"/>
          <w:sz w:val="20"/>
          <w:u w:val="single"/>
        </w:rPr>
        <w:t>Buyer Cash Funding Date</w:t>
      </w:r>
      <w:r>
        <w:rPr>
          <w:rFonts w:ascii="Times New Roman;Times;Serif" w:hAnsi="Times New Roman;Times;Serif"/>
          <w:b w:val="false"/>
          <w:i w:val="false"/>
          <w:caps w:val="false"/>
          <w:smallCaps w:val="false"/>
          <w:sz w:val="20"/>
        </w:rPr>
        <w:t>.” From and after the Buyer Cash Funding Date through the Closing Date, the Companies shall use the Cash at each dispensary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Guarantees; Other Obligations</w:t>
      </w:r>
      <w:r>
        <w:rPr>
          <w:rFonts w:ascii="Times New Roman;Times;Serif" w:hAnsi="Times New Roman;Times;Serif"/>
          <w:b w:val="false"/>
          <w:i w:val="false"/>
          <w:caps w:val="false"/>
          <w:smallCaps w:val="false"/>
          <w:sz w:val="20"/>
        </w:rPr>
        <w:t xml:space="preserve">. At or before the Closing, Cannabist and Buyer shall use commercially reasonable efforts to (a) arrange for substitute letters of credit, Buyer guarantees and other obligations to replace any Seller Guarantees outstanding as of the date hereof or (b) assume all obligations under such Seller Guarantee, obtaining from the creditor, beneficiary or other counterparty a full release (in a form and substance reasonably satisfactory to Cannabist) of all parties liable, directly or indirectly, for reimbursement to the creditor or fulfillment of other obligations to a beneficiary or counterparty in connection with amounts drawn under such Seller Guarantees. The Seller Parties shall use their commercially reasonable efforts to cooperate with Buyer in connection with the foregoing obligations. To the extent the beneficiary or counterparty under any such Seller Guarantee does not accept as of the Closing any such substitute letter of credit, Buyer guarantee or other obligation proffered by Buyer, effective from and after the Closing Date, Buyer shall, and shall cause each of its Affiliates to (x) indemnify, defend and hold harmless Cannabist, the Member, and their respective Affiliates against, and reimburse Cannabist, the Member, and their respective Affiliates for, all amounts paid to the extent any such Seller Guarantee is called upon and any of Cannabist, the Member or any Affiliate of the foregoing makes any payment or is otherwise obligated to reimburse the party issuing such Seller Guarantee and (y) not, without Cannabist’s prior written consent, amend in any manner adverse to Cannabist, the Member, and their respective Affiliates, or extend (or permit the extension of) any such Seller Guarantee or any obligation supported by any such Seller Guarantee prior to the irrevocable and unconditional release of Cannabist, the Member and its Affiliates. Notwithstanding anything to the contrary in this Agreement, nothing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require any of Cannabist, the Member, or their respective Affiliates to maintain, renew, issue anew, amend or modify any such Seller Guarantee in any respect from and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 xml:space="preserve">. From the date hereof until the Closing, each Party shall use commercially reasonable efforts to take such actions as are necessary to expeditiously satisfy the applicable closing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Lease Amendments; Lease Assignments</w:t>
      </w:r>
      <w:r>
        <w:rPr>
          <w:rFonts w:ascii="Times New Roman;Times;Serif" w:hAnsi="Times New Roman;Times;Serif"/>
          <w:b w:val="false"/>
          <w:i w:val="false"/>
          <w:caps w:val="false"/>
          <w:smallCaps w:val="false"/>
          <w:sz w:val="20"/>
        </w:rPr>
        <w:t xml:space="preserve">. From the date hereof until the Closing, upon the request of Buyer, the Member and the applicable Company shall (a) reasonably cooperate with Buyer in Buyer’s negotiation of the Required Lease Amendments, and (b) use commercially reasonable efforts to obtain the Lease Assignments with respect to each Real Estate Lease, duly executed by the applicable Seller Entity and, if required by the applicable Real Estate Lease, the landlord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no Seller Party shall be required to (a) make any payment or provide any financial accommodation to any landlord, lessor, or other counterparty in respect of such Required Lease Amendment or Lease Assignment, (b) agree to any modification, amendment, or supplement to any Real Estate Lease or other Contract that would (i) increase the rent or other amounts payable thereunder before Closing, (ii) expand the scope of any obligations or liabilities thereunder before the Closing, or (iii) otherwise be adverse to the interests of any Seller Party before the Closing, or (c) provide any other concession, inducement, or accommodation to any landlord, or other counterparty in connection with obtaining any consent, waiver or amendment. Any costs, payments, or concessions required as a condition to granting any such consent, waiver, or amendment that relate to any period prior to the Closing shall be borne solely by Buyer;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for the avoidance of doubt, that nothing contained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relieve any Company or the Member, as the case may be, from any current or past due obligations or Liabilities with respect to any leases related thereto;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 of any Required Lease Amendment that involves the reduction of rent or other amounts payable by any Company, the Member and the applicable Company shall be deemed to have satisfied the requirements of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so long as the Member and applicable Company have not impeded or interfered with the Buyer’s negotiation of such Required Lease Amendment. For the avoidance of doubt, any failure by the Member or any Company to deliver any Required Lease Amendment or Lease Assignment shall not be deemed a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Transition Committee; Intercompany Arrangements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following the date hereof, the Member and Buyer shall establish a steering committee (the “</w:t>
      </w:r>
      <w:r>
        <w:rPr>
          <w:rFonts w:ascii="Times New Roman;Times;Serif" w:hAnsi="Times New Roman;Times;Serif"/>
          <w:b w:val="false"/>
          <w:i w:val="false"/>
          <w:caps w:val="false"/>
          <w:smallCaps w:val="false"/>
          <w:sz w:val="20"/>
          <w:u w:val="single"/>
        </w:rPr>
        <w:t>Transition Committee</w:t>
      </w:r>
      <w:r>
        <w:rPr>
          <w:rFonts w:ascii="Times New Roman;Times;Serif" w:hAnsi="Times New Roman;Times;Serif"/>
          <w:b w:val="false"/>
          <w:i w:val="false"/>
          <w:caps w:val="false"/>
          <w:smallCaps w:val="false"/>
          <w:sz w:val="20"/>
        </w:rPr>
        <w:t>”) that shall monitor and discuss the operations of the Business prior to the Closing, to the extent such agreement is entered into, in accordance with the express terms of the relevant Services Agreement. The Transition Committee is intended to facilitate communications between the Member and the Buyer with respect to the Business of each Company and is not a formal body empowered to make binding decisions. From the date hereof until the Closing, the Member shall continue to control the operations of the Business as required by applicable State Cannabis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Transition Committee shall be composed of two (2) representatives from each of the Member and the Buyer. During the period between the date of this Agreement and the Closing, the Transition Committee shall meet (in person, by telephone and/or video conference) at least bi-weekly or more frequently as agreed among the Member and the Buyer and provide recommendations to the Member concerning the operation of each Company’s Business prior to the Closing (each such recommendation that is unanimously approved by the Transition Committee, a “</w:t>
      </w:r>
      <w:r>
        <w:rPr>
          <w:rFonts w:ascii="Times New Roman;Times;Serif" w:hAnsi="Times New Roman;Times;Serif"/>
          <w:b w:val="false"/>
          <w:i w:val="false"/>
          <w:caps w:val="false"/>
          <w:smallCaps w:val="false"/>
          <w:sz w:val="20"/>
          <w:u w:val="single"/>
        </w:rPr>
        <w:t>Transition Committee Recommendation</w:t>
      </w:r>
      <w:r>
        <w:rPr>
          <w:rFonts w:ascii="Times New Roman;Times;Serif" w:hAnsi="Times New Roman;Times;Serif"/>
          <w:b w:val="false"/>
          <w:i w:val="false"/>
          <w:caps w:val="false"/>
          <w:smallCaps w:val="false"/>
          <w:sz w:val="20"/>
        </w:rPr>
        <w:t>”), which then the Member may, in its sole discretion, provide to each Company for implementation.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the performance, payment, termination and administration of any intercompany agreement between a Company, on the one hand, and Cannabist, the Member or any of their respective Affiliates, on the other hand, may become subject to the direction of Buyer, and if the Parties execute a Service Agreement, subject to the terms and conditions of the applicable Services Agreement. Without limiting the foregoing, Buyer shall determine in its sole discretion whether any services shall be performed for the Companies under such agreements, and in no event shall any amount be charged or paid under any such agreement other than on an arms’ length basis. Cannabist, the Member and the Companies agree that any such agreements are hereby amended to the extent necessary to reflect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the Parties shall use their commercially reasonable best efforts to negotiate in good faith, finalize and execute the Transaction Agreements (other than this Agreement and the Service Agreement) in accordance with the terms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shall use their commercially reasonable efforts to negotiate in good faith and finalize the Service Agreement within ten (10) Business Days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Designated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Available Contract Schedule</w:t>
      </w:r>
      <w:r>
        <w:rPr>
          <w:rFonts w:ascii="Times New Roman;Times;Serif" w:hAnsi="Times New Roman;Times;Serif"/>
          <w:b w:val="false"/>
          <w:i w:val="false"/>
          <w:caps w:val="false"/>
          <w:smallCaps w:val="false"/>
          <w:sz w:val="20"/>
        </w:rPr>
        <w:t>. Within five (5) Business Days from the Effective Date, the Member shall deliver Buyer with a list of each Available Contract and the amount of Prepetition Payables associated with such Contract (such list, the “</w:t>
      </w:r>
      <w:r>
        <w:rPr>
          <w:rFonts w:ascii="Times New Roman;Times;Serif" w:hAnsi="Times New Roman;Times;Serif"/>
          <w:b w:val="false"/>
          <w:i w:val="false"/>
          <w:caps w:val="false"/>
          <w:smallCaps w:val="false"/>
          <w:sz w:val="20"/>
          <w:u w:val="single"/>
        </w:rPr>
        <w:t>Available Contract Schedule</w:t>
      </w:r>
      <w:r>
        <w:rPr>
          <w:rFonts w:ascii="Times New Roman;Times;Serif" w:hAnsi="Times New Roman;Times;Serif"/>
          <w:b w:val="false"/>
          <w:i w:val="false"/>
          <w:caps w:val="false"/>
          <w:smallCaps w:val="false"/>
          <w:sz w:val="20"/>
        </w:rPr>
        <w:t>”). If, at any time prior to the Designation Deadline (as defined below), any Seller Entity becomes aware that it is a party to an Available Contract that is not listed on the Available Contract Schedule (each, an “</w:t>
      </w:r>
      <w:r>
        <w:rPr>
          <w:rFonts w:ascii="Times New Roman;Times;Serif" w:hAnsi="Times New Roman;Times;Serif"/>
          <w:b w:val="false"/>
          <w:i w:val="false"/>
          <w:caps w:val="false"/>
          <w:smallCaps w:val="false"/>
          <w:sz w:val="20"/>
          <w:u w:val="single"/>
        </w:rPr>
        <w:t>Undisclosed Contract</w:t>
      </w:r>
      <w:r>
        <w:rPr>
          <w:rFonts w:ascii="Times New Roman;Times;Serif" w:hAnsi="Times New Roman;Times;Serif"/>
          <w:b w:val="false"/>
          <w:i w:val="false"/>
          <w:caps w:val="false"/>
          <w:smallCaps w:val="false"/>
          <w:sz w:val="20"/>
        </w:rPr>
        <w:t>”), the Member will update the Available Contract Schedule with respect to such Undisclosed Contract and share such updated schedule with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Designation by Buyer</w:t>
      </w:r>
      <w:r>
        <w:rPr>
          <w:rFonts w:ascii="Times New Roman;Times;Serif" w:hAnsi="Times New Roman;Times;Serif"/>
          <w:b w:val="false"/>
          <w:i w:val="false"/>
          <w:caps w:val="false"/>
          <w:smallCaps w:val="false"/>
          <w:sz w:val="20"/>
        </w:rPr>
        <w:t>. From time to time, on or prior to the Calculation Date (the “</w:t>
      </w:r>
      <w:r>
        <w:rPr>
          <w:rFonts w:ascii="Times New Roman;Times;Serif" w:hAnsi="Times New Roman;Times;Serif"/>
          <w:b w:val="false"/>
          <w:i w:val="false"/>
          <w:caps w:val="false"/>
          <w:smallCaps w:val="false"/>
          <w:sz w:val="20"/>
          <w:u w:val="single"/>
        </w:rPr>
        <w:t>Designation Deadline</w:t>
      </w:r>
      <w:r>
        <w:rPr>
          <w:rFonts w:ascii="Times New Roman;Times;Serif" w:hAnsi="Times New Roman;Times;Serif"/>
          <w:b w:val="false"/>
          <w:i w:val="false"/>
          <w:caps w:val="false"/>
          <w:smallCaps w:val="false"/>
          <w:sz w:val="20"/>
        </w:rPr>
        <w:t>”), Buyer may elect, by written notice to the Member, each Available Contract it wishes to be assigned to it or the other Buyers on the Closing Date (each such Contract, together with all Post-Petition Contracts, a “</w:t>
      </w:r>
      <w:r>
        <w:rPr>
          <w:rFonts w:ascii="Times New Roman;Times;Serif" w:hAnsi="Times New Roman;Times;Serif"/>
          <w:b w:val="false"/>
          <w:i w:val="false"/>
          <w:caps w:val="false"/>
          <w:smallCaps w:val="false"/>
          <w:sz w:val="20"/>
          <w:u w:val="single"/>
        </w:rPr>
        <w:t>Transferred Contract</w:t>
      </w:r>
      <w:r>
        <w:rPr>
          <w:rFonts w:ascii="Times New Roman;Times;Serif" w:hAnsi="Times New Roman;Times;Serif"/>
          <w:b w:val="false"/>
          <w:i w:val="false"/>
          <w:caps w:val="false"/>
          <w:smallCaps w:val="false"/>
          <w:sz w:val="20"/>
        </w:rPr>
        <w:t xml:space="preserve">”), and each such Transferred Contract shall be deemed a Transferred Asset for purposes hereof and added to </w:t>
      </w:r>
      <w:r>
        <w:rPr>
          <w:rFonts w:ascii="Times New Roman;Times;Serif" w:hAnsi="Times New Roman;Times;Serif"/>
          <w:b w:val="false"/>
          <w:i w:val="false"/>
          <w:caps w:val="false"/>
          <w:smallCaps w:val="false"/>
          <w:sz w:val="20"/>
          <w:u w:val="single"/>
        </w:rPr>
        <w:t>Schedule 2.2(a)(i)</w:t>
      </w:r>
      <w:r>
        <w:rPr>
          <w:rFonts w:ascii="Times New Roman;Times;Serif" w:hAnsi="Times New Roman;Times;Serif"/>
          <w:b w:val="false"/>
          <w:i w:val="false"/>
          <w:caps w:val="false"/>
          <w:smallCaps w:val="false"/>
          <w:sz w:val="20"/>
        </w:rPr>
        <w:t xml:space="preserve">. Any Available Contract not designated by Buyer in writing as a Transferred Contract on or before the Designation Deadline shall be deemed to be an Excluded Contract. From time to time prior to the Designation Deadline, Buyer may elect, by written notice to the Member, to remove any Available Contract from </w:t>
      </w:r>
      <w:r>
        <w:rPr>
          <w:rFonts w:ascii="Times New Roman;Times;Serif" w:hAnsi="Times New Roman;Times;Serif"/>
          <w:b w:val="false"/>
          <w:i w:val="false"/>
          <w:caps w:val="false"/>
          <w:smallCaps w:val="false"/>
          <w:sz w:val="20"/>
          <w:u w:val="single"/>
        </w:rPr>
        <w:t>Schedule 2.2(a)(i)</w:t>
      </w:r>
      <w:r>
        <w:rPr>
          <w:rFonts w:ascii="Times New Roman;Times;Serif" w:hAnsi="Times New Roman;Times;Serif"/>
          <w:b w:val="false"/>
          <w:i w:val="false"/>
          <w:caps w:val="false"/>
          <w:smallCaps w:val="false"/>
          <w:sz w:val="20"/>
        </w:rPr>
        <w:t xml:space="preserve"> and from and after such date such Available Contract shall be deemed for all purposes hereunder an Excluded Contract. Notwithstanding the foregoing, an Available Contract shall not be a Transferred Contract hereunder and shall not be assigned to, or assumed by, any Seller Entity if such Available Contract is validly terminated by the other party thereto, or terminates or expires in accordance with its own terms on or prior to the Designation Deadline and is not continued or otherwise extended prior to or upon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Buyers acknowledge and agree that the Member and its Affiliates and their respective Representatives shall have no responsibility for any financing that Buyer may raise in connection with the Transactions. The Buyers shall not permit any assignment of the Loan Financing Agreement, or any amendment or modification to be made to, or any waiver of any provision or remedy, or any increase in the maximum borrowing amount, under the Loan Financing Agreement, in each case without obtaining the Member’s prior written consent. In addition to the foregoing, Buyer shall not release or consent to the termination of the Loan Financing Agreement, except with Member’s prior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Buyers shall (i) keep the Member informed on a reasonably current basis in reasonable detail of all material activity concerning the Debt Financing and (ii) promptly provide the Member with copies of all executed amendments, modifications or replacements of the Loan Financing Agreement (it being understood that any amendments, modifications or replacements shall only be as permitted herein) or definitive agreements related to the Debt Financing, and such other information and documentation related to the Debt Financing and available to the Buyers as shall be reasonably requested by the Member. Without limiting the generality of the foregoing, Buyer shall promptly notify the Member (A) of any breach (or threatened breach) or default (or any event or circumstance that could reasonably be expected to give rise to any breach or default) by any party to the Loan Financing Agreement or definitive agreements related to the Debt Financing of which the Buyer becomes aware, (B) of the receipt by Buyer of any written notice or communication from the Lenders with respect to any breach (or threatened breach) or default (or any event or circumstance that would reasonably be expected to give rise to any breach or default), or any termination or repudiation, and (C) of any failure (or any event or circumstance that would reasonably be expected to give rise to any failure) to satisfy any condition precedent set forth in the Loan Financing Agreement or any definitive agreement in respect of the Debt Financing at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r>
      <w:r>
        <w:rPr>
          <w:rFonts w:ascii="Times New Roman;Times;Serif" w:hAnsi="Times New Roman;Times;Serif"/>
          <w:b w:val="false"/>
          <w:i w:val="false"/>
          <w:caps/>
          <w:sz w:val="20"/>
          <w:u w:val="single"/>
        </w:rPr>
        <w:t>Additional Agreements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in the event of Fraud or as set forth in (i)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(ii) for any covenant that by its terms is to be performed (in whole or in part) by any Party following the Closing (which covenants shall survive such Closing in accordance with their terms), none of the applicable representations, warranties, or covenants of any Party set forth in this Agreement shall survive, and each of the same shall terminate and be of no further force or effect as of, the Closing; provided, however, that the Fundamental Representations shall survive the Closing until the date that is three (3) years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Certain 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Member shall prepare and timely file, or cause to be prepared and timely filed, all Tax Returns of or with respect to the Transferred Assets and all sales and use Tax Returns of each Company, in each case, for any Pre-Closing Tax Periods other than ad valorem (or similar) Tax Returns for a Straddle Period (the “</w:t>
      </w:r>
      <w:r>
        <w:rPr>
          <w:rFonts w:ascii="Times New Roman;Times;Serif" w:hAnsi="Times New Roman;Times;Serif"/>
          <w:b w:val="false"/>
          <w:i w:val="false"/>
          <w:caps w:val="false"/>
          <w:smallCaps w:val="false"/>
          <w:sz w:val="20"/>
          <w:u w:val="single"/>
        </w:rPr>
        <w:t>Member Prepared Returns</w:t>
      </w:r>
      <w:r>
        <w:rPr>
          <w:rFonts w:ascii="Times New Roman;Times;Serif" w:hAnsi="Times New Roman;Times;Serif"/>
          <w:b w:val="false"/>
          <w:i w:val="false"/>
          <w:caps w:val="false"/>
          <w:smallCaps w:val="false"/>
          <w:sz w:val="20"/>
        </w:rPr>
        <w:t>”). All Member Prepared Returns shall be prepared in accordance with existing procedures and practices of the applicable Seller Party, unless otherwise required by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any of the Seller Parties are required to file any Tax Returns that include Taxes due and payable (prior to the application of payments, credits and other similar reductions) which (i) are an Assumed Liability, or (ii) are included in the calculation of Final Indebtedness or Final Transaction Expenses or otherwise reduce the Final Closing Cash Payment, Buyer shall pay to the applicable Seller Parties (as directed by Cannabist in writing no later than ten (10) days prior to the Tax Return due date) the amount of such Taxes no later than five (5) days prior to the due date of such Tax Returns.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Member, Buyer and the applicable Companies each shall (i) assist in the preparation and timely filing of any Tax Return of any Company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(ii) assist in any audit or other legal Proceeding with respect to Taxes or Tax Returns of or including any Company; (iii) make available any information, records, or other documents relating to any Taxes or Tax Returns of any Company with respect to any Pre-Closing Tax Period; and (iv) provide any information in their possession and control necessary or reasonably requested to allow Buyer or a Company to comply with any information reporting or withholding requirements contained in the Code or other applicable Laws with respect to the Transactions contemplated by this Agreement or to compute the amount of payroll or other employment Taxes due with respect to any payment made in connection with this Agreement. Notwithstanding anything to the contrary contained in this Agreement, in no event shall the Member be requested to provide Buyer (or any of Buyer’s Affiliates) with any consolidated, combined, unitary or similar group Tax Return (or related work papers or other related information) that includes Cannabist, the Member and/or any of their respective Affiliates and in no event shall Buyer be requested to provide Cannabist, the Member, any of the Seller Parties or any of the Company Group’s Affiliates with any consolidated, combined, unitary or similar group Tax Return (or related work papers or other related information) that includes Buyer and/or any of its respective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Buyer and the Member intend for the Purchase Price (including adjustments thereto), the Assumed Liabilities, and all other relevant items shall be allocated by Buyer and the Member among the Transferred Assets in accordance with Code Section 1060. A statement setting forth such allocation shall be provided by the Buyer to Member within 90 days after the Closing and shall be updated as required by the Buyer under Section 1060 of the Code and the Treasury Regulations promulgated thereunder (the “</w:t>
      </w:r>
      <w:r>
        <w:rPr>
          <w:rFonts w:ascii="Times New Roman;Times;Serif" w:hAnsi="Times New Roman;Times;Serif"/>
          <w:b w:val="false"/>
          <w:i w:val="false"/>
          <w:caps w:val="false"/>
          <w:smallCaps w:val="false"/>
          <w:sz w:val="20"/>
          <w:u w:val="single"/>
        </w:rPr>
        <w:t>Asset Purchase Price Allocation</w:t>
      </w:r>
      <w:r>
        <w:rPr>
          <w:rFonts w:ascii="Times New Roman;Times;Serif" w:hAnsi="Times New Roman;Times;Serif"/>
          <w:b w:val="false"/>
          <w:i w:val="false"/>
          <w:caps w:val="false"/>
          <w:smallCaps w:val="false"/>
          <w:sz w:val="20"/>
        </w:rPr>
        <w:t xml:space="preserve">”). The Parties shall report, act and file all Tax Returns (including IRS Form 8594) in all respects and for all purposes consistent with the Asset Purchase Price Allocation (including in respect of Transfer Taxes) and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and no Party shall take any position (whether in audits, Tax Returns or otherwise) that is inconsistent with the Asset Purchase Price Allocation or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unless required to do so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all federal, state, local, non-U.S. transfer, excise, sales, use, ad valorem, value added, registration, stamp, recording, property transfer, stock transfer, intangible property transfer, personal property transfer, and similar Taxes or fees applicable to, imposed upon, or arising in connection with this Agreement and all related interest and penalties (collectively,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and all reasonable out-of-pocket costs and expenses for the preparation and filing of Tax Returns relating to Transfer Taxes, shall be borne by the Buyer. The parties hereto shall reasonably cooperate to reduce or eliminate any Transfer Taxes to the extent permitted by applicable Law. All Tax Returns relating to Transfer Taxes shall be prepared and timely filed by the party responsible for such filing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Tax refund (including any interest in respect thereof) received by Buyer or any of its Affiliates, and any amounts of overpayments of Tax credited against Taxes which Buyer or the Seller Parties otherwise would be or would have been required to pay that relate to Taxes for Pre-Closing Tax Periods (collectively, “</w:t>
      </w:r>
      <w:r>
        <w:rPr>
          <w:rFonts w:ascii="Times New Roman;Times;Serif" w:hAnsi="Times New Roman;Times;Serif"/>
          <w:b w:val="false"/>
          <w:i w:val="false"/>
          <w:caps w:val="false"/>
          <w:smallCaps w:val="false"/>
          <w:sz w:val="20"/>
          <w:u w:val="single"/>
        </w:rPr>
        <w:t>Tax Refunds</w:t>
      </w:r>
      <w:r>
        <w:rPr>
          <w:rFonts w:ascii="Times New Roman;Times;Serif" w:hAnsi="Times New Roman;Times;Serif"/>
          <w:b w:val="false"/>
          <w:i w:val="false"/>
          <w:caps w:val="false"/>
          <w:smallCaps w:val="false"/>
          <w:sz w:val="20"/>
        </w:rPr>
        <w:t xml:space="preserve">”) shall be for the account of Member, and Buyer shall pay over to Member any such Tax Refund within thirty (30) days after receipt or entitlement thereto. Any such payments shall be treated as payments of additional Purchase Price for all applicable Tax purposes. If any portion of any Tax Refund subject to this </w:t>
      </w:r>
      <w:r>
        <w:rPr>
          <w:rFonts w:ascii="Times New Roman;Times;Serif" w:hAnsi="Times New Roman;Times;Serif"/>
          <w:b w:val="false"/>
          <w:i w:val="false"/>
          <w:caps w:val="false"/>
          <w:smallCaps w:val="false"/>
          <w:sz w:val="20"/>
          <w:u w:val="single"/>
        </w:rPr>
        <w:t>Section 6.2(e)</w:t>
      </w:r>
      <w:r>
        <w:rPr>
          <w:rFonts w:ascii="Times New Roman;Times;Serif" w:hAnsi="Times New Roman;Times;Serif"/>
          <w:b w:val="false"/>
          <w:i w:val="false"/>
          <w:caps w:val="false"/>
          <w:smallCaps w:val="false"/>
          <w:sz w:val="20"/>
        </w:rPr>
        <w:t xml:space="preserve"> is subsequently disallowed by any Governmental Entity, then amounts previously paid over to Member pursuant to this </w:t>
      </w:r>
      <w:r>
        <w:rPr>
          <w:rFonts w:ascii="Times New Roman;Times;Serif" w:hAnsi="Times New Roman;Times;Serif"/>
          <w:b w:val="false"/>
          <w:i w:val="false"/>
          <w:caps w:val="false"/>
          <w:smallCaps w:val="false"/>
          <w:sz w:val="20"/>
          <w:u w:val="single"/>
        </w:rPr>
        <w:t>Section 6.2(e)</w:t>
      </w:r>
      <w:r>
        <w:rPr>
          <w:rFonts w:ascii="Times New Roman;Times;Serif" w:hAnsi="Times New Roman;Times;Serif"/>
          <w:b w:val="false"/>
          <w:i w:val="false"/>
          <w:caps w:val="false"/>
          <w:smallCaps w:val="false"/>
          <w:sz w:val="20"/>
        </w:rPr>
        <w:t xml:space="preserve"> in respect thereof (plus any interest thereon due to any Governmental Entity) shall be promptly reimbursed by Member to Buyer or any of its Affiliates,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any dispute, controversy or claim relating to the Asset Purchase Price Allocation between Buyer and Member, or the Seller Entities (prior to the Closing), or between Buyer and Member (following the Closing), Buyer and Member or the Seller Entities, as applicable, shall cooperate in good faith to resolve such dispute, controversy or claim between them for a period of thirty (30) days from the date written notice of such dispute, controversy or claim is received by Buyer or Member, as the case may be; but if the applicable parties are unable to resolve such dispute, controversy or claim, the parties shall submit the dispute, controversy or claim for resolution, which resolution shall be final, conclusive and binding on the parties, to a mutually agreed upon national accounting firm or a mutually agreed upon tax lawyer who is a partner in a law firm, that, in each case, is: (a) familiar with transactions or operations of the sort at issue; and (b) independent with respect to each Party (such accounting firm or such tax lawyer, the “</w:t>
      </w:r>
      <w:r>
        <w:rPr>
          <w:rFonts w:ascii="Times New Roman;Times;Serif" w:hAnsi="Times New Roman;Times;Serif"/>
          <w:b w:val="false"/>
          <w:i w:val="false"/>
          <w:caps w:val="false"/>
          <w:smallCaps w:val="false"/>
          <w:sz w:val="20"/>
          <w:u w:val="single"/>
        </w:rPr>
        <w:t>Tax Arbitrator</w:t>
      </w:r>
      <w:r>
        <w:rPr>
          <w:rFonts w:ascii="Times New Roman;Times;Serif" w:hAnsi="Times New Roman;Times;Serif"/>
          <w:b w:val="false"/>
          <w:i w:val="false"/>
          <w:caps w:val="false"/>
          <w:smallCaps w:val="false"/>
          <w:sz w:val="20"/>
        </w:rPr>
        <w:t>”). Notwithstanding anything in this Agreement to the contrary, the fees and expenses of the Tax Arbitrator relating to any dispute as to the amount of Taxes owed shall be paid by Buyer, on the one hand, and Member, on the other hand, in proportion to each Party’s respective liability for the portion of the Taxes in dispute, as determined by the Tax Arbitrator; provided that the liability of Buyer for the portion of the Taxes in dispute shall be deemed to include, for purposes of this calculation, any reduction in Member’s liability relative to the amount in dispute.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else in this Agreement, Member and Buyer hereto agree that any deduction, credit or other Tax asset or benefit arising from any and all payments of Indebtedness and any other expense or liability taken into account for the calculation of Final Working Capital shall be allocated or otherwise apportioned to the Pre-Closing Tax Period to the maximum extent permitted by applicable Law. Without limiting the foregoing, the Parties agree that, as applicable and to the extent necessary to give effect to the intent of this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seventy percent (70%) of any “success-based fees” shall be treated as deductible in accordance with Revenue Procedure 2011-29, 2011-18 I.R.B. 746, and that the related safe harbor election shall be made accordingly.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otherwise provided in this Agreement, in the case of Taxes (other than Transfer Taxes) that are payable with respect to any Straddle Period, the portion of such Taxes that are allocable to the portion of such Straddle Period ending on the Closing Date for purposes of this Agreement shall be: (i) in the case of Taxes based upon, or related to, income, receipts, sales profits, payroll, wages, capital or net worth, deemed equal to the amount which would be payable if the taxable year ended on (and including) the Closing Date; and (ii) in the case of other Taxes, deemed to be the amount of such Taxes for the entire Straddle Period multiplied by a fraction the numerator of which is the number of days in the portion of such period ending on (and including) the Closing Date and the denominator of which is the number of days in the entire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and the Seller Parties hereby waive compliance with the requirements and provisions of any “bulk-transfer” or similar Laws (including, for avoidance of doubt, under any Tax Law) of any jurisdiction that may otherwise be applicable with respect to the sale of any or all of the Transferred Assets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Buyer and the Seller Parties agree, and agree to cause their Affiliates, to utilize the standard procedure set forth in Revenue Procedure 2004-53, 2004-2 C.B. 320 with respect to wage reporting relating to Transferred Employees.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obligations of the Member, Cannabist and the Seller Entities set forth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with respect to Taxes shall survive until the date that is the earlier of thirty (30) days following the expiration of the applicable statute of limitations and the Wind-Up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To the extent there is a conflict between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with respect to Taxes or any Tax matter, the provisions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control; provided, that nothing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be construed to extend or otherwise expand the indemnification provisions agreed to by the Parties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provided in this Agreement, each Party shall be liable for and pay all of its own costs and expenses (including attorneys’, accountants’ and investment bankers’ fees and other out-of-pocket expenses) in connection with the negotiation, documentation and execution of the Transaction Agreements, the performance of such Party’s obligations hereunder and the consummation of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Further Assurance and Post-Closing Actions</w:t>
      </w:r>
      <w:r>
        <w:rPr>
          <w:rFonts w:ascii="Times New Roman;Times;Serif" w:hAnsi="Times New Roman;Times;Serif"/>
          <w:b w:val="false"/>
          <w:i w:val="false"/>
          <w:caps w:val="false"/>
          <w:smallCaps w:val="false"/>
          <w:sz w:val="20"/>
        </w:rPr>
        <w:t xml:space="preserve">. From time to time following the Closing, the Parties shall, and shall cause their respective Affiliates to, execute, acknowledge and deliver all reasonable further conveyances, notices, assumptions, releases and acquittances and other documents or instruments, and shall take such reasonable actions as may be necessary or appropriate to make effective the Transactions as may be reasonably requested by the other Party; provided, however, nothing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require any Party or its Affiliates to pay money to, commence or participate in any action with respect to, or offer or grant any accommodation (financial or otherwise) to, any third party following the Closing. If, at any time following Closing, any Party discovers that any asset, Contract, Permit, right or other property (including any Transferred Asset) that should have been owned, held or exclusively enjoyed by Buyer or any Company as of the Closing is held by any Seller Party or any of their respective Affiliates, such Seller Party or Affiliate, as applicable, shall promptly (and in any event within thirty (30) days of such discovery) effect, or cause to be effected, the transfer, assignment, novation, endorsement or other conveyance of such assets (or portions thereof) to the intended recipient, for no additional consideration, so as to place Buyer or such Company in the position it would have been in had such assets been held by it as of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Permit Transfers; Third-Party Consents; Reasonable Efforts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shall bear the sole responsibility (at Buyer’s cost) for the issuance of all applicable Permits (including Permits under Environmental Laws) required to operate the business, and shall make all related filings and submissions, in each case, for consummation of the Transactions and to allow Buyer or an Affiliate of Buyer (if Buyer identifies such an Affiliate) to own and operate the business and any assets. The Member and the Companies shall use reasonable best efforts, at the Buyer’s cost and expense, to assist Buyer in obtaining such Permits; provided, however, nothing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require any Party or its Affiliates to pay money to, commence or participate in any action with respect to, or offer or grant any accommodation (financial or otherwise) to, any third party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any Seller Entity’s or the Member’s rights under any Contract or Permit constituting a Transferred Asset may not be assigned to Buyer without the consent of another Person which has not been obtained, this Agreement shall not constitute an agreement to assign the same if an attempted assignment would constitute a breach thereof or be unlawful, and such Seller Entity or the Member shall use its commercially reasonable efforts to obtain any such required consent(s) as promptly as possible, and Buyer shall cooperate with such Seller Entity or the Member to obtain such consent, including, without limitation, complying with information requests and other requests of such Seller Entity or the Member to effectuate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no Seller Entity nor the Member shall be required to agree to any modification, amendment, or supplement to any Contract that would (i) expand the scope of any pre-Closing obligations or liabilities thereunder, or (ii) otherwise be adverse to the interests of any Seller Party prior to the Closing. The Buyer shall bear any reasonable and customary cost or expense required to be paid and any financial accommodation required to be made to any third party in connection with obtaining any such consent or approval required hereunder. If any such consent shall not be obtained or if any attempted assignment would be ineffective or would impair Buyer’s rights under the Transferred Asset in question so that Buyer would not in effect acquire the benefit of all such rights, such Seller Entity or the Member, to the maximum extent permitted by law and the Transferred Asset, shall act after the Closing as Buyer’s agent in order to obtain for it the benefits thereunder and shall cooperate, to the maximum extent permitted by applicable Law, with Buyer in any other reasonable arrangement designed to provide such benefits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Closing, each Seller Party on behalf of themselves and their respective Affiliates, successors and assigns (collectively, the “</w:t>
      </w:r>
      <w:r>
        <w:rPr>
          <w:rFonts w:ascii="Times New Roman;Times;Serif" w:hAnsi="Times New Roman;Times;Serif"/>
          <w:b w:val="false"/>
          <w:i w:val="false"/>
          <w:caps w:val="false"/>
          <w:smallCaps w:val="false"/>
          <w:sz w:val="20"/>
          <w:u w:val="single"/>
        </w:rPr>
        <w:t>Releasing Parties</w:t>
      </w:r>
      <w:r>
        <w:rPr>
          <w:rFonts w:ascii="Times New Roman;Times;Serif" w:hAnsi="Times New Roman;Times;Serif"/>
          <w:b w:val="false"/>
          <w:i w:val="false"/>
          <w:caps w:val="false"/>
          <w:smallCaps w:val="false"/>
          <w:sz w:val="20"/>
        </w:rPr>
        <w:t>”), hereby irrevocably and unconditionally release, acquit and forever discharge each of the Buyers and its directors, officers, managers, employees, agents, representatives, successors and assigns (collectively, the “</w:t>
      </w:r>
      <w:r>
        <w:rPr>
          <w:rFonts w:ascii="Times New Roman;Times;Serif" w:hAnsi="Times New Roman;Times;Serif"/>
          <w:b w:val="false"/>
          <w:i w:val="false"/>
          <w:caps w:val="false"/>
          <w:smallCaps w:val="false"/>
          <w:sz w:val="20"/>
          <w:u w:val="single"/>
        </w:rPr>
        <w:t>Buyer Released Parties</w:t>
      </w:r>
      <w:r>
        <w:rPr>
          <w:rFonts w:ascii="Times New Roman;Times;Serif" w:hAnsi="Times New Roman;Times;Serif"/>
          <w:b w:val="false"/>
          <w:i w:val="false"/>
          <w:caps w:val="false"/>
          <w:smallCaps w:val="false"/>
          <w:sz w:val="20"/>
        </w:rPr>
        <w:t xml:space="preserve">”) from any and all claims, demands, actions, causes of action, suits, debts, dues, sums of money, accounts, reckonings, bonds, bills, specialties, covenants, contracts, controversies, agreements, promises, variances, trespasses, damages, judgments, extents, executions, Liens, Proceedings, liabilities and obligations of any kind or nature whatsoever, whether known or unknown, suspected or unsuspected, fixed or contingent, at law or in equity, that the Releasing Parties ever had, now have or hereafter may have against the Buyer Released Parties arising out of or relating to any matter, cause or thing whatsoever occurring or arising on or prior to the Closing Date and in any way related to the Transferred Assets, the Assumed Liabilities or the Business of the Companies;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release shall not apply to (i) any rights of the Seller Entities and their respective Affiliates under this Agreement or any other Transaction Agreement or (ii) any claims for Fraud by any Buyer Released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Releasing Parties hereby waive any and all rights under any Law that would otherwise limit the scope of this release to claims known or suspected to exist at the time of execution of this Agreement. Each Releasing Party, on behalf of itself and the other Releasing Parties, irrevocably covenants to refrain from, directly or indirectly, asserting any claim or demand, or commencing, instituting or causing to be commenced, any proceeding of any kind against any Released Party based upon any matter released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Each Releasing Party, on behalf of itself and the other Releasing Parties, hereby expressly waives and relinquishes, to the fullest extent permitted by applicable Law, the provisions, rights and benefits of Section 1542 of the California Civil Code or any similar Law, which provides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 general release does not extend to claims which a creditor does not know or suspect to exist in his or her favor at the time of executing the release, which if known by him or her must have materially affected his or her settlement with the debtor.”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Releasing Party, on behalf of itself and the other Releasing Parties, expressly represents and warrants that it has been advised by its legal counsel, and understands and acknowledges the significance and consequence of this release, of this specific waiver of Section 1542 of the California Civil Code and recognizes and understands that the same applies to and covers all claims described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whether or not known or suspected to exist at the present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From and after the Closing, the Member and Cannabist shall, and shall cause their respective Affiliates and representatives to, keep confidential and not disclose or use any Company Information, except for disclosure of Company Information to the extent that such Company Information (i) must be disclosed in connection with the obligations of the Member pursuant to this Agreement, (ii) has entered the public domain through no fault of the Member, (iii) was later lawfully acquired by the Member from sources other than those related to its prior ownership of the Companies, (iv) is independently developed by the Member or its representatives without violation of any confidentiality obligations hereunder and without use of, reliance on, or reference to any Company Information, or (v) is compelled to be disclosed by judicial or administrative process or by other requirements of Law; provided, however, that if any such public disclosure is required pursuant to the foregoing clause (v), then the Member (1) will give notice of such disclosure to Buyer so that Buyer may seek a protective order or other protective arrangement to the extent permitted by applicable Law or other similar or appropriate relief, and (2) will undertake in good faith to limit the manner and extent of such disclosure, requiring to the extent practical that the Person to whom the disclosure is made maintain the confidentiality of the disclosed terms to the extent possible. Notwithstanding the foregoing, in no event will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limit or otherwise restrict the right of the Member to disclose such Company Information (A) to Cannabist, (B) to its and its Affiliates’ respective representatives to the extent reasonably required to facilitate the performance of this Agreement or to the extent reasonably required for any other lawful business purpose, (C) to any Governmental Entity or arbitrator to the extent reasonably required in connection with any Proceeding relating to the enforcement of this Agreement, (D) in connection with any filing or other Proceeding relating to the Member’s or its Affiliates’ Taxes; and (E) to file this Agreement with or disclose the transactions contemplated hereunder to Canadian Court, subject to redacting confidential or sensitive information as permitted by applicable Laws and rules, including preparation and filing of reports and other documents by the monitor appointed by the Canadian Court and other professional advisors and consultants of the Company Group with the Canadian Court, as applicable or required, containing references to the transactions contemplated by this Agreement and the terms of such transactions as may reasonably be necessary to obtain the Canadian Court approval and to complete the transactions contemplated by this Agreement or to comply with their obligations to the Canadian Court;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clauses (A) and (B), such Persons agree to be bound by the provisions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The Member and Cannabist will be responsible for violations of the obligations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by their respective Affiliates and their respective employees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Service Agreement</w:t>
      </w:r>
      <w:r>
        <w:rPr>
          <w:rFonts w:ascii="Times New Roman;Times;Serif" w:hAnsi="Times New Roman;Times;Serif"/>
          <w:b w:val="false"/>
          <w:i w:val="false"/>
          <w:caps w:val="false"/>
          <w:smallCaps w:val="false"/>
          <w:sz w:val="20"/>
        </w:rPr>
        <w:t xml:space="preserve">. If requested by the Buyer following the date hereof, the Parties shall use their commercially reasonable best efforts to negotiate in good faith, finalize and execute an agreement that would allow the Buyers to manage one or more of the Seller Entities pursuant to a master services agreement. Following the date hereof, to the extent that Buyer identifies individual contractors who meet the Companies’ reasonable qualifications for advising on operational improvements, the Companies shall negotiate in good faith with such individuals to enter into consulting agreements with the Companies; provided that in no event shall the Company Group be required to engage more than two (2) independent contractors pursuant to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Notice of Changes</w:t>
      </w:r>
      <w:r>
        <w:rPr>
          <w:rFonts w:ascii="Times New Roman;Times;Serif" w:hAnsi="Times New Roman;Times;Serif"/>
          <w:b w:val="false"/>
          <w:i w:val="false"/>
          <w:caps w:val="false"/>
          <w:smallCaps w:val="false"/>
          <w:sz w:val="20"/>
        </w:rPr>
        <w:t>. From the date hereof until the Closing, the Seller Parties shall promptly notify the Buyer in writing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event, condition, or development that has resulted in, or would reasonably be expected to result in, any material breach of any representation or warranty of the Seller Parties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fact, circumstance, or occurrence that has caused, or would reasonably be expected to cause, any representation or warranty to be untrue or inaccurate in any material respect as of the date of such occurrence;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material failure of the Seller Parties or the Companies to comply with or satisfy any material covenant, condition, or agreement to be complied with or satisfied by the Member or the Companies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written notice, written communication, or written inquiry received from any Governmental Entity relating to the transactions contemplated by this Agreement by the Seller Parties or the Companies, including any inquiries or investigations;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disclosure made pursuant to this Section shall (i) be deemed to cure any breach of any representation, warranty, covenant, or agreement contained herein, (ii) affect any condition to Closing set forth in this Agreement, or (iii) limit or otherwise affect the Buyer’s remedies under this Agreement, except in each case to the extent expressly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Closing, Cannabist, the Member and the Seller Entities, if any, jointly and severally (each, a “</w:t>
      </w:r>
      <w:r>
        <w:rPr>
          <w:rFonts w:ascii="Times New Roman;Times;Serif" w:hAnsi="Times New Roman;Times;Serif"/>
          <w:b w:val="false"/>
          <w:i w:val="false"/>
          <w:caps w:val="false"/>
          <w:smallCaps w:val="false"/>
          <w:sz w:val="20"/>
          <w:u w:val="single"/>
        </w:rPr>
        <w:t>Seller Indemnifying Party</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Seller Indemnifying Parties</w:t>
      </w:r>
      <w:r>
        <w:rPr>
          <w:rFonts w:ascii="Times New Roman;Times;Serif" w:hAnsi="Times New Roman;Times;Serif"/>
          <w:b w:val="false"/>
          <w:i w:val="false"/>
          <w:caps w:val="false"/>
          <w:smallCaps w:val="false"/>
          <w:sz w:val="20"/>
        </w:rPr>
        <w:t>”), shall indemnify and hold harmless each member of the Buyer Group (collectively, the “</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xml:space="preserve">”) from and against any Losses directly or indirectly incurred by the Buyer Group (or solely for purposes of the indemnity provided in </w:t>
      </w:r>
      <w:r>
        <w:rPr>
          <w:rFonts w:ascii="Times New Roman;Times;Serif" w:hAnsi="Times New Roman;Times;Serif"/>
          <w:b w:val="false"/>
          <w:i w:val="false"/>
          <w:caps w:val="false"/>
          <w:smallCaps w:val="false"/>
          <w:sz w:val="20"/>
          <w:u w:val="single"/>
        </w:rPr>
        <w:t>Section 6.11(a)(vii)</w:t>
      </w:r>
      <w:r>
        <w:rPr>
          <w:rFonts w:ascii="Times New Roman;Times;Serif" w:hAnsi="Times New Roman;Times;Serif"/>
          <w:b w:val="false"/>
          <w:i w:val="false"/>
          <w:caps w:val="false"/>
          <w:smallCaps w:val="false"/>
          <w:sz w:val="20"/>
        </w:rPr>
        <w:t>, the Securityholders) arising out of, as a result of or otherwise in respect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breach of any of the Fundamental Representations;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by Cannabist, the Member, or any Company of its obligations or covenants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Transaction Expenses or Indebtedness of the Companies outstanding as of the Closing that is not included in the calculation of the Purchase Price (as finally determined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Excluded Liability;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Liabilities of the Companies with respect to their employees (including any Transferred Employees) arising out of the Transactions or related to a pre-Closing period, including without limitation any Liabilities or obligations with respect to any Company Employee Benefit Plan;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matters set forth on </w:t>
      </w:r>
      <w:r>
        <w:rPr>
          <w:rFonts w:ascii="Times New Roman;Times;Serif" w:hAnsi="Times New Roman;Times;Serif"/>
          <w:b w:val="false"/>
          <w:i w:val="false"/>
          <w:caps w:val="false"/>
          <w:smallCaps w:val="false"/>
          <w:sz w:val="20"/>
          <w:u w:val="single"/>
        </w:rPr>
        <w:t>Schedule 6.11</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each member of the Buyer Group, jointly and severally (each, a “</w:t>
      </w:r>
      <w:r>
        <w:rPr>
          <w:rFonts w:ascii="Times New Roman;Times;Serif" w:hAnsi="Times New Roman;Times;Serif"/>
          <w:b w:val="false"/>
          <w:i w:val="false"/>
          <w:caps w:val="false"/>
          <w:smallCaps w:val="false"/>
          <w:sz w:val="20"/>
          <w:u w:val="single"/>
        </w:rPr>
        <w:t>Buyer Indemnifying Party</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Buyer Indemnifying Parties</w:t>
      </w:r>
      <w:r>
        <w:rPr>
          <w:rFonts w:ascii="Times New Roman;Times;Serif" w:hAnsi="Times New Roman;Times;Serif"/>
          <w:b w:val="false"/>
          <w:i w:val="false"/>
          <w:caps w:val="false"/>
          <w:smallCaps w:val="false"/>
          <w:sz w:val="20"/>
        </w:rPr>
        <w:t>” and, together with the Seller Indemnifying Parties, the “</w:t>
      </w:r>
      <w:r>
        <w:rPr>
          <w:rFonts w:ascii="Times New Roman;Times;Serif" w:hAnsi="Times New Roman;Times;Serif"/>
          <w:b w:val="false"/>
          <w:i w:val="false"/>
          <w:caps w:val="false"/>
          <w:smallCaps w:val="false"/>
          <w:sz w:val="20"/>
          <w:u w:val="single"/>
        </w:rPr>
        <w:t>Indemnifying Parties</w:t>
      </w:r>
      <w:r>
        <w:rPr>
          <w:rFonts w:ascii="Times New Roman;Times;Serif" w:hAnsi="Times New Roman;Times;Serif"/>
          <w:b w:val="false"/>
          <w:i w:val="false"/>
          <w:caps w:val="false"/>
          <w:smallCaps w:val="false"/>
          <w:sz w:val="20"/>
        </w:rPr>
        <w:t>”), shall indemnify and hold harmless each of the Seller Parties from and against any Losses directly or indirectly incurred by the Seller Parties (the “</w:t>
      </w: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and, together with the Buyer Indemnified Parties,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arising out of, as a result of or otherwise in respect of (i) any breach by any member of the Buyer Group of its obligations or covenants hereunder, and (ii) the Assumed Liabilities.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an Indemnified Party becomes aware of any claim it has pursuant to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the Indemnified Party shall give prompt written notice to the applicable Indemnifying Party (any such notice,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setting forth (i) the specific item of indemnification at issue, to the extent of the facts then known by the Indemnified Party, (ii) a reasonable explanation of the facts and circumstances giving rise to the indemnification claim at issue, to the extent of the facts then known by the Indemnified Party, and (iii) the Losses that have been incurred or are anticipated to be incurred or a good faith estimate of the Losses, if such Losses can be reasonably calculated with respect thereto. No delay in or failure to give a Claim Notice will relieve the Indemnifying Party of its obligations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except to the extent the Indemnifying Party is materially prejudiced thereby. If such Claim Notice does not involve a third-party claim, the Indemnifying Party shall deliver to the Indemnified Party, within 30 days after delivery of such Claim Notice, a written response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of the assertion or commencement by any third party of any Proceeding for which an Indemnified Party may seek indemnity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xml:space="preserve">”), the Indemnifying Party may elect to contest such Third-Party Claim or to prosecute such Third-Party Claim to conclusion or settlement, in each case with counsel reasonably acceptable to the Indemnifying Party (and at its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Indemnifying Party will not be permitted to contest or prosecute such Third-Party Claim unless it has first confirmed its responsibility to indemnify and hold harmless the Indemnified Party for such Third-Party Claim (subject to the limitations set forth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In such event, the Indemnified Party will have the right to participate in the defense of such Third-Party Claim and employ separate counsel of its choice for such purpose at its own expense. If an Indemnifying Party assumes control of the defense of a Third-Party Claim, the Indemnifying Party shall not agree to any settlement of, or consent to the entry of any other Order (other than an order of dismissal on the merits without costs) arising from, such Third-Party Claim without the prior written consent of the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consent of the Indemnified Party shall not be required if such settlement or Order (i) provides for the payment of money as sole relief for the claimant, (ii) includes a full, complete and unconditional release of the Indemnified Party from further liability, and (iii) involves no finding or admission of any violation of Law or the rights of any Person and has no effect on any other claims that may be made against the Indemnified Party. If the Indemnifying Party does not assume the defense of a Third-Party Claim by delivering written notice thereof within 30 days of the Claim Notice or has failed to defend such Third-Party Claim diligently, the Indemnified Parties shall have the right, at their election, to proceed with the defense of such Third-Party Claim (and, in such event, the fees and expenses of the Indemnified Party’s counsel incurred in connection with such Third-Party Claim shall constitute indemnifiable Losses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Indemnified Party shall not agree to any settlement of, or consent to the entry of any other Order (other than an order of dismissal on the merits without costs) arising from, such Third-Party Claim without the prior written consent of the Indemnifying Party (not to be unreasonably withheld, conditioned or delayed). If the Indemnified Party makes the foregoing election to proceed with the defense of any Third-Party Claim, the Indemnifying Party shall have the right to participate in the defense of such Third-Party Claim and employ separate counsel of its choice for such purpose at its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Indemnified Party shall use commercially reasonable efforts to mitigate any Losses for which indemnification may be sought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upon and after becoming aware of any event or condition that would reasonably be expected to give rise to such Losses, including using commercially reasonable efforts to seek recovery under any insurance policy and from any non-Affiliate third party that may provide indemnification, reimbursement, contribution or other payment in respect of such Losses; provided, that, in no event shall any Indemnified Party be required to (A) commence any litigation, suit, arbitration or other proceeding against Person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or (B) seek such recovery prior to proceeding with a claim hereunder. Nothing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be deemed to supersede or limit any party’s obligations to mitigate any Losses pursuant to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amount of any Losses for which indemnification is provided under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be net of (i) any amounts actually recovered by the Indemnified Party from any non-Affiliate third party with respect to such Losses (including indemnification rights, counterclaims, warranties, subrogation actions and the like), (ii) any insurance proceeds actually received as an offset against such Losses, and (iii) any net Tax benefit actually realized by the Indemnified Party or any of its Affiliates in connection with such Loss (determined on a with and without basis) or any of the circumstances giving rise thereto prior to the indemnity payment, provided that any such Tax benefit is actually realized before the end of the third taxable year following the year in which the Loss which forms the basis for the claim of indemnification under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occurs, in each case with respect to the foregoing clauses (i) and (ii), less any collection costs, expenses (including reasonable attorney fees), deductibles, increase in premiums or Taxes incurred in connection therewith (such costs and expenses, collectively, the “</w:t>
      </w:r>
      <w:r>
        <w:rPr>
          <w:rFonts w:ascii="Times New Roman;Times;Serif" w:hAnsi="Times New Roman;Times;Serif"/>
          <w:b w:val="false"/>
          <w:i w:val="false"/>
          <w:caps w:val="false"/>
          <w:smallCaps w:val="false"/>
          <w:sz w:val="20"/>
          <w:u w:val="single"/>
        </w:rPr>
        <w:t>Collection Costs</w:t>
      </w:r>
      <w:r>
        <w:rPr>
          <w:rFonts w:ascii="Times New Roman;Times;Serif" w:hAnsi="Times New Roman;Times;Serif"/>
          <w:b w:val="false"/>
          <w:i w:val="false"/>
          <w:caps w:val="false"/>
          <w:smallCaps w:val="false"/>
          <w:sz w:val="20"/>
        </w:rPr>
        <w:t>”). In the event that an insurance or other third party recovery is made by any Indemnified Party with respect to any Losses for which any Indemnified Party has been indemnified hereunder, then a refund equal to the total aggregate amount of such recovery (not to exceed the actual amount of such Losses previously indemnified) less any Collection Costs directly related to obtaining the recovery shall be made promptly to the Indemnifying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For purposes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any inaccuracy in or breach of any representation or warranty, and any Losses resulting therefrom, shall be determined without regard to any materiality, Material Adverse Effect or other similar qualification contained in or otherwise applicable to such representation or warranty.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Losses payable to a Buyer Indemnified Party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be satisfied through payment in cash by the Seller Indemnifying Parties to such Buyer Indemnified Party within five (5) Business Days of final resolution;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calculating amounts payable to a Buyer Indemnified Party hereunder, the amount of any indemnified Loss shall be determined without duplication of recovery by reason of the state of facts giving rise to such Loss being subject to more than one provision providing for indemnification or recovery hereunder including recovery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For the avoidance of doubt, any amounts taken into account in the calculation of Final Closing Cash Payment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not also be subject to recovery as indemnified Losses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The aggregate amount of all Losses for which the Seller Indemnifying Parties shall be liable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not exceed $5,500,000.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Losses payable to a Seller Indemnified Party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be satisfied through payment in cash by the Buyer Indemnifying Parties to such Seller Indemnified Party within five (5) Business Days of final resolution. Without limiting the generality of the foregoing, in calculating amounts payable to a Seller Indemnified Party hereunder, the amount of any indemnified Loss shall be determined without duplication of recovery by reason of the state of facts giving rise to such Loss being subject to more than one provision providing for indemnification or recovery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Any payments made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be treated as an adjustment to the Purchase Price by the parties for Tax purposes, unless otherwise required by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r>
      <w:r>
        <w:rPr>
          <w:rFonts w:ascii="Times New Roman;Times;Serif" w:hAnsi="Times New Roman;Times;Serif"/>
          <w:b w:val="false"/>
          <w:i w:val="false"/>
          <w:caps/>
          <w:sz w:val="20"/>
          <w:u w:val="single"/>
        </w:rPr>
        <w:t>Conditions to CLOSING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Conditions to Obligations of All Parties</w:t>
      </w:r>
      <w:r>
        <w:rPr>
          <w:rFonts w:ascii="Times New Roman;Times;Serif" w:hAnsi="Times New Roman;Times;Serif"/>
          <w:b w:val="false"/>
          <w:i w:val="false"/>
          <w:caps w:val="false"/>
          <w:smallCaps w:val="false"/>
          <w:sz w:val="20"/>
        </w:rPr>
        <w:t>. The obligations of each Party to consummate the Transactions shall be subject to the fulfillment,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with respect to the Federal Cannabis Laws, no Governmental Entity shall have enacted, issued, promulgated, enforced, or entered any Order which is in effect and has the effect of making the Transactions illegal, otherwise restraining or prohibiting consummation of the Transactions, or causing any of the Transactions to be rescinded following completion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injunction or restraining order shall have been issued by any Governmental Entity, and in effect, which restrains or prohibits the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Canadian Court shall have granted the Sale Order and such Sale Order is not subject to any stay;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closing of the transactions contemplated by that certain Purchase Agreement with respect to the Cultivation Property, by and among Columbia Care MD Realty LLC, 6797 Bowman Frederick LLC, and Cannabist, has already occurred or will occur simultaneously with the Closing;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approval(s) from the applicable Governmental Entity for Cannabis Control as set forth on </w:t>
      </w:r>
      <w:r>
        <w:rPr>
          <w:rFonts w:ascii="Times New Roman;Times;Serif" w:hAnsi="Times New Roman;Times;Serif"/>
          <w:b w:val="false"/>
          <w:i w:val="false"/>
          <w:caps w:val="false"/>
          <w:smallCaps w:val="false"/>
          <w:sz w:val="20"/>
          <w:u w:val="single"/>
        </w:rPr>
        <w:t>Schedule 7.1(d)</w:t>
      </w:r>
      <w:r>
        <w:rPr>
          <w:rFonts w:ascii="Times New Roman;Times;Serif" w:hAnsi="Times New Roman;Times;Serif"/>
          <w:b w:val="false"/>
          <w:i w:val="false"/>
          <w:caps w:val="false"/>
          <w:smallCaps w:val="false"/>
          <w:sz w:val="20"/>
        </w:rPr>
        <w:t xml:space="preserve"> for the Transactions and the transfer of ownership by the Companies of the Transferred Assets and Assumed Liabilities, as applicable, and in the Marijuana Permits with respect to the Existing Locations, which approval(s) shall be free of any uncured regulatory violations (the “</w:t>
      </w:r>
      <w:r>
        <w:rPr>
          <w:rFonts w:ascii="Times New Roman;Times;Serif" w:hAnsi="Times New Roman;Times;Serif"/>
          <w:b w:val="false"/>
          <w:i w:val="false"/>
          <w:caps w:val="false"/>
          <w:smallCaps w:val="false"/>
          <w:sz w:val="20"/>
          <w:u w:val="single"/>
        </w:rPr>
        <w:t>Cannabis Transaction Approval</w:t>
      </w:r>
      <w:r>
        <w:rPr>
          <w:rFonts w:ascii="Times New Roman;Times;Serif" w:hAnsi="Times New Roman;Times;Serif"/>
          <w:b w:val="false"/>
          <w:i w:val="false"/>
          <w:caps w:val="false"/>
          <w:smallCaps w:val="false"/>
          <w:sz w:val="20"/>
        </w:rPr>
        <w:t>”), have been obtained.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Conditions to Obligations of Buyer</w:t>
      </w:r>
      <w:r>
        <w:rPr>
          <w:rFonts w:ascii="Times New Roman;Times;Serif" w:hAnsi="Times New Roman;Times;Serif"/>
          <w:b w:val="false"/>
          <w:i w:val="false"/>
          <w:caps w:val="false"/>
          <w:smallCaps w:val="false"/>
          <w:sz w:val="20"/>
        </w:rPr>
        <w:t>. The obligations of Buyer to consummate the Transactions shall be subject to the fulfillment by Cannabist, the Member and the Seller Entities (or to the extent permitted by applicable Law waiver by Buyer),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Fundamental Representations of the Seller Parties shall be true and correct in all respects (other than de minimis inaccuracies) as of the Closing Date as though such representations and warranties had been made on and as of the Closing Date (except that any such representations and warranties that are made as of a specified date shall be true and correct only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applicable representations and warranties of the Seller Parties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(other than the Fundamental Representations) shall be true and correct (without giving effect to any qualifications as to “material,” “materiality,” “material respect,” or “Material Adverse Effect” as set forth therein) as of the Closing Date as though such representations and warranties had been made by the Seller Parties on and as of the Closing Date (except that any such representations and warranties that are made as of a specified date shall be true and correct only as of such date), except where the failure of such representations and warranties to be so true and correct has not had and would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applicable covenants of the Seller Parties contained in this Agreement required to be performed or complied with by the Seller Parties shall have been performed or complied with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applicable Seller Parties shall have delivered (or caused to be delivered) each of the applicable closing deliverables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not have occurred a Material Adverse Effect with respect to the Business since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Conditions to Obligations of the Companies and the Member</w:t>
      </w:r>
      <w:r>
        <w:rPr>
          <w:rFonts w:ascii="Times New Roman;Times;Serif" w:hAnsi="Times New Roman;Times;Serif"/>
          <w:b w:val="false"/>
          <w:i w:val="false"/>
          <w:caps w:val="false"/>
          <w:smallCaps w:val="false"/>
          <w:sz w:val="20"/>
        </w:rPr>
        <w:t>. The obligations of the applicable Seller Parties to consummate the Transactions shall be subject to the fulfillment or (to the extent permitted by applicable Law, waiver by the Companies and the Member),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in all material respects (without giving effect to any qualifications as to “material,” “materiality,” “material respect,” or “Material Adverse Effect” as set forth therein) as of the Closing Date as though such representations and warranties had been made on and as of the Closing Date (except that any such representations and warranties that are made as of a specified date shall be true and correct only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covenants contained in this Agreement required to be performed or complied with by Buyer shall have been performed or complied with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(or its Affiliates) shall have delivered each of the closing deliverables set forth in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r>
      <w:r>
        <w:rPr>
          <w:rFonts w:ascii="Times New Roman;Times;Serif" w:hAnsi="Times New Roman;Times;Serif"/>
          <w:b w:val="false"/>
          <w:i w:val="false"/>
          <w:caps/>
          <w:sz w:val="20"/>
          <w:u w:val="single"/>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at any time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the Member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Buyer upon written notice to the Member if: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there has been a breach, inaccuracy in, or failure to perform any representation, warranty, covenant, or agreement made by the Seller Parties pursuant to this Agreement that would give rise to the failure of any of the applicable conditions specified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such breach, inaccuracy, or failure has not been cured by such Seller Parties within 15 calendar days of the Member’s receipt of written notice of such breach from Buyer;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Canadian Proceeding is, without the Companies’ consent, terminated and discharged and converted into a Proceeding under the Bankruptcy and Insolvency Act (Canada) such that a trustee-in-bankruptcy is appointed in respect of the Seller Parties;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Member upon written notice to Buyer if,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there has been a breach, inaccuracy in, or failure to perform any representation, warranty, covenant, or agreement made by Buyer pursuant to this Agreement that would give rise to the failure of any of the conditions specified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such breach, inaccuracy, or failure has not been cured by Buyer, as applicable, within 15 calendar days of Buyer’s receipt of written notice of such breach from the Member;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Loan Financing Agreement has been (x) terminated in accordance with its terms or (y) amended or modified in breach of Buyer’s obligations set forth in </w:t>
      </w:r>
      <w:r>
        <w:rPr>
          <w:rFonts w:ascii="Times New Roman;Times;Serif" w:hAnsi="Times New Roman;Times;Serif"/>
          <w:b w:val="false"/>
          <w:i w:val="false"/>
          <w:caps w:val="false"/>
          <w:smallCaps w:val="false"/>
          <w:sz w:val="20"/>
          <w:u w:val="single"/>
        </w:rPr>
        <w:t>Section 5.13(a)</w:t>
      </w:r>
      <w:r>
        <w:rPr>
          <w:rFonts w:ascii="Times New Roman;Times;Serif" w:hAnsi="Times New Roman;Times;Serif"/>
          <w:b w:val="false"/>
          <w:i w:val="false"/>
          <w:caps w:val="false"/>
          <w:smallCaps w:val="false"/>
          <w:sz w:val="20"/>
        </w:rPr>
        <w:t xml:space="preserve"> and such breach has not been cured by Buyer within 5 calendar days of Buyer’s receipt of written notice of such breach from the Member;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Buyer, on the one hand, or the Member, on the other hand, upon written notice if,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after the date of this Agreement, any Law is enacted, becomes effective or is enforced, or a final, non-appealable Order is issued by a Governmental Entity of competent jurisdiction, that permanently prevents or restrains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under this </w:t>
      </w:r>
      <w:r>
        <w:rPr>
          <w:rFonts w:ascii="Times New Roman;Times;Serif" w:hAnsi="Times New Roman;Times;Serif"/>
          <w:b w:val="false"/>
          <w:i w:val="false"/>
          <w:caps w:val="false"/>
          <w:smallCaps w:val="false"/>
          <w:sz w:val="20"/>
          <w:u w:val="single"/>
        </w:rPr>
        <w:t>Section 8.1(d)(i)</w:t>
      </w:r>
      <w:r>
        <w:rPr>
          <w:rFonts w:ascii="Times New Roman;Times;Serif" w:hAnsi="Times New Roman;Times;Serif"/>
          <w:b w:val="false"/>
          <w:i w:val="false"/>
          <w:caps w:val="false"/>
          <w:smallCaps w:val="false"/>
          <w:sz w:val="20"/>
        </w:rPr>
        <w:t xml:space="preserve"> shall not be available to any Party whose breach of this Agreement was a material cause of such Law or Order;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(x) the Closing shall not have occurred by the first Business Day following the first anniversary of the date hereof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and (y) a Service Agreement is not in effect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Closing shall not have occurred on or before the Outside Date due to a material breach of any representations, warranties or covenants contained in this Agreement by any Party, then the breaching Party (or, in the case that any Company is the breaching Party, the Member) may not terminate this Agreement with respect to the Market pursuant to this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the event that the Buyer has provided notice to the Member of its intent to negotiate an agreement contemplated by the first sentence of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prior to the Outside Date, the Member may not terminate this Agreement pursuant to this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xml:space="preserve"> for an additional period of 30 days following the Outside Date, and thereafter for an incremental 30 days solely to the extent such agreement is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this Agreement shall forthwith become void and there shall be no liability on the part of any Party solely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nothing herein shall relieve any Party from liability for any Fraud, intentional misrepresentation, willful misconduct, or willful breach of any provision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r>
      <w:r>
        <w:rPr>
          <w:rFonts w:ascii="Times New Roman;Times;Serif" w:hAnsi="Times New Roman;Times;Serif"/>
          <w:b w:val="false"/>
          <w:i w:val="false"/>
          <w:caps/>
          <w:sz w:val="20"/>
          <w:u w:val="single"/>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No amendment, modification or supplement of any provision of this Agreement shall be valid unless the same shall be in writing and signed by Buyer and the Member. No waiver of any provision or condition of this Agreement shall be valid unless the same shall be in writing and signed by or on behalf of the Party against which such waiver is to be enforced. No waiver by any Party of any default, breach of representation or warranty or breach of covenant hereunder, whether intentional or not, shall be deemed to extend to any other, prior or subsequent default or breach or affect in any way any rights arising by virtue of any other, prior or subsequent such occurrence.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and other communications to be given or delivered under or by reason of the provisions of this Agreement shall be in writing and shall be deemed to have been given (i) when personally delivered or (ii) when sent by email with receipt confirmed or (iii) the next Business Day when sent by reputable overnight express courier (charges prepaid) to the addresses indicated below (unless another address is specified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Cannabist, the Companies or the Member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The Cannabist Company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Billerica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Chelmsford, MA 01824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Sirolly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David.Sirolly@cannabistcompany.com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 a copy (which will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Weil, Gotshal &amp; Manges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 Fifth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Nav Rekhi; David J. Cohen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Nav.Rekhi@weil.com; DavidJ.Cohen@weil.com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Buyers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State Botanicals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State Botanicals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State Botanicals Cultivation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Samantha Mikolajewski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sammikproductions@gmail.com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 a copy (which will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Feuerstein Kulick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Lexington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20th Floor, Suite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Bryan Meltzer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Bryan@dfmklaw.com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this Agreement nor any of the rights, interests or obligations hereunder may be assigned or delegated (including by operation of Law) by the Companies or the Member without the prior written consent of Buyer or by Buyer without the prior written consent of the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Buyer may, without the consent of any Person, assign in whole or in part its rights and obligations pursuant to this Agreement to (a) one or more of its Affiliates, (b) any purchaser of all or substantially all of Buyer, whether by merger, asset purchase, equity purchase or otherwise, and (c) any of their financing sources as collateral security. Notwithstanding the foregoing, each Member may, without the consent of Buyer, assign, pledge or grant a security interest in all or any portion of its right to payment of the Purchase Price and any rights hereunder that are ancillary to that right (including any right to enforce payment and to give payment instructions) to any of (i) an escrow agent, trustee, or similar Person, in each case, who has been assigned such rights for the benefit of the then current holder of the Notes (the “</w:t>
      </w:r>
      <w:r>
        <w:rPr>
          <w:rFonts w:ascii="Times New Roman;Times;Serif" w:hAnsi="Times New Roman;Times;Serif"/>
          <w:b w:val="false"/>
          <w:i w:val="false"/>
          <w:caps w:val="false"/>
          <w:smallCaps w:val="false"/>
          <w:sz w:val="20"/>
          <w:u w:val="single"/>
        </w:rPr>
        <w:t>Noteholders</w:t>
      </w:r>
      <w:r>
        <w:rPr>
          <w:rFonts w:ascii="Times New Roman;Times;Serif" w:hAnsi="Times New Roman;Times;Serif"/>
          <w:b w:val="false"/>
          <w:i w:val="false"/>
          <w:caps w:val="false"/>
          <w:smallCaps w:val="false"/>
          <w:sz w:val="20"/>
        </w:rPr>
        <w:t>”), (ii) any Noteholder, (iii) any purchaser of the Member or all or substantially all of the business of the Member, or (iv) the “Administrator”. Upon receipt of written notice of any such assignment from the Member, Buyer shall make such payment in accordance with the most recent payment instructions provided, in writing, by such assignee. This Agreement and all of the provisions hereof shall be binding upon and inure to the benefit of each Party and each Party’s successors and permitted assigns. Notwithstanding the foregoing, if the Parties are unable to obtain Cannabis Transaction Approval prior to the Outside Date, or if at any time prior to the Outside Date Buyer reasonably determines that the Cannabis Transaction Approval is unlikely to be obtained, then the Buyers may assign its rights and obligations under this Agreement to a third party (x) following the Outside Date, without any other Party’s consent, or (y) prior to the Outside Date, with the prior written consent of the Member (such consent not to be unreasonably withheld, conditioned or delayed), in each case,’ solely to the extent that (i) the Buyer is able to provide the Member with evidence reasonably acceptable to the Member that such third party is capable of fully meeting all of the Buyers’ obligations hereunder and (ii) the Buyer shall reimburse the Member for any incremental costs incurred by the Company Group to obtain the Cannabis Transaction Approval or any other regulatory approval arising from or as a result of such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Agreement. Upon such determination that any term or provision hereof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headings and captions used in this Agreement and the table of contents to this Agreement are for reference purposes only and shall not affect in any way the meaning or interpretation of this Agreement. Any capitalized terms used in any Schedule or Exhibit attached hereto and not otherwise defined therein shall have the meanings set forth in this Agreement. As used herein: (a) the use of the word “including” shall mean “including without limitation;” (b) the word “or” is not exclusive; (c) the words “herein,” “hereof,” “hereby,” “hereto” and “hereunder” refer to this Agreement as a whole; and (d) references herein: (i) to Articles, Sections, Disclosure Schedules and Exhibits mean the Articles and Sections of, and Disclosure Schedules and Exhibits attached to, this Agreement; (ii) to an agreement, instrument or other document means such agreement, instrument or other document as amended, supplemented and modified from time to time to the extent permitted by the provisions thereof and (iii) to a statute means such statute as amended from time to time and includes any successor legislation thereto and any regulations promulgated thereunder. The Parties intend that each representation, warranty and covenant contained herein shall have independent significance. Except where otherwise expressly provided, all amounts in this Agreement are stated and shall be paid in United States currency. (i) References to “days” means calendar days unless Business Days are expressly specified, (ii) references to “written” or “in writing” include in electronic form (including by e-mail transmission or electronic communication by portable document format (.pdf)), (iii) references to “$” mean U.S. dollars, (iv) references to any Person includes such Person’s successors and permitted assigns, (v) references to any agreement or contract are to that agreement or contract as amended, modified or supplemented from time to time in accordance with the terms thereof, and (vi) references to documents that have been “provided” or “made available” by the Member or the Companies mean that such documents have been posted to the virtual data room for “Project Firebird” hosted by Datasite (the “</w:t>
      </w:r>
      <w:r>
        <w:rPr>
          <w:rFonts w:ascii="Times New Roman;Times;Serif" w:hAnsi="Times New Roman;Times;Serif"/>
          <w:b w:val="false"/>
          <w:i w:val="false"/>
          <w:caps w:val="false"/>
          <w:smallCaps w:val="false"/>
          <w:sz w:val="20"/>
          <w:u w:val="single"/>
        </w:rPr>
        <w:t>VDR</w:t>
      </w:r>
      <w:r>
        <w:rPr>
          <w:rFonts w:ascii="Times New Roman;Times;Serif" w:hAnsi="Times New Roman;Times;Serif"/>
          <w:b w:val="false"/>
          <w:i w:val="false"/>
          <w:caps w:val="false"/>
          <w:smallCaps w:val="false"/>
          <w:sz w:val="20"/>
        </w:rPr>
        <w:t xml:space="preserve">”) not less than one (1) day before the date hereof. The Parties and their respective counsel have reviewed, negotiated and adopted this Agreement as the joint agreement and understanding of the Parties, and the language used in this Agreement shall be deemed to be the language chosen by the Parties to express their mutual intent, and no rule of strict construction shall be applied against any Person. This Agreement embodies the justifiable expectations of sophisticated parties derived from arm’s-length negotiations and no Person has any special relationship with another Person that would justify any expectation beyond that of an ordinary buyer and an ordinary seller in an arm’s-length transaction. Notwithstanding anything to the contrary herein, other than in </w:t>
      </w:r>
      <w:r>
        <w:rPr>
          <w:rFonts w:ascii="Times New Roman;Times;Serif" w:hAnsi="Times New Roman;Times;Serif"/>
          <w:b w:val="false"/>
          <w:i w:val="false"/>
          <w:caps w:val="false"/>
          <w:smallCaps w:val="false"/>
          <w:sz w:val="20"/>
          <w:u w:val="single"/>
        </w:rPr>
        <w:t>Sections 2.6(b)(iii)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the terms “Companies” and “Company” as used herein shall include any entity with business operations in the State of Maryland that, as of the date hereof, the Member has a contractual right to acquire pursuant to that certain Sugarloaf Purchase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All Schedules attached hereto or referred to herein and the recitals to this Agreement are each hereby incorporated in and made a part of this Agreement. This Agreement and the agreements and documents referred to herein contain the entire agreement and understanding between the Parties with respect to the subject matter hereof and supersede all prior agreements and understandings, whether written or oral, relating to such subject matter in any way (including the letter of intent, as may be amended from time to time, with respect to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Counterparts; Electronic Delivery</w:t>
      </w:r>
      <w:r>
        <w:rPr>
          <w:rFonts w:ascii="Times New Roman;Times;Serif" w:hAnsi="Times New Roman;Times;Serif"/>
          <w:b w:val="false"/>
          <w:i w:val="false"/>
          <w:caps w:val="false"/>
          <w:smallCaps w:val="false"/>
          <w:sz w:val="20"/>
        </w:rPr>
        <w:t>. This Agreement and agreements, certificates, instruments and documents entered into in connection herewith may be executed and delivered in one or more counterparts and by email, each of which shall be deemed an original and all of which shall be considered one and the same agreement. No Party shall raise the use of email to deliver a signature or the fact that any signature or agreement or instrument was transmitted or communicated through the use of email as a defense to the formation or enforceability of a Contract and each Party forever waives any such defense.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Governing Law; Waiver of Jury Trial; Arbitration</w:t>
      </w:r>
      <w:r>
        <w:rPr>
          <w:rFonts w:ascii="Times New Roman;Times;Serif" w:hAnsi="Times New Roman;Times;Serif"/>
          <w:b w:val="false"/>
          <w:i w:val="false"/>
          <w:caps w:val="false"/>
          <w:smallCaps w:val="false"/>
          <w:sz w:val="20"/>
        </w:rPr>
        <w:t xml:space="preserve">.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 of any jurisdiction other than the state of Delaware. </w:t>
      </w:r>
      <w:r>
        <w:rPr>
          <w:rFonts w:ascii="Times New Roman;Times;Serif" w:hAnsi="Times New Roman;Times;Serif"/>
          <w:b w:val="false"/>
          <w:i w:val="false"/>
          <w:caps/>
          <w:sz w:val="20"/>
        </w:rPr>
        <w:t xml:space="preserve">Each party to this Agreement hereby waives all rights to trial by jury in any action, suit or proceeding brought to resolve any dispute between or among any of the parties (whether arising in contract, tort or otherwise) arising out of, connected with, related or incidental to this Agreement, the transactions and/or the relationships established among the parties hereunder.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below, and except for the dispute resolution provisions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(Post-Closing Adjustments), the Parties agree to submit any dispute regarding, arising out of, or based upon the Transaction Agreements or the Transactions, including, without limitation, the interpretation, validity, performance, or breach thereof (the “</w:t>
      </w:r>
      <w:r>
        <w:rPr>
          <w:rFonts w:ascii="Times New Roman;Times;Serif" w:hAnsi="Times New Roman;Times;Serif"/>
          <w:b w:val="false"/>
          <w:i w:val="false"/>
          <w:caps w:val="false"/>
          <w:smallCaps w:val="false"/>
          <w:sz w:val="20"/>
          <w:u w:val="single"/>
        </w:rPr>
        <w:t>Transaction Dispute</w:t>
      </w:r>
      <w:r>
        <w:rPr>
          <w:rFonts w:ascii="Times New Roman;Times;Serif" w:hAnsi="Times New Roman;Times;Serif"/>
          <w:b w:val="false"/>
          <w:i w:val="false"/>
          <w:caps w:val="false"/>
          <w:smallCaps w:val="false"/>
          <w:sz w:val="20"/>
        </w:rPr>
        <w:t xml:space="preserve">”) to the Court of Chancery of the State of Delaware and any appellate court from any thereof; provided that if the Canadian Proceeding has commenced or is continuing, any suit, action or other Proceeding, the Parties each hereby expressly attorns and submits to the jurisdiction of, and such suit, action or other Proceeding shall be heard by, the Canadian Court. The prevailing Party shall be entitled to recover all costs, expenses, and attorneys’ fees reasonably incurred in the successful prosecution or defense of any claim. By entering into this Agreement, and subject to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below, the Parties knowingly and voluntarily waive their right to submit any dispute to the federal or state courts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Except to the extent set forth otherwise in this Agreement, all remedies under this Agreement expressly conferred upon a Party will be deemed cumulative with and not exclusive of any other remedy conferred hereby, or by Law or equity upon such Party, and the exercise by a Party of any one remedy will not preclude the exercise of any other remedy. Each Party acknowledges and affirms that in the event any of the provisions of this Agreement are not performed in accordance with their specific terms or otherwise are breached, money damages would be inadequate (and therefore the non-breaching Party would have no adequate remedy at law) and the non-breaching Party would be irreparably damaged. Accordingly, each Party agrees that each other Party shall be entitled to seek specific performance, an injunction or other equitable relief (without posting of bond or other security or needing to prove irreparable harm) to prevent breaches of the provisions of this Agreement and to enforce specifically this Agreement and the terms and provisions hereof in any Proceeding instituted in any court of the United States or any state thereof having jurisdiction over the Parties and the matter (subject to the provisions set forth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in addition to any other remedy to which such Person may be entitled, at law or in equity. Furthermore, each Party agrees not to raise any objections to the availability of the equitable remedy of specific performance to prevent or restrain breaches of this Agreement, and to specifically enforce the terms of this Agreement to prevent breaches or threatened breaches of, or to enforce compliance with, the covenants and obligations of such Party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for the sole benefit of the Parties and their permitted assigns and nothing herein expressed or implied shall give or be construed to give any Person, other than the Parties and such permitted assigns, any legal or equitable rights hereunder (other than as set forth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or in respect of any designee, transferee, or assignee pursuant to </w:t>
      </w:r>
      <w:r>
        <w:rPr>
          <w:rFonts w:ascii="Times New Roman;Times;Serif" w:hAnsi="Times New Roman;Times;Serif"/>
          <w:b w:val="false"/>
          <w:i w:val="false"/>
          <w:caps w:val="false"/>
          <w:smallCaps w:val="false"/>
          <w:sz w:val="20"/>
          <w:u w:val="single"/>
        </w:rPr>
        <w:t>Section 2.6(c)(ii)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Disclosure Schedules and Exhibits</w:t>
      </w:r>
      <w:r>
        <w:rPr>
          <w:rFonts w:ascii="Times New Roman;Times;Serif" w:hAnsi="Times New Roman;Times;Serif"/>
          <w:b w:val="false"/>
          <w:i w:val="false"/>
          <w:caps w:val="false"/>
          <w:smallCaps w:val="false"/>
          <w:sz w:val="20"/>
        </w:rPr>
        <w:t>. The Disclosure Schedules, schedules and Exhibits attached to this Agreement (the “</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shall be construed with and as an integral part of this Agreement to the same extent as if the same had been set forth verbatim herein. Any capitalized terms used in any Exhibit or Schedule or in the Schedules but not otherwise defined therein shall be defined as set forth in this Agreement. The representations and warranties of the Companies and the Member set forth in this Agreement are made and given subject to the disclosures contained in the Schedules, and neither the Companies, the Member nor any of its Affiliates shall be, or deemed to be, in breach of any such representations and warranties (and no claim shall lie in respect thereof) in respect of any such matter to the extent disclosed in the Schedules. Where only brief particulars of a matter are set out or referred to in the Schedules or a reference is made only to a particular part of a disclosed document, full particulars of the matter and the full contents of the document are deemed to be disclosed. Any matter, information or item disclosed in the Schedules under any specific representation or warranty or schedule or section thereof shall be deemed to be disclosed and incorporated by reference in any other schedule or section of the Schedules as though fully set forth in such other schedule(s) or section(s), to the extent the applicability to such other schedule(s) or section(s) is readily apparent on its face. The inclusion of any matter, information or item in the Schedules as an exception to a representation or warranty shall not be deemed to constitute (a) an admission of any Liability by the Companies or the Member to any third party, (b) an admission that any breach or violation of applicable Laws or any contract or agreement to which any Company or the Member is a party exists or has actually occurred, (c) an admission that such item is outside the ordinary course of business or not consistent with past practice, or (d) otherwise imply an admission that such item represents a material exception or material fact, event, circumstance or that such item has had, or would reasonably be expected to have a Material Adverse Effect. The Schedules have been arranged for purposes of convenience in separately titled schedules corresponding to the sections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Excluded Claims</w:t>
      </w:r>
      <w:r>
        <w:rPr>
          <w:rFonts w:ascii="Times New Roman;Times;Serif" w:hAnsi="Times New Roman;Times;Serif"/>
          <w:b w:val="false"/>
          <w:i w:val="false"/>
          <w:caps w:val="false"/>
          <w:smallCaps w:val="false"/>
          <w:sz w:val="20"/>
        </w:rPr>
        <w:t>. While certain states in the United States have adopted Laws that authorize certain activities with relation to cannabis and marijuana, 21 USC §841(A)(I) of the United States Federal Controlled Substances Act 21 USC §811 (“</w:t>
      </w:r>
      <w:r>
        <w:rPr>
          <w:rFonts w:ascii="Times New Roman;Times;Serif" w:hAnsi="Times New Roman;Times;Serif"/>
          <w:b w:val="false"/>
          <w:i w:val="false"/>
          <w:caps w:val="false"/>
          <w:smallCaps w:val="false"/>
          <w:sz w:val="20"/>
          <w:u w:val="single"/>
        </w:rPr>
        <w:t>CSA</w:t>
      </w:r>
      <w:r>
        <w:rPr>
          <w:rFonts w:ascii="Times New Roman;Times;Serif" w:hAnsi="Times New Roman;Times;Serif"/>
          <w:b w:val="false"/>
          <w:i w:val="false"/>
          <w:caps w:val="false"/>
          <w:smallCaps w:val="false"/>
          <w:sz w:val="20"/>
        </w:rPr>
        <w:t>”) continues to make the manufacture, distribution, or possession with intent to distribute cannabis to certain customers illegal under United States Federal Law. The United States Federal Government regulates cannabis possession and use through the CSA, which classifies marijuana as a Schedule I controlled substance under certain circumstances and as a Schedule III controlled substance under other circumstances. United States Federal Law prohibits physicians from dispensing a Schedule I controlled substance, including marijuana, by prescription. The CSA makes it a crime, amongst other things, to possess and use marijuana, except for medical patients as permitted under and in full compliance with state licensed programs The United States Federal Government may still seek civil and criminal sanctions against any individual or entity that participates in a state legalized marijuana business. Any asserted claim or demand, arising specifically related to any United States Federal Law relating specifically and only to marijuana in any fashion, whether by cultivation, production, distribution, sale or otherwise, by any Person, whether based on contract, tort, implied or express warranty, strict liability criminal or civil statute, ordinance or regulation, common Law or otherwise, relating to or arising out of any of the foregoing matters or issues, including without limitation any enforcement of United States Federal Laws or statutes (and any related administrative rules or regulations), whether now or hereinafter existing, to the extent not consistent with applicable state Laws, is referred herein as an “</w:t>
      </w:r>
      <w:r>
        <w:rPr>
          <w:rFonts w:ascii="Times New Roman;Times;Serif" w:hAnsi="Times New Roman;Times;Serif"/>
          <w:b w:val="false"/>
          <w:i w:val="false"/>
          <w:caps w:val="false"/>
          <w:smallCaps w:val="false"/>
          <w:sz w:val="20"/>
          <w:u w:val="single"/>
        </w:rPr>
        <w:t>Excluded Federal Claim</w:t>
      </w:r>
      <w:r>
        <w:rPr>
          <w:rFonts w:ascii="Times New Roman;Times;Serif" w:hAnsi="Times New Roman;Times;Serif"/>
          <w:b w:val="false"/>
          <w:i w:val="false"/>
          <w:caps w:val="false"/>
          <w:smallCaps w:val="false"/>
          <w:sz w:val="20"/>
        </w:rPr>
        <w:t>”. The foregoing means that each of the Parties could be subject to civil forfeiture of assets or could face criminal penalties. Additionally, the foregoing means that all of the representations and warranties made herein with respect to compliance with any Law are specifically qualified and limited by the fundamental nature of the Parties’ business which is not in compliance with Federal Cannabis Laws and, for the avoidance of doubt, no Proceeding may be brought by any Party arising in connection with an Excluded Federal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At any time before the Closing, either the Member or Buyer may, by written instrument duly executed by the waiving Party, (a) extend the time for the performance of any obligation or other acts of the other Party, (b) waive any breaches or inaccuracies in the representations and warranties of the other Party contained in this Agreement or in any document delivered pursuant to this Agreement or (c) waive compliance with any covenant, agreement or condition contained in this Agreement, but such waiver of compliance with any such covenant, agreement or condition shall not operate as a waiver of, or estoppel with respect to, any subsequent or other failure. No failure on the part of any Party to exercise, and no delay in exercising, any right, power or remedy under this Agreement shall operate as a waiver thereof, nor shall any single or partial exercise of such right, power or remedy by such Party preclude any other or further exercise thereof or the exercise of any other right, power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Except in the case of Fraud, all claims, obligations, Liabilities, actions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entities that are expressly identified as parties hereto in the preamble to this Agreement or, if applicable, their successors and assigns (“</w:t>
      </w:r>
      <w:r>
        <w:rPr>
          <w:rFonts w:ascii="Times New Roman;Times;Serif" w:hAnsi="Times New Roman;Times;Serif"/>
          <w:b w:val="false"/>
          <w:i w:val="false"/>
          <w:caps w:val="false"/>
          <w:smallCaps w:val="false"/>
          <w:sz w:val="20"/>
          <w:u w:val="single"/>
        </w:rPr>
        <w:t>Contracting Parties</w:t>
      </w:r>
      <w:r>
        <w:rPr>
          <w:rFonts w:ascii="Times New Roman;Times;Serif" w:hAnsi="Times New Roman;Times;Serif"/>
          <w:b w:val="false"/>
          <w:i w:val="false"/>
          <w:caps w:val="false"/>
          <w:smallCaps w:val="false"/>
          <w:sz w:val="20"/>
        </w:rPr>
        <w:t>”). No Person who is not a Contracting Party, including any past, present or future director, officer, employee, incorporator, member, partner, manager, equityholder, Affiliate, agent, consultant, attorney, accountants, financial advisor or other representative of, and any lender to, any Contracting Party, or any director, officer, employee, incorporator, member, partner, manager, equityholder, Affiliate, agent, consultant, attorney, accountants, financial advisor or other representative of, and any lender to, any of the foregoing (“</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shall have any Liability (whether in Contract or in tort, in law or in equity, or granted by statute) for any claims, causes of action, obligations, or other liabilities arising under, out of, in connection with, or related in any manner to this Agreement or based on, in respect of, or by reason of this Agreement or their negotiation, execution, performance, or breach; and, to the maximum extent permitted by Law, each Contracting Party hereby waives and releases all such claims, causes of action, obligations and other Liabilities against any such Nonparty Affiliates. It is expressly agreed that the Nonparty Affiliates to whom this </w:t>
      </w:r>
      <w:r>
        <w:rPr>
          <w:rFonts w:ascii="Times New Roman;Times;Serif" w:hAnsi="Times New Roman;Times;Serif"/>
          <w:b w:val="false"/>
          <w:i w:val="false"/>
          <w:caps w:val="false"/>
          <w:smallCaps w:val="false"/>
          <w:sz w:val="20"/>
          <w:u w:val="single"/>
        </w:rPr>
        <w:t xml:space="preserve">Section 9.14 </w:t>
      </w:r>
      <w:r>
        <w:rPr>
          <w:rFonts w:ascii="Times New Roman;Times;Serif" w:hAnsi="Times New Roman;Times;Serif"/>
          <w:b w:val="false"/>
          <w:i w:val="false"/>
          <w:caps w:val="false"/>
          <w:smallCaps w:val="false"/>
          <w:sz w:val="20"/>
        </w:rPr>
        <w:t xml:space="preserve">applies shall be third-party beneficiaries of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9.15          </w:t>
      </w:r>
      <w:r>
        <w:rPr>
          <w:rFonts w:ascii="Times New Roman;Times;Serif" w:hAnsi="Times New Roman;Times;Serif"/>
          <w:b w:val="false"/>
          <w:i w:val="false"/>
          <w:caps w:val="false"/>
          <w:smallCaps w:val="false"/>
          <w:sz w:val="20"/>
          <w:u w:val="single"/>
        </w:rPr>
        <w:t>Provision Respecting Legal Representation</w:t>
      </w:r>
      <w:r>
        <w:rPr>
          <w:rFonts w:ascii="Times New Roman;Times;Serif" w:hAnsi="Times New Roman;Times;Serif"/>
          <w:b w:val="false"/>
          <w:i w:val="false"/>
          <w:caps w:val="false"/>
          <w:smallCaps w:val="false"/>
          <w:sz w:val="20"/>
        </w:rPr>
        <w:t>. Each Party to this Agreement agrees, on its own behalf and on behalf of its Affiliates and representatives, that Weil, Gotshal &amp; Manges LLP may serve as counsel to the Member, on the one hand, and the Companies, on the other hand, in connection with the negotiation, preparation, execution and delivery of the Transaction Agreements and the consummation of the Transactions, and that, following consummation of the Transactions, Weil, Gotshal &amp; Manges LLP may serve as counsel to the Member or any Affiliate or representative of the Member, in connection with any litigation, claim or obligation arising out of or relating to the Transactions and the Transaction Agreements notwithstanding such prior representation of the Companies and each Party consents thereto and waives any conflict of interest arising therefrom, and each Party shall cause its Affiliates and representatives to consent to waive any conflict of interest arising from such 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9.16          </w:t>
      </w:r>
      <w:r>
        <w:rPr>
          <w:rFonts w:ascii="Times New Roman;Times;Serif" w:hAnsi="Times New Roman;Times;Serif"/>
          <w:b w:val="false"/>
          <w:i w:val="false"/>
          <w:caps w:val="false"/>
          <w:smallCaps w:val="false"/>
          <w:sz w:val="20"/>
          <w:u w:val="single"/>
        </w:rPr>
        <w:t>Privilege</w:t>
      </w:r>
      <w:r>
        <w:rPr>
          <w:rFonts w:ascii="Times New Roman;Times;Serif" w:hAnsi="Times New Roman;Times;Serif"/>
          <w:b w:val="false"/>
          <w:i w:val="false"/>
          <w:caps w:val="false"/>
          <w:smallCaps w:val="false"/>
          <w:sz w:val="20"/>
        </w:rPr>
        <w:t>. Buyer, for itself and its Affiliates, and its and its Affiliates’ respective successors and assigns, hereby irrevocably and unconditionally acknowledges and agrees that, other than in the case of potential willfully and knowingly committed fraud with the specific intent to deceive and mislead (such potential claims to be reasonably determined upon the advice of counsel), all attorney-client privileged communications between the Member, any Company and their respective current or former Affiliates or representatives and their counsel, including Weil, Gotshal &amp; Manges LLP, made before the consummation of the Closing in connection with the negotiation, preparation, execution, delivery and Closing under any Transaction Agreement, any Transaction Dispute or, before the Closing, any other matter, shall continue after the Closing to be privileged communications with such counsel and neither Buyer nor any of its former or current Affiliates or representatives nor any Person purporting to act on behalf of or through Buyer or any of its current or former Affiliates or representatives, shall seek to obtain the same by any process on the grounds that the privilege attaching to such communications belongs to Buyer, any Company or the Business or on any other grounds.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9.17          </w:t>
      </w:r>
      <w:r>
        <w:rPr>
          <w:rFonts w:ascii="Times New Roman;Times;Serif" w:hAnsi="Times New Roman;Times;Serif"/>
          <w:b w:val="false"/>
          <w:i w:val="false"/>
          <w:caps w:val="false"/>
          <w:smallCaps w:val="false"/>
          <w:sz w:val="20"/>
          <w:u w:val="single"/>
        </w:rPr>
        <w:t>Seller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virtue of their execution of this Agreement, without further action of any Seller Entity, each Seller Entity shall be deemed to have irrevocably constituted and appointed the Member (which, by execution of this Agreement, hereby accepts such appointment) to act as its representative and as the authorized sole agent and attorney-in-fact for and on behalf of the Seller Entities (in their capacity as such), with full power of substitution, to take all actions on behalf of the Seller Entities in connection with this Agreement, including (i) to execute and deliver on behalf of the Seller Entities any amendment, consent or waiver under this Agreement and the other Transaction Agreements, (ii) to assert, and to agree to resolution of, all claims and disputes hereunder or thereunder, (iii) to retain legal counsel and other professional services, at the expense of the Seller Entities, in connection with the performance by the Member of this Agreement and the other Transaction Agreements, (iv) to execute and deliver on the Seller Entities’ behalf all documents and instruments which may be executed and delivered pursuant to this Agreement and the other Transaction Agreements, (v) to make and receive notices and other communications pursuant to this Agreement and the other Transaction Agreements and service of process in any Proceeding arising out of or related to this Agreement and the other Transaction Agreements, (vi) to negotiate, settle or compromise any Proceeding arising out of or related to this Agreement or the other Transaction Agreements or any of the transactions hereunder or thereunder, including to take any action (or determine not to take action) in connection with the defense, prosecution, settlement, compromise or other resolution of any claim hereunder, and (vii) to do each and every act and exercise all rights that are either (x) necessary or appropriate in the judgment of the Member for the accomplishment of the foregoing or (y) mandated or permitted by the terms of this Agreement or the other Transaction Agreements. The Member shall use reasonable efforts to keep the Seller Entities reasonably informed with respect to actions of the Member pursuant to the authority granted to the Member under this Agreement which actions have a material impact on the amounts payable to the Seller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power of attorney granted in this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 xml:space="preserve"> is coupled with an interest and is irrevocable, may be delegated by the Member and shall survive the dissolution of each Seller Entity. Neither the removal of, nor the appointment of a successor to, the Member shall affect in any manner the validity or enforceability of any actions taken or agreements, understandings or commitments entered into by the Member, which shall continue to be effective and binding on the Seller Entities. For the avoidance of doubt, any compromise or settlement of any matter by the Member hereunder shall be binding on, and fully enforceable against, all Seller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decision, act, consent or instruction of the Member hereunder shall constitute a decision, act, consent or instruction of all of the Seller Entities and shall be final, binding and conclusive upon each of the Seller Entities, Buyer, and, after the Closing, the Companies, may rely upon any such decision, act, consent or instruction of the Member as being the decision, act, consent or instruction of each and every such Seller Entity. Each Seller Entity hereby agrees that for any Proceeding arising under this Agreement or any other Transaction Agreement, such Seller Entity may be served legal process by registered mail to the address set forth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for the Member (or any alternative address designated to the Parties in writing by the Member), and that service in such manner shall be adequate and such Seller Entity shall not assert any defense of claim that service in such manner was not adequate or sufficient in any court in any jurisdiction. Each Seller Entity shall promptly provide written notice to the Member of any change of address of such Seller Entity.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Seller Entity, by its acceptance of its portion of the Purchase Price payable at the Closing, accepts and agrees to be bound by the provisions set forth in this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9.19          </w:t>
      </w:r>
      <w:r>
        <w:rPr>
          <w:rFonts w:ascii="Times New Roman;Times;Serif" w:hAnsi="Times New Roman;Times;Serif"/>
          <w:b w:val="false"/>
          <w:i w:val="false"/>
          <w:caps w:val="false"/>
          <w:smallCaps w:val="false"/>
          <w:sz w:val="20"/>
          <w:u w:val="single"/>
        </w:rPr>
        <w:t>Debt Financing Sources</w:t>
      </w:r>
      <w:r>
        <w:rPr>
          <w:rFonts w:ascii="Times New Roman;Times;Serif" w:hAnsi="Times New Roman;Times;Serif"/>
          <w:b w:val="false"/>
          <w:i w:val="false"/>
          <w:caps w:val="false"/>
          <w:smallCaps w:val="false"/>
          <w:sz w:val="20"/>
        </w:rPr>
        <w:t>. Notwithstanding anything in this Agreement to the contrary, the Member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agrees that any proceeding, whether in law or in equity, whether in contract or in tort or otherwise, involving the Lenders, arising out of or relating to, this Agreement, the Debt Financing and/or any of the agreements (including the Loan Financing Agreement)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be the exclusive jurisdiction of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agrees that any such proceeding shall be governed by the Laws of the State of New York (without giving effect to any conflicts of law principles that would result in the application of the laws of another state), except as otherwise provided in the Loan Financing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rights of Buyer under the Loan Financing Agreement, agrees not to bring or support or permit any of its Affiliates to bring or support any proceeding of any kind or description, whether in law or in equity, whether in contract or in tort or otherwise, against the Lenders in any way arising out of or relating to, this Agreement, the Loan Financing Agreement or any of the transactions contemplated hereby or thereby or the performance of any services thereunder in any forum other than any federal or state court in the Borough of Manhattan,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agrees that service of process upon the Member in any such proceeding shall be effective if notice is given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irrevocably waives, to the fullest extent that it may effectively do so, the defense of an inconvenient forum to the maintenance of such Proceeding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knowingly, intentionally and voluntarily waives, to the fullest extent permitted by Law, trial by jury in any proceeding brought against the Lenders in any way arising out of or relating to this Agreement, the Debt Financing, the Loan Financing Agreement or any of the transactions contemplated hereby or thereby or the performances of any services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the rights of Buyer under the Loan Financing Agreement, agrees that the Lenders will not have any liability to the Company relating to or arising out of this Agreement, the Debt Financing, the Loan Financing Agreement or any of the transactions contemplated hereby or thereby or the performance of any services thereunder, whether in law or in equity, whether in contract or in tort or otherwise;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agrees that the Lenders are an express third party beneficiary of, and may enforce, any of the provisions of this </w:t>
      </w:r>
      <w:r>
        <w:rPr>
          <w:rFonts w:ascii="Times New Roman;Times;Serif" w:hAnsi="Times New Roman;Times;Serif"/>
          <w:b w:val="false"/>
          <w:i w:val="false"/>
          <w:caps w:val="false"/>
          <w:smallCaps w:val="false"/>
          <w:sz w:val="20"/>
          <w:u w:val="single"/>
        </w:rPr>
        <w:t>Section 9.19</w:t>
      </w:r>
      <w:r>
        <w:rPr>
          <w:rFonts w:ascii="Times New Roman;Times;Serif" w:hAnsi="Times New Roman;Times;Serif"/>
          <w:b w:val="false"/>
          <w:i w:val="false"/>
          <w:caps w:val="false"/>
          <w:smallCaps w:val="false"/>
          <w:sz w:val="20"/>
        </w:rPr>
        <w:t xml:space="preserve"> and that such provisions shall not be amended in any way adverse to the Lenders without the prior written consent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nothing in this </w:t>
      </w:r>
      <w:r>
        <w:rPr>
          <w:rFonts w:ascii="Times New Roman;Times;Serif" w:hAnsi="Times New Roman;Times;Serif"/>
          <w:b w:val="false"/>
          <w:i w:val="false"/>
          <w:caps w:val="false"/>
          <w:smallCaps w:val="false"/>
          <w:sz w:val="20"/>
          <w:u w:val="single"/>
        </w:rPr>
        <w:t>Section 9.19</w:t>
      </w:r>
      <w:r>
        <w:rPr>
          <w:rFonts w:ascii="Times New Roman;Times;Serif" w:hAnsi="Times New Roman;Times;Serif"/>
          <w:b w:val="false"/>
          <w:i w:val="false"/>
          <w:caps w:val="false"/>
          <w:smallCaps w:val="false"/>
          <w:sz w:val="20"/>
        </w:rPr>
        <w:t xml:space="preserve"> shall in any way limit or modify the rights and obligations of Buyer under this Agreement or the Lenders’ obligations to Buyer under the Loan Financing Agreement. This </w:t>
      </w:r>
      <w:r>
        <w:rPr>
          <w:rFonts w:ascii="Times New Roman;Times;Serif" w:hAnsi="Times New Roman;Times;Serif"/>
          <w:b w:val="false"/>
          <w:i w:val="false"/>
          <w:caps w:val="false"/>
          <w:smallCaps w:val="false"/>
          <w:sz w:val="20"/>
          <w:u w:val="single"/>
        </w:rPr>
        <w:t>Section 9.19</w:t>
      </w:r>
      <w:r>
        <w:rPr>
          <w:rFonts w:ascii="Times New Roman;Times;Serif" w:hAnsi="Times New Roman;Times;Serif"/>
          <w:b w:val="false"/>
          <w:i w:val="false"/>
          <w:caps w:val="false"/>
          <w:smallCaps w:val="false"/>
          <w:sz w:val="20"/>
        </w:rPr>
        <w:t xml:space="preserve"> shall, with respect to the matters referenced herein, supersede any provision of this Agreement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has caused this Purchase Agreement to be duly executed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877"/>
        <w:gridCol w:w="3147"/>
      </w:tblGrid>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MEMBER</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COLUMBIA CARE LLC</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CANNABIST: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CANNABIST COMPANY HOLDINGS, INC.</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COMPANIES:</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COLUMBIA CARE MD, LLC</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 LEAF EXTRACTS, LLC</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WELLNESS INSTITUTE OF MARYLAND, LLC</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31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Hart</w:t>
            </w:r>
          </w:p>
        </w:tc>
      </w:tr>
      <w:tr>
        <w:trPr/>
        <w:tc>
          <w:tcPr>
            <w:tcW w:w="75"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815"/>
        <w:gridCol w:w="3359"/>
      </w:tblGrid>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 LEAF MANAGEMENT LLC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Hart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Hart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 LEAF MEDICAL, LLC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Hart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Hart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BUYER</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FREE STATE BOTANICALS HOLDINGS LLC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Samantha Mikolajewski</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Samantha Mikolajewski</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CULTIVATION BUYER</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FREE STATE BOTANICALS CULTIVATION LLC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Samantha Mikolajewski</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Samantha Mikolajewski</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DISPENSARY BUYER</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FREE STATE BOTANICALS LLC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3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Samantha Mikolajewski</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Samantha Mikolajewski</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2" w:name="ef20080128_ex10-2.htm"/>
      <w:bookmarkStart w:id="3" w:name="ksef20080128_ex102"/>
      <w:bookmarkEnd w:id="2"/>
      <w:bookmarkEnd w:id="3"/>
      <w:r>
        <w:rPr>
          <w:caps w:val="false"/>
          <w:smallCaps w:val="false"/>
        </w:rPr>
        <w:t> </w:t>
      </w:r>
      <w:r>
        <w:br w:type="page"/>
      </w:r>
    </w:p>
    <w:p>
      <w:pPr>
        <w:pStyle w:val="TextBody"/>
        <w:bidi w:val="0"/>
        <w:jc w:val="left"/>
        <w:rPr>
          <w:caps w:val="false"/>
          <w:smallCaps w:val="false"/>
          <w:bdr w:val="single" w:sz="32" w:space="1" w:color="000000"/>
        </w:rPr>
      </w:pPr>
      <w:r>
        <w:rPr>
          <w:caps w:val="false"/>
          <w:smallCaps w:val="false"/>
          <w:bdr w:val="single" w:sz="32" w:space="1" w:color="000000"/>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the 7th day of August,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i w:val="false"/>
          <w:caps/>
          <w:sz w:val="20"/>
        </w:rPr>
        <w:t>Columbia Care MD Realty LLC</w:t>
      </w:r>
      <w:r>
        <w:rPr>
          <w:rFonts w:ascii="Times New Roman;Times;Serif" w:hAnsi="Times New Roman;Times;Serif"/>
          <w:b w:val="false"/>
          <w:i w:val="false"/>
          <w:caps w:val="false"/>
          <w:smallCaps w:val="false"/>
          <w:sz w:val="20"/>
        </w:rPr>
        <w:t>, a Maryland limited liability company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6797 Bowman Frederick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xml:space="preserve">”) and, for the limited purposes set forth herein, </w:t>
      </w:r>
      <w:r>
        <w:rPr>
          <w:rFonts w:ascii="Times New Roman;Times;Serif" w:hAnsi="Times New Roman;Times;Serif"/>
          <w:b/>
          <w:i w:val="false"/>
          <w:caps w:val="false"/>
          <w:smallCaps w:val="false"/>
          <w:sz w:val="20"/>
        </w:rPr>
        <w:t>THE CANNABIST COMPANY HOLDINGS, INC.</w:t>
      </w:r>
      <w:r>
        <w:rPr>
          <w:rFonts w:ascii="Times New Roman;Times;Serif" w:hAnsi="Times New Roman;Times;Serif"/>
          <w:b w:val="false"/>
          <w:i w:val="false"/>
          <w:caps w:val="false"/>
          <w:smallCaps w:val="false"/>
          <w:sz w:val="20"/>
        </w:rPr>
        <w:t>, a British Columbia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 E C I T A L 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the owner of the “Property” (defined below), which consists principally of a cultivation facility located in the City of Frederick, Frederick County, State of Maryland, having a street address of 6797 Bowman Crossing.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desires to purchase the Property from Seller, and Seller desires to sell the Property to Buyer, on the terms and conditions hereinafter documented.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Simultaneously with the execution and delivery hereof, Columbia Care LLC, The Cannabist Company Holdings Inc. and the other selling parties thereto, each an affiliate of Seller, have entered into a Purchase Agreement for the sale and purchase of certain personal and other property used in connection with the Property to Free State Botanicals LLC, Free State Botanicals Cultivation LLC and Free State Botanicals Holdings, LLC (the “</w:t>
      </w:r>
      <w:r>
        <w:rPr>
          <w:rFonts w:ascii="Times New Roman;Times;Serif" w:hAnsi="Times New Roman;Times;Serif"/>
          <w:b/>
          <w:i w:val="false"/>
          <w:caps w:val="false"/>
          <w:smallCaps w:val="false"/>
          <w:sz w:val="20"/>
        </w:rPr>
        <w:t>Asset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certain of its affiliates have commenced a proceeding (the “</w:t>
      </w:r>
      <w:r>
        <w:rPr>
          <w:rFonts w:ascii="Times New Roman;Times;Serif" w:hAnsi="Times New Roman;Times;Serif"/>
          <w:b/>
          <w:i w:val="false"/>
          <w:caps w:val="false"/>
          <w:smallCaps w:val="false"/>
          <w:sz w:val="20"/>
        </w:rPr>
        <w:t>Canadian Proceeding</w:t>
      </w:r>
      <w:r>
        <w:rPr>
          <w:rFonts w:ascii="Times New Roman;Times;Serif" w:hAnsi="Times New Roman;Times;Serif"/>
          <w:b w:val="false"/>
          <w:i w:val="false"/>
          <w:caps w:val="false"/>
          <w:smallCaps w:val="false"/>
          <w:sz w:val="20"/>
        </w:rPr>
        <w:t>”) under the Companies’ Creditors Arrangement Act (Canada) with the Ontario Superior Court of Justice (Commercial List) and recognition proceedings under chapter 15 of title 11 of the United States Code in the United States Bankruptcy Court for the District of Delaware (the “</w:t>
      </w:r>
      <w:r>
        <w:rPr>
          <w:rFonts w:ascii="Times New Roman;Times;Serif" w:hAnsi="Times New Roman;Times;Serif"/>
          <w:b/>
          <w:i w:val="false"/>
          <w:caps w:val="false"/>
          <w:smallCaps w:val="false"/>
          <w:sz w:val="20"/>
        </w:rPr>
        <w:t>Chapter 15 Proceedings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 debtor entity, is an indirect parent company of Seller, a non-debtor entity, and, as such, Parent will benefit from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undertakings of the parties hereto, it is hereby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Seller shall sell to Buyer, and Buyer shall purchase from Seller, the Property on the terms and conditions hereinafter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As used herein, the “</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means, collectively, all right, title and interest of Seller in and to (a) that certain land described in Exhibit “A”, together with all easements, rights-of-way, and appurtenances benefiting such land (the “</w:t>
      </w:r>
      <w:r>
        <w:rPr>
          <w:rFonts w:ascii="Times New Roman;Times;Serif" w:hAnsi="Times New Roman;Times;Serif"/>
          <w:b/>
          <w:i w:val="false"/>
          <w:caps w:val="false"/>
          <w:smallCaps w:val="false"/>
          <w:sz w:val="20"/>
        </w:rPr>
        <w:t>Land</w:t>
      </w:r>
      <w:r>
        <w:rPr>
          <w:rFonts w:ascii="Times New Roman;Times;Serif" w:hAnsi="Times New Roman;Times;Serif"/>
          <w:b w:val="false"/>
          <w:i w:val="false"/>
          <w:caps w:val="false"/>
          <w:smallCaps w:val="false"/>
          <w:sz w:val="20"/>
        </w:rPr>
        <w:t>”), (b) all improvements, structures and fixtures now or on the “Closing Date” (as hereinafter defined) located upon the Land (the “</w:t>
      </w:r>
      <w:r>
        <w:rPr>
          <w:rFonts w:ascii="Times New Roman;Times;Serif" w:hAnsi="Times New Roman;Times;Serif"/>
          <w:b/>
          <w:i w:val="false"/>
          <w:caps w:val="false"/>
          <w:smallCaps w:val="false"/>
          <w:sz w:val="20"/>
        </w:rPr>
        <w:t>Improvements</w:t>
      </w:r>
      <w:r>
        <w:rPr>
          <w:rFonts w:ascii="Times New Roman;Times;Serif" w:hAnsi="Times New Roman;Times;Serif"/>
          <w:b w:val="false"/>
          <w:i w:val="false"/>
          <w:caps w:val="false"/>
          <w:smallCaps w:val="false"/>
          <w:sz w:val="20"/>
        </w:rPr>
        <w:t>”), and (c) all Service Agreements (as hereinafter defined), and to the extent assignable, governmental permits, licenses and approvals, warranties and guarantees that Seller has received in connection with any work or services performed with respect to, or equipment installed in, the Improvements or the Land, and other similar intangible personal property related to the Land or Improvements (the “</w:t>
      </w:r>
      <w:r>
        <w:rPr>
          <w:rFonts w:ascii="Times New Roman;Times;Serif" w:hAnsi="Times New Roman;Times;Serif"/>
          <w:b/>
          <w:i w:val="false"/>
          <w:caps w:val="false"/>
          <w:smallCaps w:val="false"/>
          <w:sz w:val="20"/>
        </w:rPr>
        <w:t>Intangible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Buyer’s consideration for the sale of the Property to Buyer shall be either (a) Buyer’s assumption of the Existing Indebtedness (as hereinafter defined), subject to the approval by Lender and Buyer of any documents, instruments and/or agreements required by Lender in connection with the assumption of the Existing Indebtedness by Buyer, or (b) if Buyer cannot assume the Existing Indebtedness, Buyer’s payoff of the Existing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Payment of Closing Costs and Prorations</w:t>
      </w:r>
      <w:r>
        <w:rPr>
          <w:rFonts w:ascii="Times New Roman;Times;Serif" w:hAnsi="Times New Roman;Times;Serif"/>
          <w:b w:val="false"/>
          <w:i w:val="false"/>
          <w:caps w:val="false"/>
          <w:smallCaps w:val="false"/>
          <w:sz w:val="20"/>
        </w:rPr>
        <w:t>. Closing costs and prorations shall be adjusted between Seller and Buyer, and paid to the appropriate party through an escrow (as described in Section 5 below) with [Greater Illinois Title Company], at its offices at 120 N. LaSalle Street, Suite 900, Chicago, IL 60602, Attn: Ms. Britney Sopher, phone: 312,264.4758; email: Britney.sopher@gitc.com (which company, in its capacity as escrow holder hereunder, is called “</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by wire transfer of immediately available federal funds on the Closing Date (the net amount to be paid by either Buyer or Seller, as the case may be, under this Section 3.1 being herein called the “</w:t>
      </w:r>
      <w:r>
        <w:rPr>
          <w:rFonts w:ascii="Times New Roman;Times;Serif" w:hAnsi="Times New Roman;Times;Serif"/>
          <w:b/>
          <w:i w:val="false"/>
          <w:caps w:val="false"/>
          <w:smallCaps w:val="false"/>
          <w:sz w:val="20"/>
        </w:rPr>
        <w:t>Closing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Title Matters</w:t>
      </w:r>
      <w:r>
        <w:rPr>
          <w:rFonts w:ascii="Times New Roman;Times;Serif" w:hAnsi="Times New Roman;Times;Serif"/>
          <w:b w:val="false"/>
          <w:i w:val="false"/>
          <w:caps w:val="false"/>
          <w:smallCaps w:val="false"/>
          <w:sz w:val="20"/>
        </w:rPr>
        <w:t>. Buyer shall have the right, at Buyer’s sole cost and expense, to obtain a title commitment covering the Property (“</w:t>
      </w:r>
      <w:r>
        <w:rPr>
          <w:rFonts w:ascii="Times New Roman;Times;Serif" w:hAnsi="Times New Roman;Times;Serif"/>
          <w:b/>
          <w:i w:val="false"/>
          <w:caps w:val="false"/>
          <w:smallCaps w:val="false"/>
          <w:sz w:val="20"/>
        </w:rPr>
        <w:t>Title Commitment</w:t>
      </w:r>
      <w:r>
        <w:rPr>
          <w:rFonts w:ascii="Times New Roman;Times;Serif" w:hAnsi="Times New Roman;Times;Serif"/>
          <w:b w:val="false"/>
          <w:i w:val="false"/>
          <w:caps w:val="false"/>
          <w:smallCaps w:val="false"/>
          <w:sz w:val="20"/>
        </w:rPr>
        <w:t>”) from Stewart Title Guaranty Company (which company, in its capacity as title insurer hereunder, is herein called the “</w:t>
      </w:r>
      <w:r>
        <w:rPr>
          <w:rFonts w:ascii="Times New Roman;Times;Serif" w:hAnsi="Times New Roman;Times;Serif"/>
          <w:b/>
          <w:i w:val="false"/>
          <w:caps w:val="false"/>
          <w:smallCaps w:val="false"/>
          <w:sz w:val="20"/>
        </w:rPr>
        <w:t>Title Company</w:t>
      </w:r>
      <w:r>
        <w:rPr>
          <w:rFonts w:ascii="Times New Roman;Times;Serif" w:hAnsi="Times New Roman;Times;Serif"/>
          <w:b w:val="false"/>
          <w:i w:val="false"/>
          <w:caps w:val="false"/>
          <w:smallCaps w:val="false"/>
          <w:sz w:val="20"/>
        </w:rPr>
        <w:t>”). In addition, Buyer shall have the right, at Buyer’s sole cost and expense, to obtain a current ALTA/ACSM survey of the Property (“</w:t>
      </w:r>
      <w:r>
        <w:rPr>
          <w:rFonts w:ascii="Times New Roman;Times;Serif" w:hAnsi="Times New Roman;Times;Serif"/>
          <w:b/>
          <w:i w:val="false"/>
          <w:caps w:val="false"/>
          <w:smallCaps w:val="false"/>
          <w:sz w:val="20"/>
        </w:rPr>
        <w:t>Survey</w:t>
      </w:r>
      <w:r>
        <w:rPr>
          <w:rFonts w:ascii="Times New Roman;Times;Serif" w:hAnsi="Times New Roman;Times;Serif"/>
          <w:b w:val="false"/>
          <w:i w:val="false"/>
          <w:caps w:val="false"/>
          <w:smallCaps w:val="false"/>
          <w:sz w:val="20"/>
        </w:rPr>
        <w:t>”). Seller shall reasonably cooperate with Buyer’s surveyor in connection with the preparation of the Survey, including by providing access to the Property and executing such authorization letters as may be reasonably required by Buyer’s surveyor, provided that Seller shall not be obligated to incur any cost, expense, or liability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Due Diligence Reviews</w:t>
      </w:r>
      <w:r>
        <w:rPr>
          <w:rFonts w:ascii="Times New Roman;Times;Serif" w:hAnsi="Times New Roman;Times;Serif"/>
          <w:b w:val="false"/>
          <w:i w:val="false"/>
          <w:caps w:val="false"/>
          <w:smallCaps w:val="false"/>
          <w:sz w:val="20"/>
        </w:rPr>
        <w:t>. Buyer shall have until 5:00 p.m. (Eastern time) on the date that is sixty (60) days after the Effective Date (the period beginning on the Effective Date and ending on such date being herein called the “</w:t>
      </w:r>
      <w:r>
        <w:rPr>
          <w:rFonts w:ascii="Times New Roman;Times;Serif" w:hAnsi="Times New Roman;Times;Serif"/>
          <w:b/>
          <w:i w:val="false"/>
          <w:caps w:val="false"/>
          <w:smallCaps w:val="false"/>
          <w:sz w:val="20"/>
        </w:rPr>
        <w:t>Due Diligence Period</w:t>
      </w:r>
      <w:r>
        <w:rPr>
          <w:rFonts w:ascii="Times New Roman;Times;Serif" w:hAnsi="Times New Roman;Times;Serif"/>
          <w:b w:val="false"/>
          <w:i w:val="false"/>
          <w:caps w:val="false"/>
          <w:smallCaps w:val="false"/>
          <w:sz w:val="20"/>
        </w:rPr>
        <w:t>”) within which to perform and complete all of Buyer’s due diligence examinations, reviews and inspections of all matters pertaining to the Property, including all service contracts, all physical, environmental (including obtaining a current Phase I Environmental Site Assessment and/or a current Phase II Environmental Site Assessment (if recommended by the Phase I) prepared by a third-party environmental consultant), zoning (including obtaining a current zoning report of the Property prepared by a third party zoning consultant) and compliance matters and conditions respecting the Property, copies of Seller’s insurance policies, copies of Seller’s financial and operating statements, but excluding any confidential information; provided, however, in the case of any confidential information that would be material to an institutional investor in deciding whether to purchase the Property, Seller shall notify Buyer in writing of the existence of the same and shall disclose the same to Buyer on the condition that Buyer execute a confidentiality agreement reasonably satisfactory to Buyer and Seller. During the Due Diligence Period, Seller shall provide Buyer with reasonable access to the Property and shall also provide to Buyer copies of such service contracts and other contracts relating to the Property as Buyer shall reasonably request, all upon reasonable advance notice. Moreover, Seller shall reasonably cooperate (a) with Buyer’s third party zoning consultant in connection with the preparation of any zoning report, and (b) with Buyer’s third party environmental consultant in connection with the preparation of any environmental report; provided that in either case, Seller shall not be obligated to incur any cost, expense, or liability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Indemnity; Review Requirements</w:t>
      </w:r>
      <w:r>
        <w:rPr>
          <w:rFonts w:ascii="Times New Roman;Times;Serif" w:hAnsi="Times New Roman;Times;Serif"/>
          <w:b w:val="false"/>
          <w:i w:val="false"/>
          <w:caps w:val="false"/>
          <w:smallCaps w:val="false"/>
          <w:sz w:val="20"/>
        </w:rPr>
        <w:t>. Buyer will indemnify, defend, and hold Seller and the Property harmless from and against any mechanics’ liens, personal injury (including death) or physical property damage (or any liability, damage, loss, cost or expense resulting therefrom) caused by Buyer or its, invitees, affiliates or representatives in the conduct of its due diligence examinations, reviews and inspections (other than that arising from the discovery of preexisting conditions). The foregoing obligation shall survive any termination of this Agreement. In addition, without giving Seller prior written notice, in no event shall Buyer: (a) make any intrusive physical testing (environmental, structural or otherwise) at the Property (such as soil borings, water samplings or the like); (b) contact any tenant of the Property; and (c) contact any governmental authority having jurisdiction over the Property other than ordinary contact normally associated with routine due diligence examinations that does not involve any discussions with governmental officials (except to the extent necessary to request records and a zoning letter). Seller shall have the right, at its option, to cause a representative of Seller to be present at all inspections, reviews and examinations (including tenant interviews) conducted hereunder. In the event of any termination hereunder (other than by reason of Seller’s default), Buyer shall return all documents and other materials furnished by Seller hereunder and at Seller’s written request and upon reimbursement of Buyer’s actual, documented costs incurred in connection therewith, Buyer shall promptly deliver to Seller true, accurate and complete copies of any written reports relating to the Property prepared for or on behalf of Buyer by any third party. Prior to Closing, Buyer shall maintain the confidentiality of all information or data received from Seller in connection with any of the inspections, reviews or examinations; provided, however, that (x) such information or data may be disclosed by Buyer to the extent required by law and to Title Company, surveyors, and Buyer’s attorneys, accountants, representatives, consultants, agents and actual and prospective lenders and all investors provided Buyer instructs each such person or entity to maintain such confidentiality, and (y) the foregoing confidentiality restriction shall not apply to any information or data that is available to Buyer from any other source (other than by reason of a breach by Buyer of such confidentiality restriction).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Termination Right</w:t>
      </w:r>
      <w:r>
        <w:rPr>
          <w:rFonts w:ascii="Times New Roman;Times;Serif" w:hAnsi="Times New Roman;Times;Serif"/>
          <w:b w:val="false"/>
          <w:i w:val="false"/>
          <w:caps w:val="false"/>
          <w:smallCaps w:val="false"/>
          <w:sz w:val="20"/>
        </w:rPr>
        <w:t>. At any time on or before the last day of the Due Diligence Period, Buyer may elect to terminate this Agreement if and only if the Title Commitment and/or Survey identifies a matter that would reasonably be expected to constitute a material impairment of ownership, use or enjoyment of the Property, by delivering written notice (the “</w:t>
      </w:r>
      <w:r>
        <w:rPr>
          <w:rFonts w:ascii="Times New Roman;Times;Serif" w:hAnsi="Times New Roman;Times;Serif"/>
          <w:b/>
          <w:i w:val="false"/>
          <w:caps w:val="false"/>
          <w:smallCaps w:val="false"/>
          <w:sz w:val="20"/>
        </w:rPr>
        <w:t>Termination Notice</w:t>
      </w:r>
      <w:r>
        <w:rPr>
          <w:rFonts w:ascii="Times New Roman;Times;Serif" w:hAnsi="Times New Roman;Times;Serif"/>
          <w:b w:val="false"/>
          <w:i w:val="false"/>
          <w:caps w:val="false"/>
          <w:smallCaps w:val="false"/>
          <w:sz w:val="20"/>
        </w:rPr>
        <w:t>”) to Seller prior to the expiration of the Due Diligence Period. In the event that Buyer delivers the Termination Notice in accordance with the preceding sentence, the obligations of the parties hereunder shall terminate and neither party shall have any further obligations hereunder other than those obligations that expressly survive a termination of this Agreement. If Buyer fails to deliver the Termination Notice to Seller prior to the expiration of the Due Diligence Period, then Buyer shall have no further right to terminate this Agreement pursuant to this Section 4.2.2.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Approval of Assumption of Existing Indebtedness and Documentation Evidencing Same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w:t>
      </w:r>
      <w:r>
        <w:rPr>
          <w:rFonts w:ascii="Times New Roman;Times;Serif" w:hAnsi="Times New Roman;Times;Serif"/>
          <w:b w:val="false"/>
          <w:i w:val="false"/>
          <w:caps w:val="false"/>
          <w:smallCaps w:val="false"/>
          <w:sz w:val="20"/>
          <w:u w:val="single"/>
        </w:rPr>
        <w:t>Lender Approval</w:t>
      </w:r>
      <w:r>
        <w:rPr>
          <w:rFonts w:ascii="Times New Roman;Times;Serif" w:hAnsi="Times New Roman;Times;Serif"/>
          <w:b w:val="false"/>
          <w:i w:val="false"/>
          <w:caps w:val="false"/>
          <w:smallCaps w:val="false"/>
          <w:sz w:val="20"/>
        </w:rPr>
        <w:t>. Seller is currently the borrower with respect to a loan encumbering the Property (the “</w:t>
      </w:r>
      <w:r>
        <w:rPr>
          <w:rFonts w:ascii="Times New Roman;Times;Serif" w:hAnsi="Times New Roman;Times;Serif"/>
          <w:b/>
          <w:i w:val="false"/>
          <w:caps w:val="false"/>
          <w:smallCaps w:val="false"/>
          <w:sz w:val="20"/>
        </w:rPr>
        <w:t>Existing Indebtedness</w:t>
      </w:r>
      <w:r>
        <w:rPr>
          <w:rFonts w:ascii="Times New Roman;Times;Serif" w:hAnsi="Times New Roman;Times;Serif"/>
          <w:b w:val="false"/>
          <w:i w:val="false"/>
          <w:caps w:val="false"/>
          <w:smallCaps w:val="false"/>
          <w:sz w:val="20"/>
        </w:rPr>
        <w:t>”) made by East West Bank (together with any loan servicer or other party whose consent is required, collectively, the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in the original principle amount of Six Million Two Hundred Fifty Thousand and No/100 Dollars ($6,250,000.00), as evidenced by a Loan Agreement, Promissory Note, Deed of Trust, Assignment and Security Agreement and other loan documents dated August 9, 2023 (the “</w:t>
      </w:r>
      <w:r>
        <w:rPr>
          <w:rFonts w:ascii="Times New Roman;Times;Serif" w:hAnsi="Times New Roman;Times;Serif"/>
          <w:b/>
          <w:i w:val="false"/>
          <w:caps w:val="false"/>
          <w:smallCaps w:val="false"/>
          <w:sz w:val="20"/>
        </w:rPr>
        <w:t>Existing Loan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4.3.2       </w:t>
      </w:r>
      <w:r>
        <w:rPr>
          <w:rFonts w:ascii="Times New Roman;Times;Serif" w:hAnsi="Times New Roman;Times;Serif"/>
          <w:b w:val="false"/>
          <w:i w:val="false"/>
          <w:caps w:val="false"/>
          <w:smallCaps w:val="false"/>
          <w:sz w:val="20"/>
          <w:u w:val="single"/>
        </w:rPr>
        <w:t>Seller’s Cooperation</w:t>
      </w:r>
      <w:r>
        <w:rPr>
          <w:rFonts w:ascii="Times New Roman;Times;Serif" w:hAnsi="Times New Roman;Times;Serif"/>
          <w:b w:val="false"/>
          <w:i w:val="false"/>
          <w:caps w:val="false"/>
          <w:smallCaps w:val="false"/>
          <w:sz w:val="20"/>
        </w:rPr>
        <w:t>. Seller shall cooperate with Buyer and the Lender in connection with Buyer’s efforts to obtain approval of the assumption of the Existing Indebtedness, including without limitation by (a) promptly executing and delivering such documents and instruments as may be reasonably required by the Lender in connection therewith, (b) providing Buyer and the Lender with copies of all Existing Loan Documents and other documents evidencing or securing the Existing Indebtedness within five (5) business days after the Effective Date, and (c) providing such financial and other information regarding the Property and the Existing Indebtedness as the Lender may reasonably require.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Asset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It shall be a condition precedent to Buyer’s obligation to close under this Agreement that the transactions contemplated by the Asset Purchase Agreement shall have been consummated.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       This Agreement shall automatically terminate upon the valid termination of the Asset Purchase Agreement pursuant to the terms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Representations and Warranties of Seller</w:t>
      </w:r>
      <w:r>
        <w:rPr>
          <w:rFonts w:ascii="Times New Roman;Times;Serif" w:hAnsi="Times New Roman;Times;Serif"/>
          <w:b w:val="false"/>
          <w:i w:val="false"/>
          <w:caps w:val="false"/>
          <w:smallCaps w:val="false"/>
          <w:sz w:val="20"/>
        </w:rPr>
        <w:t>. The obligation of Buyer to close the transactions contemplated by this Agreement is subject to the truth, in all material respects, of the representations and warranties of Seller set forth in this Agreement, as of the Closing Date, as though made on and as of the Closing Date (except for representations and warranties made as of a specified date, the accuracy of which shall be determined as of that specified date), excluding, however, any matter or change expressly permitted or contemplated by the terms of this Agreement and except where the failure of such representations and warranties to be so true and correct has not had and would not, individually or in the aggregate, reasonably be expected to have a Material Adverse Effect. Without limitation on the foregoing, in the event that the Seller Closing Certificate (defined below) shall disclose any Material Adverse Matter (defined below) that is not otherwise permitted or contemplated by the terms of this Agreement, then Buyer shall have the right to terminate this Agreement by written notice delivered to Seller prior to the Closing, and Seller and Buyer shall be released from further obligation or liability hereunder (except for those obligations and liabilities which expressly survive such termination). For purposes of this Agreement, a “Material Adverse Matter” is a matter or matters that individually or in the aggregate would reasonably be expected to have a Material Adverse Effect (as defined in the Asset Purchase Agreement). Notwithstanding the foregoing or anything else to the contrary set forth in this Agreement, in the event that a breach of a representation or warranty by Seller constituting a Material Adverse Matter has occurred and such breach is curable by Seller’s payment of monetary funds at the Closing, then Seller shall have the option (but not the obligation) to cure such breach by providing a credit to Buyer at the Closing in an amount reasonably required to cure such breach.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Closing Procedure</w:t>
      </w:r>
      <w:r>
        <w:rPr>
          <w:rFonts w:ascii="Times New Roman;Times;Serif" w:hAnsi="Times New Roman;Times;Serif"/>
          <w:b w:val="false"/>
          <w:i w:val="false"/>
          <w:caps w:val="false"/>
          <w:smallCaps w:val="false"/>
          <w:sz w:val="20"/>
        </w:rPr>
        <w:t>. Subject to the terms and conditions of this Agreement, the consummation of the transactions contemplated by this Agreement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remotely by electronic exchange of documents and signatures (or their electronic counterparts), or at such other place as Seller and Buyer may mutually agree upon in writing. As used herein,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“Closing Date” with respect to the State of Maryland “Market” as such terms are defined in the Asset Purchase Agreement, or such earlier date as may be agreed upon by Seller and Buyer; provided however, that either party shall have the right to terminate the Agreement prior to the Closing Date if East West Bank obtains a judgment in a foreclosure action with respect to the Property. The Closing shall be deemed to be effective as of 12:01 AM ET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Escrow</w:t>
      </w:r>
      <w:r>
        <w:rPr>
          <w:rFonts w:ascii="Times New Roman;Times;Serif" w:hAnsi="Times New Roman;Times;Serif"/>
          <w:b w:val="false"/>
          <w:i w:val="false"/>
          <w:caps w:val="false"/>
          <w:smallCaps w:val="false"/>
          <w:sz w:val="20"/>
        </w:rPr>
        <w:t>. On or before 4:00 p.m. Eastern time on the Closing Date, the parties shall deliver to Escrow Agent the following: (1) by Seller, a duly executed and acknowledged original special warranty deed (the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in the form of Exhibit “B”, and (2) by Buyer or Seller (as the case may be), the Closing Payment in immediately available federal funds. If the Closing Payment is received on the Closing Date but after 4:00 p.m. Eastern time, then the Closing Date shall be changed to the next business day. Such delivery shall be made pursuant to escrow instructions (“</w:t>
      </w:r>
      <w:r>
        <w:rPr>
          <w:rFonts w:ascii="Times New Roman;Times;Serif" w:hAnsi="Times New Roman;Times;Serif"/>
          <w:b/>
          <w:i w:val="false"/>
          <w:caps w:val="false"/>
          <w:smallCaps w:val="false"/>
          <w:sz w:val="20"/>
        </w:rPr>
        <w:t>Escrow Instructions</w:t>
      </w:r>
      <w:r>
        <w:rPr>
          <w:rFonts w:ascii="Times New Roman;Times;Serif" w:hAnsi="Times New Roman;Times;Serif"/>
          <w:b w:val="false"/>
          <w:i w:val="false"/>
          <w:caps w:val="false"/>
          <w:smallCaps w:val="false"/>
          <w:sz w:val="20"/>
        </w:rPr>
        <w:t>”) to be executed among Buyer, Seller and Escrow Agent in the form of Exhibit “C”. The conditions to the closing of such escrow shall include the Escrow Agent’s receipt of the Closing Payment and a notice from each of Buyer and Seller authorizing Title Company to close the transactions as contemplated herein (each of Buyer and Seller being obligated to deliver such authorization notice on the Closing Date as soon as it is reasonably satisfied that the other party is in a position to deliver the items to be delivered by such other party under Section 5.2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Delivery to Parties</w:t>
      </w:r>
      <w:r>
        <w:rPr>
          <w:rFonts w:ascii="Times New Roman;Times;Serif" w:hAnsi="Times New Roman;Times;Serif"/>
          <w:b w:val="false"/>
          <w:i w:val="false"/>
          <w:caps w:val="false"/>
          <w:smallCaps w:val="false"/>
          <w:sz w:val="20"/>
        </w:rPr>
        <w:t>. Upon the satisfaction of the conditions set forth in the Escrow Instructions, then (x) the Deed shall be delivered to Buyer by Escrow Agent depositing the same for recordation, (y) the Closing Payment shall be delivered by Escrow Agent to Seller or Buyer (as the case may be) and (z) on the Closing Date, the following items shall be delivered: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val="false"/>
          <w:i w:val="false"/>
          <w:caps w:val="false"/>
          <w:smallCaps w:val="false"/>
          <w:sz w:val="20"/>
          <w:u w:val="single"/>
        </w:rPr>
        <w:t>Seller Deliveries</w:t>
      </w:r>
      <w:r>
        <w:rPr>
          <w:rFonts w:ascii="Times New Roman;Times;Serif" w:hAnsi="Times New Roman;Times;Serif"/>
          <w:b w:val="false"/>
          <w:i w:val="false"/>
          <w:caps w:val="false"/>
          <w:smallCaps w:val="false"/>
          <w:sz w:val="20"/>
        </w:rPr>
        <w:t>. Seller shall deliver to Buyer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duly executed assignment and assumption agreement (“</w:t>
      </w:r>
      <w:r>
        <w:rPr>
          <w:rFonts w:ascii="Times New Roman;Times;Serif" w:hAnsi="Times New Roman;Times;Serif"/>
          <w:b/>
          <w:i w:val="false"/>
          <w:caps w:val="false"/>
          <w:smallCaps w:val="false"/>
          <w:sz w:val="20"/>
        </w:rPr>
        <w:t>Assignment and Assumption Agreement</w:t>
      </w:r>
      <w:r>
        <w:rPr>
          <w:rFonts w:ascii="Times New Roman;Times;Serif" w:hAnsi="Times New Roman;Times;Serif"/>
          <w:b w:val="false"/>
          <w:i w:val="false"/>
          <w:caps w:val="false"/>
          <w:smallCaps w:val="false"/>
          <w:sz w:val="20"/>
        </w:rPr>
        <w:t>”) from Seller with respect to the Intangible Property included in the Property (including the Service Agreements) in the form of Exhibit “D”;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duly executed certificate of Seller (the “</w:t>
      </w:r>
      <w:r>
        <w:rPr>
          <w:rFonts w:ascii="Times New Roman;Times;Serif" w:hAnsi="Times New Roman;Times;Serif"/>
          <w:b/>
          <w:i w:val="false"/>
          <w:caps w:val="false"/>
          <w:smallCaps w:val="false"/>
          <w:sz w:val="20"/>
        </w:rPr>
        <w:t>Seller Closing Certificate</w:t>
      </w:r>
      <w:r>
        <w:rPr>
          <w:rFonts w:ascii="Times New Roman;Times;Serif" w:hAnsi="Times New Roman;Times;Serif"/>
          <w:b w:val="false"/>
          <w:i w:val="false"/>
          <w:caps w:val="false"/>
          <w:smallCaps w:val="false"/>
          <w:sz w:val="20"/>
        </w:rPr>
        <w:t>”) in the form of Exhibit “E” updating the representations and warranties contained in Section 7.1 hereof to the Closing Date and noting any changes thereto;</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duly executed certificate of “non-foreign” status in the form of Exhibit “F” from each Seller and any required state withholding or non-foreign status certificate;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200" w:after="200"/>
        <w:ind w:left="0" w:right="0" w:firstLine="288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Evidence reasonably satisfactory to Buyer and Title Company respecting the due organization of Seller and the due authorization and execution of this Agreement and the documents required to be delivered hereunder;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they are then in Seller’s possession, and have not theretofore been delivered to Buyer: (i) any plans and specifications for all Improvements on the Property; (ii) all unexpired warranties and guarantees which Seller has received in connection with any work or services performed with respect to, or equipment installed in, the improvements on the Property; (iii) all keys and other access control devices for all improvements on the Property; (iv) all documents of Seller relating to the Property; and (v) originals of all Service Agreements that will remain in effect after the Closing and all correspondence and records relating to the on-going operations (including tenant billings) and maintenance of the Property (which materials under this clause (e) may be either delivered at Closing or left at the Property). In addition, Seller shall direct its property management company, if any, to deliver any documents or other files of Seller in such management company’s possession to Buyer at the Closing or to be left at the offices of the Property;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additional documents as may be reasonably required by Buyer and Title Company in order to consummate the transactions hereunder (provided the same do not increase in any material respect the costs to, or liability or obligations of, Seller in a manner not otherwise provided for herein).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w:t>
      </w:r>
      <w:r>
        <w:rPr>
          <w:rFonts w:ascii="Times New Roman;Times;Serif" w:hAnsi="Times New Roman;Times;Serif"/>
          <w:b w:val="false"/>
          <w:i w:val="false"/>
          <w:caps w:val="false"/>
          <w:smallCaps w:val="false"/>
          <w:sz w:val="20"/>
          <w:u w:val="single"/>
        </w:rPr>
        <w:t>Buyer Deliveries</w:t>
      </w:r>
      <w:r>
        <w:rPr>
          <w:rFonts w:ascii="Times New Roman;Times;Serif" w:hAnsi="Times New Roman;Times;Serif"/>
          <w:b w:val="false"/>
          <w:i w:val="false"/>
          <w:caps w:val="false"/>
          <w:smallCaps w:val="false"/>
          <w:sz w:val="20"/>
        </w:rPr>
        <w:t>. Buyer shall deliver to Seller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duly executed and acknowledged Assignment and Assumption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certificate of Buyer (the “</w:t>
      </w:r>
      <w:r>
        <w:rPr>
          <w:rFonts w:ascii="Times New Roman;Times;Serif" w:hAnsi="Times New Roman;Times;Serif"/>
          <w:b/>
          <w:i w:val="false"/>
          <w:caps w:val="false"/>
          <w:smallCaps w:val="false"/>
          <w:sz w:val="20"/>
        </w:rPr>
        <w:t>Buyer Closing Certificate</w:t>
      </w:r>
      <w:r>
        <w:rPr>
          <w:rFonts w:ascii="Times New Roman;Times;Serif" w:hAnsi="Times New Roman;Times;Serif"/>
          <w:b w:val="false"/>
          <w:i w:val="false"/>
          <w:caps w:val="false"/>
          <w:smallCaps w:val="false"/>
          <w:sz w:val="20"/>
        </w:rPr>
        <w:t>”) in the form of Exhibit “G” updating the representations and warranties contained in Section 7.2 hereof to the Closing Date and noting any changes thereto;</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Evidence reasonably satisfactory to Seller and Title Company respecting the due organization of Buyer and the due authorization and execution of this Agreement and the documents required to be delivered hereunder;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additional documents as may be reasonably required by Seller and Title Company in or to consummate the transactions hereunder (provided the same do not increase in any material respect the costs to, or liability or obligations of, Buyer in a manner not otherwise provided for herein).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Closing Costs</w:t>
      </w:r>
      <w:r>
        <w:rPr>
          <w:rFonts w:ascii="Times New Roman;Times;Serif" w:hAnsi="Times New Roman;Times;Serif"/>
          <w:b w:val="false"/>
          <w:i w:val="false"/>
          <w:caps w:val="false"/>
          <w:smallCaps w:val="false"/>
          <w:sz w:val="20"/>
        </w:rPr>
        <w:t>. Seller shall pay (1) 50% of all state, county and city transfer taxes payable, if any, in connection with the transfer contemplated herein, and (2) 50% of all escrow charges. Buyer shall pay (1) 50% of all state, county and city transfer taxes payable, if any, in connection with the transfer contemplated herein, (2) 50% of all escrow charges (3) the costs of the title insurance premium for the Owner’s Policy, including extended coverage and any endorsements to the Owner’s Policy, (4) the costs of the Survey, and (5) all fees, costs or expenses in connection with Buyer’s due diligence reviews hereunder. Any other closing costs shall be allocated in accordance with local custom. Except as otherwise provided for in this Agreement, the Buyer and Seller shall each be solely responsible for the fees and disbursements of their respective counsel and other professional advisors.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Prorations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5.4.1      </w:t>
      </w:r>
      <w:r>
        <w:rPr>
          <w:rFonts w:ascii="Times New Roman;Times;Serif" w:hAnsi="Times New Roman;Times;Serif"/>
          <w:b w:val="false"/>
          <w:i w:val="false"/>
          <w:caps w:val="false"/>
          <w:smallCaps w:val="false"/>
          <w:sz w:val="20"/>
          <w:u w:val="single"/>
        </w:rPr>
        <w:t>Items to be Prorated</w:t>
      </w:r>
      <w:r>
        <w:rPr>
          <w:rFonts w:ascii="Times New Roman;Times;Serif" w:hAnsi="Times New Roman;Times;Serif"/>
          <w:b w:val="false"/>
          <w:i w:val="false"/>
          <w:caps w:val="false"/>
          <w:smallCaps w:val="false"/>
          <w:sz w:val="20"/>
        </w:rPr>
        <w:t>. The following shall be prorated between Seller and Buyer as of the beginning of the Closing Date (on the basis of the actual number of days elapsed over the applicable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real property taxes and assessments on the Property for the actual fiscal tax year for which such taxes are assessed (the “</w:t>
      </w:r>
      <w:r>
        <w:rPr>
          <w:rFonts w:ascii="Times New Roman;Times;Serif" w:hAnsi="Times New Roman;Times;Serif"/>
          <w:b/>
          <w:i w:val="false"/>
          <w:caps w:val="false"/>
          <w:smallCaps w:val="false"/>
          <w:sz w:val="20"/>
        </w:rPr>
        <w:t>Current Tax Year</w:t>
      </w:r>
      <w:r>
        <w:rPr>
          <w:rFonts w:ascii="Times New Roman;Times;Serif" w:hAnsi="Times New Roman;Times;Serif"/>
          <w:b w:val="false"/>
          <w:i w:val="false"/>
          <w:caps w:val="false"/>
          <w:smallCaps w:val="false"/>
          <w:sz w:val="20"/>
        </w:rPr>
        <w:t>”) in which the Closing occurs (with Seller and Buyer each being responsible for a pro rata share of such taxes and assessments based upon the number of days in such tax year occurring before the Closing Date, in the case of Seller, and on or after the Closing Date, in the case of Buyer). Seller shall be responsible for all taxes and assessments for any tax year prior to the Current Tax Year. However, in no event shall Seller be charged with or be responsible for any increase in the taxes on the Property resulting from the sale contemplated hereby or from any improvements made or leases entered into on or after the Closing. If any assessments on the Property are payable in installments, then the installment for the current period shall be prorated (with Buyer being allocated the obligation to pay any installments due after the Closing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5.4.2      </w:t>
      </w:r>
      <w:r>
        <w:rPr>
          <w:rFonts w:ascii="Times New Roman;Times;Serif" w:hAnsi="Times New Roman;Times;Serif"/>
          <w:b w:val="false"/>
          <w:i w:val="false"/>
          <w:caps w:val="false"/>
          <w:smallCaps w:val="false"/>
          <w:sz w:val="20"/>
          <w:u w:val="single"/>
        </w:rPr>
        <w:t>Calculation</w:t>
      </w:r>
      <w:r>
        <w:rPr>
          <w:rFonts w:ascii="Times New Roman;Times;Serif" w:hAnsi="Times New Roman;Times;Serif"/>
          <w:b w:val="false"/>
          <w:i w:val="false"/>
          <w:caps w:val="false"/>
          <w:smallCaps w:val="false"/>
          <w:sz w:val="20"/>
        </w:rPr>
        <w:t>. The prorations and payments shall be made on the basis of a written statement submitted to Buyer and Seller by Escrow Agent prior to the Close of Escrow and approved by Buyer and Seller. Any item which cannot be finally prorated because of the unavailability of information shall be tentatively prorated on the basis of the best data then available and reprorated when the information is available. In the event any prorations or apportionments made under this Section 5.4.2 shall prove to be incorrect for any reason, then any party shall be entitled to an adjustment to correct the same provided a written request identifying the error in reasonable detail is given to the other party no later than three (3) months after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Condemnation or Destruction of Property</w:t>
      </w:r>
      <w:r>
        <w:rPr>
          <w:rFonts w:ascii="Times New Roman;Times;Serif" w:hAnsi="Times New Roman;Times;Serif"/>
          <w:b w:val="false"/>
          <w:i w:val="false"/>
          <w:caps w:val="false"/>
          <w:smallCaps w:val="false"/>
          <w:sz w:val="20"/>
        </w:rPr>
        <w:t>. In the event that, after the date hereof but prior to the Closing Date, either any portion of the Property is taken pursuant to eminent domain proceedings or any of the improvements on the Property are damaged or destroyed, Seller shall be required to give Buyer prompt written notice of the same. Seller shall deliver and assign to Buyer, upon consummation of the transaction herein provided, all claims of Seller respecting any condemnation or casualty insurance coverage, as applicable, and all condemnation proceeds or proceeds from any such casualty insurance received by Seller on account of any casualty (except to the extent required for collection costs or repairs by Seller prior to the Closing Date), as applicable. In connection with any assignment of insurance proceeds hereunder, Buyer shall be credited with an amount equal to the applicable deductible amount under Seller’s insurance (except to the extent required for collection costs or repairs by Seller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Representations and Warranties of Seller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 Disclaimer</w:t>
      </w:r>
      <w:r>
        <w:rPr>
          <w:rFonts w:ascii="Times New Roman;Times;Serif" w:hAnsi="Times New Roman;Times;Serif"/>
          <w:b w:val="false"/>
          <w:i w:val="false"/>
          <w:caps w:val="false"/>
          <w:smallCaps w:val="false"/>
          <w:sz w:val="20"/>
        </w:rPr>
        <w:t xml:space="preserve">. Except as specifically set forth in Section 7.1.1 below, the Deed and the Assignment and Assumption Agreement, the sale of the Property hereunder is and will be made on an “AS IS, WHERE IS” basis, without representations and warranties of any kind or nature, express, implied or otherwise, including any representation or warranty concerning title to the Property, the physical condition of the Property (including the condition of the soil or the Improvements), the environmental condition of the Property (including the presence or absence of hazardous substances on or respecting the Property), the compliance of the Property with applicable laws and regulations (including zoning and building codes or the status of development or use rights respecting the Property), the financial condition of the Property or any other representation or warranty respecting any income, expenses, charges, liens or encumbrances, rights or claims on, affecting or pertaining to the Property or any part thereof. Buyer acknowledges that, during the Due Diligence Period, Buyer will examine, review and inspect all matters which in Buyer’s judgment bear upon the Property and its value and suitability for Buyer’s purposes. Except as to matters specifically set forth in Section 7.1.1 below, the Deed and the Assignment and Assumption Agreement, Buyer will proceed with the closing contemplated hereby solely on the basis of its own physical and financial examinations, reviews and inspections and the title insurance protection afforded by the Owner’s Policy. Buyer acknowledges that neither Seller nor any of its affiliates, nor any of the respective agents or representatives thereof, have made any representations or held out any inducements to Buyer, and Seller hereby specifically and expressly disclaims any representation, oral or written, past, present or future, other than those specifically and expressly set forth in Section 7.1.1 hereof or the Deed or the Assignment and Assumption Agreement. </w:t>
      </w:r>
      <w:r>
        <w:rPr>
          <w:rFonts w:ascii="Times New Roman;Times;Serif" w:hAnsi="Times New Roman;Times;Serif"/>
          <w:b w:val="false"/>
          <w:i w:val="false"/>
          <w:caps/>
          <w:sz w:val="20"/>
        </w:rPr>
        <w:t>Buyer or anyone claiming by, through or under Buyer, hereby fully and irrevocably releases Seller and its Affiliates, and the respective agents and representatives thereof, from any and all claims that Buyer may now have or hereafter acquire against Seller or any of its Affiliates, or any of the respective agents or representatives thereof for any cost, loss, liability, damage, expense, action or cause of action, whether foreseen or unforeseen, arising from or related to any construction defects, errors or omissions on or in the Assets, the presence of environmentally hazardous, toxic or dangerous substances, or any other conditions (whether patent, latent or otherwise) affecting the Assets OTHER THAN TO THE EXTENT RELATING TO A BREACH OF THE REPRESENTATIONS AND WARRANTIES SET FORTH IN SECTION 7.1.1 OR THE DEED OR ASSIGNMENT AND ASSUMPTION AGREEMENT. Buyer further acknowledges and agrees that this release shall be given full force and effect according to each of its expressed terms and provisions, including, but not limited to, those relating to unknown and suspected claims, damages and causes of action. As a material covenant and condition of this Agreement, Buyer agrees that in the event of any such construction defects, errors or omissions, the presence of environmentally hazardous, toxic or dangerous substances, or any other conditions affecting the Assets, Buyer shall look solely to any contractors or other third parties which may otherwise be liable with respect to any of the foregoing for any redress or relief OTHER THAN TO THE EXTENT RELATING TO A BREACH OF THE REPRESENTATIONS AND WARRANTIES SET FORTH IN SECTION 7.1.1 OR THE DEED OR ASSIGNMENT AND ASSUMPTION AGREEMENT. Except as expressly provided herein, to the fullest extent permitted by law, Buyer hereby waives any and all rights and benefits against seller that it now has, or in the future may have, conferred upon it by virtue of any applicable state, federal, or local law, rule, or regulation as a result of any alleged inaccuracy or incompleteness of the information or the purchase of the Assets, including any environmental law, rule, or regulation whether federal, state or local, including, without limitation, the Comprehensive Environmental Response, Compensation and Liability Act of 1980 (42 U.S.C. §§9601 et seq.) as amended by the Superfund Amendments and Reauthorization Act of 1986, and any analogous federal or state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sz w:val="20"/>
        </w:rPr>
        <w:t>Buyer’s election to execute this Agreement and to close on this transaction shall be deemed an acknowledgment by Buyer that Buyer has inspected the Assets, is thoroughly acquainted with and accepts their condition SUBJECT TO THE REPRESENTATIONS AND WARRANTIES SET FORTH IN SECTION 7.1.1 AND THE DEED AND ASSIGNMENT AND ASSUMPTION AGREEMENT, and has reviewed, to the extent necessary in its discretion, all the Property Information. Seller shall not be liable or bound in any manner by any oral or written “setups” or information pertaining to the Assets furnished by Seller, any of its Affiliates or any of the respective agents or representatives thereof, any real estate broker, or any other Person OTHER THAN TO THE EXTENT RELATING TO A BREACH OF THE REPRESENTATIONS AND WARRANTIES SET FORTH IN SECTION 7.1.1 OR THE DEED OR ASSIGNMENT AND ASSUMPTION AGREEMENT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w:t>
      </w:r>
      <w:r>
        <w:rPr>
          <w:rFonts w:ascii="Times New Roman;Times;Serif" w:hAnsi="Times New Roman;Times;Serif"/>
          <w:b w:val="false"/>
          <w:i w:val="false"/>
          <w:caps w:val="false"/>
          <w:smallCaps w:val="false"/>
          <w:sz w:val="20"/>
          <w:u w:val="single"/>
        </w:rPr>
        <w:t>Limited Representations and Warranties of Seller</w:t>
      </w:r>
      <w:r>
        <w:rPr>
          <w:rFonts w:ascii="Times New Roman;Times;Serif" w:hAnsi="Times New Roman;Times;Serif"/>
          <w:b w:val="false"/>
          <w:i w:val="false"/>
          <w:caps w:val="false"/>
          <w:smallCaps w:val="false"/>
          <w:sz w:val="20"/>
        </w:rPr>
        <w:t>. Seller hereby represents and warrants to Buyer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There are no leases (or other agreements regarding use or occupancy) of space in the Property which will be in force on the Closing Date and under which Seller is the landlord (whether by entering into the leases or acquiring the Property subject to the leases).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for any action taken by East West Bank, including (i) in the Canadian Proceeding or the Chapter 15 Proceeding and (ii) its contemplated foreclosure action with respect to the Property, there is no pending (and Seller has not received any written notice of any threatened) action, litigation, arbitration, mediation, reference, condemnation or other proceeding (collectively,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involving any portion of the Property or against Seller and Seller is not aware of any Proceeding involving any portion of the Property (other than routine slip and fall claims covered by insurance) that has previously been settled or otherwise concluded. Seller has no knowledge of any contemplated condemnation or existing or contemplated special assessment affecting any portion of the Property.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200" w:after="200"/>
        <w:ind w:left="0" w:right="0" w:firstLine="288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Seller has received no written notice to the effect that the Property is not in compliance with applicable laws and ordinances or that there has been or may be an investigation of the Property by any governmental authority having jurisdiction over the Property.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Service Agreements</w:t>
      </w:r>
      <w:r>
        <w:rPr>
          <w:rFonts w:ascii="Times New Roman;Times;Serif" w:hAnsi="Times New Roman;Times;Serif"/>
          <w:b w:val="false"/>
          <w:i w:val="false"/>
          <w:caps w:val="false"/>
          <w:smallCaps w:val="false"/>
          <w:sz w:val="20"/>
        </w:rPr>
        <w:t>. Other than contracts constituting Transferred Assets under the Asset Purchase Agreement, Seller has not entered into any service agreements, equipment leasing contracts or other contracts relating to the Property which will be in force after the Closing, except for the Service Agreements and contracts recorded as of the date of this Agreement in the official records of the county in which the Property is located. As used herein, the “</w:t>
      </w:r>
      <w:r>
        <w:rPr>
          <w:rFonts w:ascii="Times New Roman;Times;Serif" w:hAnsi="Times New Roman;Times;Serif"/>
          <w:b/>
          <w:i w:val="false"/>
          <w:caps w:val="false"/>
          <w:smallCaps w:val="false"/>
          <w:sz w:val="20"/>
        </w:rPr>
        <w:t>Service Agreements</w:t>
      </w:r>
      <w:r>
        <w:rPr>
          <w:rFonts w:ascii="Times New Roman;Times;Serif" w:hAnsi="Times New Roman;Times;Serif"/>
          <w:b w:val="false"/>
          <w:i w:val="false"/>
          <w:caps w:val="false"/>
          <w:smallCaps w:val="false"/>
          <w:sz w:val="20"/>
        </w:rPr>
        <w:t>” means, collectively, (a) contracts described in Exhibit “H”, and (b) contracts entered into in accordance with this Agreement. The Service Agreements are in full force and effect, have not been amended and, to Seller’s knowledge, are free from monetary default or material non-monetary default.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This Agreement and all agreements, instruments and documents herein provided to be executed or to be caused to be executed by Seller is and on the Closing Date will be duly authorized, executed and delivered by and are binding upon Seller. Seller is a limited liability company, duly organized and validly existing and in good standing under the laws of the State of Maryland, and is qualified to do business in the State of Maryland. Seller has the capacity and authority to enter into this Agreement and consummate the transactions herein provided without the consent or joinder of any other party.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Consents; No Conflict</w:t>
      </w:r>
      <w:r>
        <w:rPr>
          <w:rFonts w:ascii="Times New Roman;Times;Serif" w:hAnsi="Times New Roman;Times;Serif"/>
          <w:b w:val="false"/>
          <w:i w:val="false"/>
          <w:caps w:val="false"/>
          <w:smallCaps w:val="false"/>
          <w:sz w:val="20"/>
        </w:rPr>
        <w:t>. Seller’s organizational documents as made available to Buyer’s counsel (collectively, the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are complete and correct in all material respects, and no amendments thereto are pending as of the date hereof (except to the extent expressly contemplated by this Agreement). Seller is not in default under any provision of its Governing Documents. Seller has the full power and authority to execute and deliver this Agreement and to perform its obligations hereunder. The necessary governing body of Seller has duly approved, authorized the execution, delivery, and consummation of this Agreement. This Agreement has been duly executed and delivered by Seller and constitutes a legal, valid and binding obligation of Seller against Seller in accordance with its terms, except as may be limited by bankruptcy, insolvency, reorganization or other Laws affecting creditors’ rights generally and by general equitable principles.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Seller is and for the past three (3) years has been in compliance, in all material respects, with all applicable Environmental Laws (as defined in the Asset Purchase Agreement). Seller possesses all Permits (as defined in the Asset Purchase Agreement) required by Environmental Laws to operate the business as conducted as of the Closing Date, and there are no proceedings or threat to revoke, terminate, or adversely modify any such Permit. Seller has not received any notice of violation, claims alleging liability, or written request for information pursuant to Environmental Laws, which, in each case, either remains pending or unresolved, or is the source of ongoing obligations or requirements. There are no facts, circumstances, or conditions that could reasonably be expected to result in such an occurrence. There has been no Release of Hazardous Material (as defined in the Asset Purchase Agreement) in contravention of or so as to give rise to liability under any Environmental Laws with respect to the business or assets of Seller used or with respect to the Property. Seller has not retained or assumed by contract or operation of Law (as defined in the Asset Purchase Agreement), any liabilities or obligations of any third party under Environmental Laws. The representations and warranties contained in this Section 7.1.1(g) constitute the sole and exclusive representations and warranties of Seller relating to any Environmental Law.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200" w:after="200"/>
        <w:ind w:left="0" w:right="0" w:firstLine="288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Neither Seller nor any of Seller’s Affiliates, nor any of their respective brokers or other agents acting in any capacity in connection with the transactions contemplated by this Agreement, is or will be (a) conducting any business or engaging in any transaction or dealing with any person appearing on the U.S. Treasury Department’s OFAC list of prohibited countries, territories, “specifically designated nationals” or “blocked person” (each a “</w:t>
      </w:r>
      <w:r>
        <w:rPr>
          <w:rFonts w:ascii="Times New Roman;Times;Serif" w:hAnsi="Times New Roman;Times;Serif"/>
          <w:b/>
          <w:i w:val="false"/>
          <w:caps w:val="false"/>
          <w:smallCaps w:val="false"/>
          <w:sz w:val="20"/>
        </w:rPr>
        <w:t>Prohibited Person</w:t>
      </w:r>
      <w:r>
        <w:rPr>
          <w:rFonts w:ascii="Times New Roman;Times;Serif" w:hAnsi="Times New Roman;Times;Serif"/>
          <w:b w:val="false"/>
          <w:i w:val="false"/>
          <w:caps w:val="false"/>
          <w:smallCaps w:val="false"/>
          <w:sz w:val="20"/>
        </w:rPr>
        <w:t>”) (which lists can be accessed at the following web address: http://www.ustreas.gov/offices/enforcement/ofac/), including the making or receiving of any contribution of funds, goods or services to or for the benefit of any such Prohibited Person; (b) engaging in certain dealings with countries and organizations designated under Section 311 of the USA PATRIOT Act as warranting special measures due to money laundering concerns; (c) dealing in, or otherwise engaging in any transaction relating to, any property or interests in property blocked pursuant to Executive Order No. 13224 dated September 24, 2001, relating to “Blocking Property and Prohibiting Transactions With Persons Who Commit, Threaten to Commit, or Support Terrorism”; (d) a foreign shell bank or any person that a financial institution would be prohibited from transacting with under the USA PATRIOT Act; or (e) engaging in or conspiring to engage in any transaction that evades or avoids, or has the purpose of evading or avoiding, or attempting to violate, any of the prohibitions set forth in (i) any U.S. anti-money laundering law, (ii) the Foreign Corrupt Practices Act, (iii) the U.S. mail and wire fraud statutes, (iv) the Travel Act, (v) any similar or successor statutes or (vi) any regulations promulgated under the foregoing statutes.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Plan Assets</w:t>
      </w:r>
      <w:r>
        <w:rPr>
          <w:rFonts w:ascii="Times New Roman;Times;Serif" w:hAnsi="Times New Roman;Times;Serif"/>
          <w:b w:val="false"/>
          <w:i w:val="false"/>
          <w:caps w:val="false"/>
          <w:smallCaps w:val="false"/>
          <w:sz w:val="20"/>
        </w:rPr>
        <w:t>. Seller is not (and, throughout the period transactions are occurring pursuant to this Agreement, will not be) and is not acting on behalf of (and, throughout the period transactions are occurring pursuant to this Agreement, will not be acting on behalf of) an “employee benefit plan” as defined in Section 3(3) of the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that is subject to Title I of ERISA, a “plan” as defined in and subject to Section 4975 of the Code or an entity deemed to hold the plan assets of any of the foregoing pursuant to 29 C.F.R. Section 2510.3-101, as modified by Section 3(42) of ERISA.</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Existing Indebtedness</w:t>
      </w:r>
      <w:r>
        <w:rPr>
          <w:rFonts w:ascii="Times New Roman;Times;Serif" w:hAnsi="Times New Roman;Times;Serif"/>
          <w:b w:val="false"/>
          <w:i w:val="false"/>
          <w:caps w:val="false"/>
          <w:smallCaps w:val="false"/>
          <w:sz w:val="20"/>
        </w:rPr>
        <w:t>. To Seller’s knowledge, the Existing Loan Documents are in full force and effect and have not been modified. The Existing Loan Documents may be modified by agreement between the Seller and East West Bank to provide for a process for the Seller to sell the Property to Buyer.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200" w:after="200"/>
        <w:ind w:left="0" w:right="0" w:firstLine="288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Representations and Warranties of Buyer</w:t>
      </w:r>
      <w:r>
        <w:rPr>
          <w:rFonts w:ascii="Times New Roman;Times;Serif" w:hAnsi="Times New Roman;Times;Serif"/>
          <w:b w:val="false"/>
          <w:i w:val="false"/>
          <w:caps w:val="false"/>
          <w:smallCaps w:val="false"/>
          <w:sz w:val="20"/>
        </w:rPr>
        <w:t>. Buyer hereby represents and warrants to Seller: (1) this Agreement and all agreements, instruments and documents herein provided to be executed or to be caused to be executed by Buyer are and on the Closing Date will be duly authorized, executed and delivered by and are binding upon Buyer; (2) Buyer is a limited liability company, duly organized and validly existing and in good standing under the laws of the State of Delaware; and Buyer is duly authorized and qualified to do all things required of it under this Agreement; and (3) Buyer has the capacity and authority to enter into this Agreement and consummate the transactions herein provided without the consent or joinder of any other party (except as otherwise may be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Each of Buyer and Seller represents and warrants to the other that neither it nor, to its knowledge, any of its affiliates, officers, directors, members, managers, partners, shareholders, beneficial owners, or other principals is, or is acting on behalf of, a person or entity that is the target of any sanctions administered or enforced by the Office of Foreign Assets Control of the U.S. Department of the Treasury or any other applicable governmental authority, including any person or entity listed on the Specially Designated Nationals and Blocked Persons List or any other applicable sanctions-related list. Each of Buyer and Seller further represents and warrants that it is not located, organized, or resident in a country or territory that is the subject of comprehensive U.S. sanctions, and that the transaction contemplated by this Agreement will not cause either party to violate any applicable sanctions, anti-money laundering, anti-terrorism, or similar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Any cause of action of a party (the “</w:t>
      </w:r>
      <w:r>
        <w:rPr>
          <w:rFonts w:ascii="Times New Roman;Times;Serif" w:hAnsi="Times New Roman;Times;Serif"/>
          <w:b/>
          <w:i w:val="false"/>
          <w:caps w:val="false"/>
          <w:smallCaps w:val="false"/>
          <w:sz w:val="20"/>
        </w:rPr>
        <w:t>Benefiting Party</w:t>
      </w:r>
      <w:r>
        <w:rPr>
          <w:rFonts w:ascii="Times New Roman;Times;Serif" w:hAnsi="Times New Roman;Times;Serif"/>
          <w:b w:val="false"/>
          <w:i w:val="false"/>
          <w:caps w:val="false"/>
          <w:smallCaps w:val="false"/>
          <w:sz w:val="20"/>
        </w:rPr>
        <w:t>”) under this Agreement for a breach of the representations and warranties contained in Section 7.1.1(e) or Section 7.2 of this Agreement or any certificate delivered in connection therewith by the other party (the “</w:t>
      </w:r>
      <w:r>
        <w:rPr>
          <w:rFonts w:ascii="Times New Roman;Times;Serif" w:hAnsi="Times New Roman;Times;Serif"/>
          <w:b/>
          <w:i w:val="false"/>
          <w:caps w:val="false"/>
          <w:smallCaps w:val="false"/>
          <w:sz w:val="20"/>
        </w:rPr>
        <w:t>Obligated Party</w:t>
      </w:r>
      <w:r>
        <w:rPr>
          <w:rFonts w:ascii="Times New Roman;Times;Serif" w:hAnsi="Times New Roman;Times;Serif"/>
          <w:b w:val="false"/>
          <w:i w:val="false"/>
          <w:caps w:val="false"/>
          <w:smallCaps w:val="false"/>
          <w:sz w:val="20"/>
        </w:rPr>
        <w:t>”) shall survive until the date that is three (3) years after the Closing Date (the period beginning on the date hereof and ending on such date being herein called the “</w:t>
      </w:r>
      <w:r>
        <w:rPr>
          <w:rFonts w:ascii="Times New Roman;Times;Serif" w:hAnsi="Times New Roman;Times;Serif"/>
          <w:b/>
          <w:i w:val="false"/>
          <w:caps w:val="false"/>
          <w:smallCaps w:val="false"/>
          <w:sz w:val="20"/>
        </w:rPr>
        <w:t>Survival Period</w:t>
      </w:r>
      <w:r>
        <w:rPr>
          <w:rFonts w:ascii="Times New Roman;Times;Serif" w:hAnsi="Times New Roman;Times;Serif"/>
          <w:b w:val="false"/>
          <w:i w:val="false"/>
          <w:caps w:val="false"/>
          <w:smallCaps w:val="false"/>
          <w:sz w:val="20"/>
        </w:rPr>
        <w:t>”), at which time such representations and warranties (and any cause of action resulting from a breach thereof) shall terminate except as to any breach with respect to which the Benefiting Party gives the Obligated Party written notice (identifying such breach with reasonable detail) on or before the date that is three (3) years after the Closing Date. For the avoidance of doubt, all other representations and warranties of Seller and all other representations and warranties of Buyer set forth in this Section 7 shall merge with the transfer of title and shall not survive Closing. If the Closing takes place, Seller shall have no liability with respect to any claim which Buyer may have against Seller for a breach of any such representation or warranty, whether such breach is known or unknown.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w:t>
      </w:r>
      <w:r>
        <w:rPr>
          <w:rFonts w:ascii="Times New Roman;Times;Serif" w:hAnsi="Times New Roman;Times;Serif"/>
          <w:b w:val="false"/>
          <w:i w:val="false"/>
          <w:caps w:val="false"/>
          <w:smallCaps w:val="false"/>
          <w:sz w:val="20"/>
        </w:rPr>
        <w:t>. When a statement is made under this Agreement to the “</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of a party (or other similar phrase), it means that none of the Designated Representatives of such party has any actual knowledge (without further investigation) of any facts indicating that such statement is not true. Each Designated Representative shall be deemed to have actual knowledge of any matter received by such Designated Representative in writing. None of the Designated Individuals shall have any personal liability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Designated Representatives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Designated Representatives</w:t>
      </w:r>
      <w:r>
        <w:rPr>
          <w:rFonts w:ascii="Times New Roman;Times;Serif" w:hAnsi="Times New Roman;Times;Serif"/>
          <w:b w:val="false"/>
          <w:i w:val="false"/>
          <w:caps w:val="false"/>
          <w:smallCaps w:val="false"/>
          <w:sz w:val="20"/>
        </w:rPr>
        <w:t>” are limited to the following individuals: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Seller: David Sirolly;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Buyer: Tyson Macdonald.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Interim Covenants of Seller</w:t>
      </w:r>
      <w:r>
        <w:rPr>
          <w:rFonts w:ascii="Times New Roman;Times;Serif" w:hAnsi="Times New Roman;Times;Serif"/>
          <w:b w:val="false"/>
          <w:i w:val="false"/>
          <w:caps w:val="false"/>
          <w:smallCaps w:val="false"/>
          <w:sz w:val="20"/>
        </w:rPr>
        <w:t>. Until the Closing Date or the sooner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Maintenance and Operation</w:t>
      </w:r>
      <w:r>
        <w:rPr>
          <w:rFonts w:ascii="Times New Roman;Times;Serif" w:hAnsi="Times New Roman;Times;Serif"/>
          <w:b w:val="false"/>
          <w:i w:val="false"/>
          <w:caps w:val="false"/>
          <w:smallCaps w:val="false"/>
          <w:sz w:val="20"/>
        </w:rPr>
        <w:t>. Seller shall maintain and operate the Property in substantially the same manner as prior hereto pursuant to its normal course of business (such maintenance obligations not including extraordinary capital expenditures or expenditures not incurred in such normal course of business), subject to reasonable wear and tear and further subject to destruction by casualty or other events beyond the reasonable control of Seller. Without limitation of the foregoing, Seller shall use commercially reasonable efforts to maintain its current insurance.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Service Agreements</w:t>
      </w:r>
      <w:r>
        <w:rPr>
          <w:rFonts w:ascii="Times New Roman;Times;Serif" w:hAnsi="Times New Roman;Times;Serif"/>
          <w:b w:val="false"/>
          <w:i w:val="false"/>
          <w:caps w:val="false"/>
          <w:smallCaps w:val="false"/>
          <w:sz w:val="20"/>
        </w:rPr>
        <w:t>. Seller shall not enter into, materially modify or terminate any additional service contracts or other similar agreements relating to the Property or materially modify or terminate the Service Agreements without the prior consent of Buyer. Seller shall deliver notices of termination on the Closing Date with respect to any Service Agreements identified by Buyer in a written notice from Buyer to Seller prior to Closing stating Buyer’s intention to have such contracts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Seller shall not enter into any new leases or material modifications or terminations of new leases without Buyer’s prior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Access to the Property</w:t>
      </w:r>
      <w:r>
        <w:rPr>
          <w:rFonts w:ascii="Times New Roman;Times;Serif" w:hAnsi="Times New Roman;Times;Serif"/>
          <w:b w:val="false"/>
          <w:i w:val="false"/>
          <w:caps w:val="false"/>
          <w:smallCaps w:val="false"/>
          <w:sz w:val="20"/>
        </w:rPr>
        <w:t>. Seller shall continue to give Buyer access to the Property in accordance with and subject to the provisions of Section 4.2.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Encumbrances</w:t>
      </w:r>
      <w:r>
        <w:rPr>
          <w:rFonts w:ascii="Times New Roman;Times;Serif" w:hAnsi="Times New Roman;Times;Serif"/>
          <w:b w:val="false"/>
          <w:i w:val="false"/>
          <w:caps w:val="false"/>
          <w:smallCaps w:val="false"/>
          <w:sz w:val="20"/>
        </w:rPr>
        <w:t>. Seller shall not encumber the Property with any mortgages, deeds of trust or other encumbrances except for the Existing Loan Documents or as otherwise expressly permitted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Default Remedies; Specific Performance</w:t>
      </w:r>
      <w:r>
        <w:rPr>
          <w:rFonts w:ascii="Times New Roman;Times;Serif" w:hAnsi="Times New Roman;Times;Serif"/>
          <w:b w:val="false"/>
          <w:i w:val="false"/>
          <w:caps w:val="false"/>
          <w:smallCaps w:val="false"/>
          <w:sz w:val="20"/>
        </w:rPr>
        <w:t>. Except to the extent set forth otherwise in this Agreement, all remedies under this Agreement expressly conferred upon Buyer or Seller, as the case may be, will be deemed cumulative with and not exclusive of any other remedy conferred hereby, or by applicable law or equity upon such party, and the exercise by a party of any one remedy will not preclude the exercise of any other remedy. Each party acknowledges and affirms that in the event any of the provisions of this Agreement are not performed in accordance with their specific terms or otherwise are breached, money damages would be inadequate (and therefore the non-breaching party would have no adequate remedy at law) and the non-breaching party would be irreparably damaged. Accordingly, each party agrees that each other party shall be entitled to seek specific performance, an injunction or other equitable relief (without posting of bond or other security or needing to prove irreparable harm) to prevent breaches of the provisions of this Agreement and to enforce specifically this Agreement and the terms and provisions hereof in any proceeding instituted in any court of the United States or any state thereof having jurisdiction over the parties and the matter, in addition to any other remedy to which such person may be entitled, at law or in equity. Furthermore, each party agrees not to raise any objections to the availability of the equitable remedy of specific performance to prevent or restrain breaches of this Agreement, and to specifically enforce the terms of this Agreement to prevent breaches or threatened breaches of, or to enforce compliance with, the covenants and obligations of such party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East West Bank</w:t>
      </w:r>
      <w:r>
        <w:rPr>
          <w:rFonts w:ascii="Times New Roman;Times;Serif" w:hAnsi="Times New Roman;Times;Serif"/>
          <w:b w:val="false"/>
          <w:i w:val="false"/>
          <w:caps w:val="false"/>
          <w:smallCaps w:val="false"/>
          <w:sz w:val="20"/>
        </w:rPr>
        <w:t>. Buyer acknowledges and agrees that the Seller may enter into an agreement with East West Bank that contemplates the commencement of a foreclosure action with respect to the Property. Notwithstanding anything to the contrary in this agreement, Buyer acknowledges and agrees that the commencement of a foreclosure action by East West Bank shall not result in a breach of this agreement or give rise to a termination right by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Seller represents and warrants to Buyer, and Buyer represents and warrants to Seller, that no broker or finder has been engaged by it, in connection with the sale contemplated by this Agreement. In the event of a claim for broker’s or finder’s fee or commissions in connection with the sale contemplated by this Agreement, then Seller shall indemnify, defend and hold harmless Buyer from the same if it shall be based upon any statement or agreement alleged to have been made by Seller, and Buyer shall indemnify, defend and hold harmless Seller from the same if it shall be based upon any statement or agreement alleged to have been made by Buyer. The indemnification obligations under this Section 11.1 shall survive the closing of the transactions hereunder or the earlier termination of this Agreement until the expiration of the Survival Period, at which time such obligations (and any cause of action hereunder not then in litigation) shall terminate.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Except as otherwise expressly provided herein, all warranties, representations, covenants, obligations and agreements contained in this Agreement shall survive the Closing and the transfer and conveyance of the Property hereunder and any and all performances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Further Instruments</w:t>
      </w:r>
      <w:r>
        <w:rPr>
          <w:rFonts w:ascii="Times New Roman;Times;Serif" w:hAnsi="Times New Roman;Times;Serif"/>
          <w:b w:val="false"/>
          <w:i w:val="false"/>
          <w:caps w:val="false"/>
          <w:smallCaps w:val="false"/>
          <w:sz w:val="20"/>
        </w:rPr>
        <w:t>. Each party will, whenever and as often as it shall be requested so to do by the other, cause to be executed, acknowledged or delivered any and all such further instruments and documents as may be necessary or proper, in the reasonable opinion of the requesting party, in order to carry out the intent and purpose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waiver by a party of any breach of this Agreement or of any warranty or representation hereunder by the other party shall be deemed to be a waiver of any other breach by such other party (whether preceding or succeeding and whether or not of the same or similar nature), and no acceptance of payment or performance by a party after any breach by the other party shall be deemed to be a waiver of any breach of this Agreement or of any representation or warranty hereunder by such other party, whether or not the first party knows of such breach at the time it accepts such payment or performance. No failure or delay by a party to exercise any right it may have by reason of the default of the other party shall operate as a waiver of default or modification of this Agreement or shall prevent the exercise of any right by the first party while the other party continues to be so in default. Closing shall constitute a waiver of any condition to Closing, but shall not constitute a waiver of liability for a breach occurring prior to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Except as otherwise expressly provided herein, any approval or consent provided to be given by a party hereunder must be in writing to be effective and may be given or withheld in the sole and absolute discretion of such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Press Releases</w:t>
      </w:r>
      <w:r>
        <w:rPr>
          <w:rFonts w:ascii="Times New Roman;Times;Serif" w:hAnsi="Times New Roman;Times;Serif"/>
          <w:b w:val="false"/>
          <w:i w:val="false"/>
          <w:caps w:val="false"/>
          <w:smallCaps w:val="false"/>
          <w:sz w:val="20"/>
        </w:rPr>
        <w:t>. Any press release issued with respect to the transactions contemplated by this Agreement shall be subject to the prior approval of Buyer and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Modification</w:t>
      </w:r>
      <w:r>
        <w:rPr>
          <w:rFonts w:ascii="Times New Roman;Times;Serif" w:hAnsi="Times New Roman;Times;Serif"/>
          <w:b w:val="false"/>
          <w:i w:val="false"/>
          <w:caps w:val="false"/>
          <w:smallCaps w:val="false"/>
          <w:sz w:val="20"/>
        </w:rPr>
        <w:t>. This Agreement may not be modified or amended except by written agreement signed by Seller, Parent and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Matters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11.8.1     </w:t>
      </w:r>
      <w:r>
        <w:rPr>
          <w:rFonts w:ascii="Times New Roman;Times;Serif" w:hAnsi="Times New Roman;Times;Serif"/>
          <w:b w:val="false"/>
          <w:i w:val="false"/>
          <w:caps w:val="false"/>
          <w:smallCaps w:val="false"/>
          <w:sz w:val="20"/>
          <w:u w:val="single"/>
        </w:rPr>
        <w:t>Incorporation of Exhibits</w:t>
      </w:r>
      <w:r>
        <w:rPr>
          <w:rFonts w:ascii="Times New Roman;Times;Serif" w:hAnsi="Times New Roman;Times;Serif"/>
          <w:b w:val="false"/>
          <w:i w:val="false"/>
          <w:caps w:val="false"/>
          <w:smallCaps w:val="false"/>
          <w:sz w:val="20"/>
        </w:rPr>
        <w:t>. All exhibits attached and referred to in this Agreement are hereby incorporated herein as fully set forth in (and shall be deemed to be a part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contains the entire agreement between the parties respecting the matters herein set forth and supersedes all prior agreements between the parties hereto respecting such matters.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11.8.3     </w:t>
      </w:r>
      <w:r>
        <w:rPr>
          <w:rFonts w:ascii="Times New Roman;Times;Serif" w:hAnsi="Times New Roman;Times;Serif"/>
          <w:b w:val="false"/>
          <w:i w:val="false"/>
          <w:caps w:val="false"/>
          <w:smallCaps w:val="false"/>
          <w:sz w:val="20"/>
          <w:u w:val="single"/>
        </w:rPr>
        <w:t>Non-Business Days</w:t>
      </w:r>
      <w:r>
        <w:rPr>
          <w:rFonts w:ascii="Times New Roman;Times;Serif" w:hAnsi="Times New Roman;Times;Serif"/>
          <w:b w:val="false"/>
          <w:i w:val="false"/>
          <w:caps w:val="false"/>
          <w:smallCaps w:val="false"/>
          <w:sz w:val="20"/>
        </w:rPr>
        <w:t>. Whenever action must be taken (including the giving of notice or the delivery of documents) under this Agreement during a certain period of time (or by a particular date) that ends (or occurs) on a non-business day, then such period (or date) shall be extended until the immediately following business day. As used herein,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federal, Illinois or Maryland state holiday.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Agreement or the application thereof to any person or circumstance shall, to any extent, be invalid or unenforceable, the remainder of this Agreement, or the application of such term or provision to persons or circumstances other than those as to which it is held invalid or unenforceable, shall not be affected thereby, and each such term and provision of this Agreement shall be valid and be enforced to the fullest extent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Words used in the singular shall include the plural, and vice-versa, and any gender shall be deemed to include the other. Whenever the words “including”, “include” or “includes” are used in this Agreement, they shall be interpreted in a non-exclusive manner. The captions and headings of the Sections of this Agreement are for convenience of reference only, and shall not be deemed to define or limit the provisions hereof. Except as otherwise indicated, all Exhibit and Section references in this Agreement shall be deemed to refer to the Exhibits and Sections in this Agreement. Each party acknowledges and agrees that this Agreement (a) has been reviewed by it and its counsel, (b) is the product of negotiations between the parties, and (c) shall not be deemed prepared or drafted by any one party. In the event of any dispute between the parties concerning this Agreement, the parties agree that any ambiguity in the language of this Agreement is to not to be resolved against Seller or Buyer, but shall be given a reasonable interpretation in accordance with the plain meaning of the terms of this Agreement and the intent of the parties as manifested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CONSTRUED AND ENFORCED IN ACCORDANCE WITH THE INTERNAL LAWS OF THE STATE OF DELAWARE (WITHOUT REGARD TO CONFLICTS OF LAW) EXCEPT TO THE EXTENT THAT APPLICABLE LAW IN THE STATE IN WHICH THE PROPERTY IS LOCATED REQUIRES THAT THE APPLICABLE LAW OF SUCH STATE GOVERN, IN WHICH CASE MARYLAND LAW SHALL APPLY TO THE EXTENT, BUT ONLY TO THE EXTENT, SO REQUIRED. THIS SECTION 10.8.6 SHALL SURVIVE THE CLOSING OR TERMINATION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Except as otherwise expressly provided in this Agreement, Seller and Buyer do not intend by any provision of this Agreement to confer any right, remedy or benefit upon any third party, and no third party shall be entitled to enforce or otherwise shall acquire any right, remedy or benefit by reason of any provision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No Recordation</w:t>
      </w:r>
      <w:r>
        <w:rPr>
          <w:rFonts w:ascii="Times New Roman;Times;Serif" w:hAnsi="Times New Roman;Times;Serif"/>
          <w:b w:val="false"/>
          <w:i w:val="false"/>
          <w:caps w:val="false"/>
          <w:smallCaps w:val="false"/>
          <w:sz w:val="20"/>
        </w:rPr>
        <w:t>. In no event shall this Agreement or any document or memorandum related to the subject matter of this Agreement be recorded without the prior written consent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In no event shall any draft of this Agreement create any obligations or liabilities, it being intended that only a fully executed and delivered copy of this Agreement will bind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No Joint Venture</w:t>
      </w:r>
      <w:r>
        <w:rPr>
          <w:rFonts w:ascii="Times New Roman;Times;Serif" w:hAnsi="Times New Roman;Times;Serif"/>
          <w:b w:val="false"/>
          <w:i w:val="false"/>
          <w:caps w:val="false"/>
          <w:smallCaps w:val="false"/>
          <w:sz w:val="20"/>
        </w:rPr>
        <w:t>. This Agreement does not and shall not be construed to create a partnership, joint venture or any other relationship between the parties hereto except the relationship of the seller and buyer specifically established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Buyer may not assign or transfer its rights or obligations under this Agreement without the prior written consent of Seller (in which event such transferee shall assume in writing all of the transferor’s obligations hereunder, but such transferor shall not be released from its obligations hereunder); provided, however, that Seller hereby consents to the assignment by Buyer of its interest in this Agreement to an entity controlled by or under common control with Buyer, provided Buyer gives Seller prior written notice of the same. No consent given by Seller to any transfer or assignment of Buyer’s rights or obligations hereunder shall be construed as a consent to any other transfer or assignment of Buyer’s rights or obligations hereunder. No transfer or assignment in violation of the provisions hereof shall be valid or enforceable. Subject to the foregoing, this Agreement and the terms and provisions hereof shall inure to the benefit of and be binding upon the successors and assigns of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permitted or required to be given hereunder shall be in writing, and shall be delivered (a) personally, (b) by United States registered or certified mail, postage prepaid, (c) by Federal Express or other reputable courier service regularly providing evidence of delivery (with charges paid by the party sending the notice), or (d) by facsimile or a PDF or similar attachment to an email. Any such notice to a party shall be addressed at the address set forth below (subject to the right of a party to designate a different address for itself by notice similarly given).</w:t>
      </w:r>
    </w:p>
    <w:p>
      <w:pPr>
        <w:pStyle w:val="TextBody"/>
        <w:bidi w:val="0"/>
        <w:spacing w:before="0" w:after="0"/>
        <w:ind w:left="0" w:right="0" w:firstLine="1440"/>
        <w:jc w:val="both"/>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75"/>
        <w:gridCol w:w="4580"/>
      </w:tblGrid>
      <w:tr>
        <w:trPr/>
        <w:tc>
          <w:tcPr>
            <w:tcW w:w="7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0"/>
              </w:rPr>
            </w:pPr>
            <w:r>
              <w:rPr>
                <w:sz w:val="20"/>
                <w:u w:val="single"/>
              </w:rPr>
              <w:t>TO BUYER</w:t>
            </w:r>
            <w:r>
              <w:rPr>
                <w:sz w:val="20"/>
              </w:rPr>
              <w:t>:</w:t>
            </w:r>
          </w:p>
        </w:tc>
      </w:tr>
      <w:tr>
        <w:trPr/>
        <w:tc>
          <w:tcPr>
            <w:tcW w:w="7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 Bowman Frederick LLC</w:t>
              <w:br/>
              <w:t>c/o Vireo Growth Inc.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South 9th Street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Sean Apfelbaum, General Counsel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(847) 372-7731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seanapfelbaum@vireohealth.com</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0"/>
              </w:rPr>
            </w:pPr>
            <w:r>
              <w:rPr>
                <w:sz w:val="20"/>
                <w:u w:val="single"/>
              </w:rPr>
              <w:t>With Copy To</w:t>
            </w:r>
            <w:r>
              <w:rPr>
                <w:sz w:val="20"/>
              </w:rPr>
              <w:t>:</w:t>
            </w:r>
          </w:p>
        </w:tc>
      </w:tr>
      <w:tr>
        <w:trPr/>
        <w:tc>
          <w:tcPr>
            <w:tcW w:w="7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Eversheds Sutherland (US) LLP</w:t>
              <w:br/>
              <w:t>227 West Monroe Street, 60th Floor,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60606</w:t>
              <w:br/>
              <w:t>Attention: Marc A. Benjamin</w:t>
              <w:br/>
              <w:t>Telephone: (312) 724-5855</w:t>
              <w:br/>
              <w:t xml:space="preserve">E-mail: </w:t>
            </w:r>
            <w:r>
              <w:rPr>
                <w:rFonts w:ascii="Times New Roman;Times;Serif" w:hAnsi="Times New Roman;Times;Serif"/>
                <w:b w:val="false"/>
                <w:i w:val="false"/>
                <w:caps w:val="false"/>
                <w:smallCaps w:val="false"/>
                <w:sz w:val="20"/>
                <w:u w:val="single"/>
              </w:rPr>
              <w:t>marcbenjamin@eversheds-sutherland.com</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 SELLER OR PARENT</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The Cannabist Company Holdings Inc.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Billerica Road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Chelmsford, MA 01824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Sirolly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David.Sirolly@cannabistcompany.com</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0"/>
              </w:rPr>
            </w:pPr>
            <w:r>
              <w:rPr>
                <w:sz w:val="20"/>
                <w:u w:val="single"/>
              </w:rPr>
              <w:t>With Copy To</w:t>
            </w:r>
            <w:r>
              <w:rPr>
                <w:sz w:val="20"/>
              </w:rPr>
              <w:t>:</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Weil, Gotshal &amp; Manges LLP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 Fifth Avenue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10153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Nav Rekhi; David J. Cohen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Nav.Rekhi@weil.com; DavidJ.Cohen@weil.com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of any such notice so made shall be deemed effective on the day of actual delivery (whether accepted or refused) as evidenced by printed confirmation if by facsimile (provided that if any notice or other communication to be delivered by facsimile or email attachment as provided above cannot be transmitted because of a problem affecting the receiving party’s facsimile machine or computer, the deadline for receiving such notice or other communication shall be extended through the next business day), as shown by the addressee’s return receipt if by certified mail, and as confirmed by the courier service if by courier. The attorneys for any party hereto shall be entitled to provide any notice that a party desires to give or is required to give hereunder.</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val="false"/>
          <w:i w:val="false"/>
          <w:caps w:val="false"/>
          <w:smallCaps w:val="false"/>
          <w:sz w:val="20"/>
          <w:u w:val="single"/>
        </w:rPr>
        <w:t>Legal Costs</w:t>
      </w:r>
      <w:r>
        <w:rPr>
          <w:rFonts w:ascii="Times New Roman;Times;Serif" w:hAnsi="Times New Roman;Times;Serif"/>
          <w:b w:val="false"/>
          <w:i w:val="false"/>
          <w:caps w:val="false"/>
          <w:smallCaps w:val="false"/>
          <w:sz w:val="20"/>
        </w:rPr>
        <w:t xml:space="preserve">. The parties hereto agree that they shall pay directly any and all legal costs which they have incurred on their own behalf in the preparation of this Agreement, all other agreements pertaining to this transaction and that such legal costs shall not be part of the closing costs. In addition, if any party hereto brings any suit or other proceeding with respect to the subject matter or the enforcement of this Agreement or any document executed in connection with this Agreement, the prevailing party (as determined by the court, agency or other authority before which such suit or proceeding is commenced), in addition to such other relief as may be awarded, shall be entitled to recover reasonable attorneys’ fees, expenses and costs of investigation actually incurred from the non-prevailing party. The foregoing includes reasonable attorneys’ fees, expenses and costs of investigation (including those incurred in appellate proceedings), costs incurred in establishing the right to indemnification, or in any action or participation in, or in connection with, any case or proceeding under Chapter 7, 11 or 13 of the Bankruptcy Code (11 United States Code Sections 101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or any successor statutes. This Section shall survive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val="false"/>
          <w:i w:val="false"/>
          <w:caps w:val="false"/>
          <w:smallCaps w:val="false"/>
          <w:sz w:val="20"/>
          <w:u w:val="single"/>
        </w:rPr>
        <w:t>Counterparts; Delivery</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document. The delivery of an executed counterpart of this Agreement via Docusign or as a PDF or similar attachment to an email shall constitute effective delivery of such counterpart for all purposes with the same force and effect as the delivery of an original, executed counterpart.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Notwithstanding anything to the contrary contained in this Agreement, except with respect to obligations under the Parent Guaranty (as hereinafter defined) no officer, director, shareholder, employee, agent, manager, member or partner of Seller or Buyer shall have any personal liability with respect to any of the obligations contained in this Agreement. Under no circumstances shall Seller or Buyer be responsible for consequential, special or punitive damages, and Seller and Buyer hereby waive any and all such claims against the other for such consequential, special or punitive damages. The provisions of this Section 12 shall survive the expiration of the term or any earlier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Parent Guaranty</w:t>
      </w:r>
      <w:r>
        <w:rPr>
          <w:rFonts w:ascii="Times New Roman;Times;Serif" w:hAnsi="Times New Roman;Times;Serif"/>
          <w:b w:val="false"/>
          <w:i w:val="false"/>
          <w:caps w:val="false"/>
          <w:smallCaps w:val="false"/>
          <w:sz w:val="20"/>
        </w:rPr>
        <w:t>. Parent hereby unconditionally and absolutely guarantees (the “</w:t>
      </w:r>
      <w:r>
        <w:rPr>
          <w:rFonts w:ascii="Times New Roman;Times;Serif" w:hAnsi="Times New Roman;Times;Serif"/>
          <w:b/>
          <w:i w:val="false"/>
          <w:caps w:val="false"/>
          <w:smallCaps w:val="false"/>
          <w:sz w:val="20"/>
        </w:rPr>
        <w:t>Parent Guaranty</w:t>
      </w:r>
      <w:r>
        <w:rPr>
          <w:rFonts w:ascii="Times New Roman;Times;Serif" w:hAnsi="Times New Roman;Times;Serif"/>
          <w:b w:val="false"/>
          <w:i w:val="false"/>
          <w:caps w:val="false"/>
          <w:smallCaps w:val="false"/>
          <w:sz w:val="20"/>
        </w:rPr>
        <w:t>”) the obligations of Seller arising hereunder, including any payment obligation arising from Seller’s breach of any provision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75"/>
        <w:gridCol w:w="1439"/>
        <w:gridCol w:w="1724"/>
        <w:gridCol w:w="3440"/>
        <w:gridCol w:w="75"/>
      </w:tblGrid>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u w:val="single"/>
              </w:rPr>
              <w:t>SELLER</w:t>
            </w:r>
            <w:r>
              <w:rPr>
                <w:rFonts w:ascii="Times New Roman;Times;Serif" w:hAnsi="Times New Roman;Times;Serif"/>
              </w:rPr>
              <w:t>:</w:t>
            </w:r>
          </w:p>
        </w:tc>
        <w:tc>
          <w:tcPr>
            <w:tcW w:w="1724"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03"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COLUMBIA CARE MD REALTY LLC</w:t>
            </w:r>
            <w:r>
              <w:rPr>
                <w:rFonts w:ascii="Times New Roman;Times;Serif" w:hAnsi="Times New Roman;Times;Serif"/>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03"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Maryland limited liability company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516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Columbia Care,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Delaware limited liability company, its Sole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David Hart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3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Hart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Its:</w:t>
            </w:r>
          </w:p>
        </w:tc>
        <w:tc>
          <w:tcPr>
            <w:tcW w:w="3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569" w:type="dxa"/>
        <w:jc w:val="left"/>
        <w:tblInd w:w="0" w:type="dxa"/>
        <w:tblLayout w:type="fixed"/>
        <w:tblCellMar>
          <w:top w:w="0" w:type="dxa"/>
          <w:left w:w="0" w:type="dxa"/>
          <w:bottom w:w="0" w:type="dxa"/>
          <w:right w:w="0" w:type="dxa"/>
        </w:tblCellMar>
      </w:tblPr>
      <w:tblGrid>
        <w:gridCol w:w="75"/>
        <w:gridCol w:w="1761"/>
        <w:gridCol w:w="3658"/>
        <w:gridCol w:w="75"/>
      </w:tblGrid>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u w:val="single"/>
              </w:rPr>
              <w:t>PARENT</w:t>
            </w:r>
            <w:r>
              <w:rPr>
                <w:rFonts w:ascii="Times New Roman;Times;Serif" w:hAnsi="Times New Roman;Times;Serif"/>
              </w:rPr>
              <w:t>:</w:t>
            </w:r>
          </w:p>
        </w:tc>
        <w:tc>
          <w:tcPr>
            <w:tcW w:w="365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pPr>
            <w:r>
              <w:rPr/>
              <w:t> </w:t>
            </w:r>
          </w:p>
        </w:tc>
        <w:tc>
          <w:tcPr>
            <w:tcW w:w="365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THE CANNABIST COMPANY HOLDINGS, INC.</w:t>
            </w:r>
            <w:r>
              <w:rPr>
                <w:rFonts w:ascii="Times New Roman;Times;Serif" w:hAnsi="Times New Roman;Times;Serif"/>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British Columbia corporation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pPr>
            <w:r>
              <w:rPr/>
              <w:t> </w:t>
            </w:r>
          </w:p>
        </w:tc>
        <w:tc>
          <w:tcPr>
            <w:tcW w:w="365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6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David Hart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36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Hart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Its:</w:t>
            </w:r>
          </w:p>
        </w:tc>
        <w:tc>
          <w:tcPr>
            <w:tcW w:w="36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pPr>
            <w:r>
              <w:rPr/>
              <w:t> </w:t>
            </w:r>
          </w:p>
        </w:tc>
        <w:tc>
          <w:tcPr>
            <w:tcW w:w="365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u w:val="single"/>
              </w:rPr>
              <w:t>BUYER</w:t>
            </w:r>
            <w:r>
              <w:rPr>
                <w:rFonts w:ascii="Times New Roman;Times;Serif" w:hAnsi="Times New Roman;Times;Serif"/>
              </w:rPr>
              <w:t>:</w:t>
            </w:r>
          </w:p>
        </w:tc>
        <w:tc>
          <w:tcPr>
            <w:tcW w:w="365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pPr>
            <w:r>
              <w:rPr/>
              <w:t> </w:t>
            </w:r>
          </w:p>
        </w:tc>
        <w:tc>
          <w:tcPr>
            <w:tcW w:w="365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6797 BOWMAN FREDERICK LLC</w:t>
            </w:r>
            <w:r>
              <w:rPr>
                <w:rFonts w:ascii="Times New Roman;Times;Serif" w:hAnsi="Times New Roman;Times;Serif"/>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Delaware limited liability company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pPr>
            <w:r>
              <w:rPr/>
              <w:t> </w:t>
            </w:r>
          </w:p>
        </w:tc>
        <w:tc>
          <w:tcPr>
            <w:tcW w:w="365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6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Tyson Macdonald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36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Tyson Macdonald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Its:</w:t>
            </w:r>
          </w:p>
        </w:tc>
        <w:tc>
          <w:tcPr>
            <w:tcW w:w="36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 Agreement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firstLine="72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48204</Words>
  <Characters>260483</Characters>
  <CharactersWithSpaces>312608</CharactersWithSpaces>
  <Paragraphs>2161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