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80" w:right="1620" w:hanging="3872"/>
        <w:spacing w:after="0" w:line="365" w:lineRule="auto"/>
        <w:tabs>
          <w:tab w:leader="none" w:pos="46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160" w:right="1620" w:hanging="4152"/>
        <w:spacing w:after="0" w:line="375" w:lineRule="auto"/>
        <w:tabs>
          <w:tab w:leader="none" w:pos="46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__to 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000-56294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191135</wp:posOffset>
            </wp:positionV>
            <wp:extent cx="144018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COLUMBIA CARE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2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1520" w:type="dxa"/>
            <w:vAlign w:val="bottom"/>
          </w:tcPr>
          <w:p>
            <w:pPr>
              <w:spacing w:after="0"/>
              <w:rPr>
                <w:sz w:val="18"/>
                <w:szCs w:val="18"/>
                <w:color w:val="auto"/>
              </w:rPr>
            </w:pPr>
          </w:p>
        </w:tc>
        <w:tc>
          <w:tcPr>
            <w:tcW w:w="4500" w:type="dxa"/>
            <w:vAlign w:val="bottom"/>
            <w:gridSpan w:val="3"/>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98-1488978</w:t>
            </w:r>
          </w:p>
        </w:tc>
      </w:tr>
      <w:tr>
        <w:trPr>
          <w:trHeight w:val="216"/>
        </w:trPr>
        <w:tc>
          <w:tcPr>
            <w:tcW w:w="52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16"/>
        </w:trPr>
        <w:tc>
          <w:tcPr>
            <w:tcW w:w="52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216"/>
        </w:trPr>
        <w:tc>
          <w:tcPr>
            <w:tcW w:w="5220" w:type="dxa"/>
            <w:vAlign w:val="bottom"/>
            <w:gridSpan w:val="4"/>
          </w:tcPr>
          <w:p>
            <w:pPr>
              <w:ind w:left="1880"/>
              <w:spacing w:after="0"/>
              <w:rPr>
                <w:sz w:val="20"/>
                <w:szCs w:val="20"/>
                <w:color w:val="auto"/>
              </w:rPr>
            </w:pPr>
            <w:r>
              <w:rPr>
                <w:rFonts w:ascii="Times New Roman" w:cs="Times New Roman" w:eastAsia="Times New Roman" w:hAnsi="Times New Roman"/>
                <w:sz w:val="18"/>
                <w:szCs w:val="18"/>
                <w:b w:val="1"/>
                <w:bCs w:val="1"/>
                <w:color w:val="auto"/>
              </w:rPr>
              <w:t>680 Fifth Ave., 24th Floor</w:t>
            </w:r>
          </w:p>
        </w:tc>
        <w:tc>
          <w:tcPr>
            <w:tcW w:w="1520" w:type="dxa"/>
            <w:vAlign w:val="bottom"/>
          </w:tcPr>
          <w:p>
            <w:pPr>
              <w:spacing w:after="0"/>
              <w:rPr>
                <w:sz w:val="18"/>
                <w:szCs w:val="18"/>
                <w:color w:val="auto"/>
              </w:rPr>
            </w:pPr>
          </w:p>
        </w:tc>
        <w:tc>
          <w:tcPr>
            <w:tcW w:w="4500" w:type="dxa"/>
            <w:vAlign w:val="bottom"/>
            <w:gridSpan w:val="3"/>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216"/>
        </w:trPr>
        <w:tc>
          <w:tcPr>
            <w:tcW w:w="52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38"/>
        </w:trPr>
        <w:tc>
          <w:tcPr>
            <w:tcW w:w="52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83"/>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634-7100</w:t>
            </w:r>
          </w:p>
        </w:tc>
      </w:tr>
      <w:tr>
        <w:trPr>
          <w:trHeight w:val="148"/>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60" w:type="dxa"/>
            <w:vAlign w:val="bottom"/>
          </w:tcPr>
          <w:p>
            <w:pPr>
              <w:spacing w:after="0"/>
              <w:rPr>
                <w:sz w:val="12"/>
                <w:szCs w:val="12"/>
                <w:color w:val="auto"/>
              </w:rPr>
            </w:pPr>
          </w:p>
        </w:tc>
      </w:tr>
      <w:tr>
        <w:trPr>
          <w:trHeight w:val="318"/>
        </w:trPr>
        <w:tc>
          <w:tcPr>
            <w:tcW w:w="52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10"/>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38"/>
        </w:trPr>
        <w:tc>
          <w:tcPr>
            <w:tcW w:w="43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gridSpan w:val="2"/>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bl>
    <w:p>
      <w:pPr>
        <w:spacing w:after="0" w:line="117" w:lineRule="exact"/>
        <w:rPr>
          <w:sz w:val="24"/>
          <w:szCs w:val="24"/>
          <w:color w:val="auto"/>
        </w:rPr>
      </w:pPr>
    </w:p>
    <w:p>
      <w:pPr>
        <w:jc w:val="both"/>
        <w:ind w:right="60" w:firstLine="59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60" w:firstLine="59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60" w:firstLine="599"/>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9" w:lineRule="exact"/>
        <w:rPr>
          <w:sz w:val="24"/>
          <w:szCs w:val="24"/>
          <w:color w:val="auto"/>
        </w:rPr>
      </w:pPr>
    </w:p>
    <w:p>
      <w:pPr>
        <w:ind w:right="220" w:firstLine="59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0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9" w:lineRule="exact"/>
        <w:rPr>
          <w:sz w:val="24"/>
          <w:szCs w:val="24"/>
          <w:color w:val="auto"/>
        </w:rPr>
      </w:pPr>
    </w:p>
    <w:p>
      <w:pPr>
        <w:ind w:right="140" w:firstLine="599"/>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August 8, 2022, there were 386,406,231 shares of common stock, no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752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37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Equity</w:t>
            </w:r>
          </w:p>
        </w:tc>
        <w:tc>
          <w:tcPr>
            <w:tcW w:w="51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42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4"/>
          </w:tcPr>
          <w:p>
            <w:pPr>
              <w:spacing w:after="0"/>
              <w:rPr>
                <w:sz w:val="18"/>
                <w:szCs w:val="18"/>
                <w:color w:val="auto"/>
              </w:rPr>
            </w:pP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5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Exhibits</w:t>
            </w:r>
          </w:p>
        </w:tc>
        <w:tc>
          <w:tcPr>
            <w:tcW w:w="80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regarding Columbia Care Inc. and its subsidiaries (collectively referred to as “Columbia Care,”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280"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satisfaction of the conditions precedent to the closing of the Cresco Transaction (as defined herein);</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any necessary regulatory approvals in connection with Cresco Transaction (as defined herein);</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Cresco Transaction (as defined herein) on the Company’s current and future operations, financial condition and prospects;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the Cresco Labs Shares (as defined herein);</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the Cresco Transaction (as defined herein) and potential payment of a termination fee in connection with the Cresco Transaction (as defined herein);</w:t>
      </w:r>
    </w:p>
    <w:p>
      <w:pPr>
        <w:spacing w:after="0" w:line="126" w:lineRule="exact"/>
        <w:rPr>
          <w:rFonts w:ascii="Times New Roman" w:cs="Times New Roman" w:eastAsia="Times New Roman" w:hAnsi="Times New Roman"/>
          <w:sz w:val="16"/>
          <w:szCs w:val="16"/>
          <w:color w:val="auto"/>
        </w:rPr>
      </w:pPr>
    </w:p>
    <w:p>
      <w:pPr>
        <w:ind w:left="380" w:hanging="372"/>
        <w:spacing w:after="0" w:line="269"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successfully integrate with the operations of Cresco Labs (as defined herein) and realize the expected benefits of the Cresco Transaction (as defined herein);</w:t>
      </w:r>
    </w:p>
    <w:p>
      <w:pPr>
        <w:spacing w:after="0" w:line="3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marijuana remains illegal under federal law;</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anti-money laundering laws and regulations to the Company;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regulatory, or political change to the cannabis industry;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the services of banks;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public and private capital;</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publicity or consumer perception of the cannabis industry;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to the adult-use market;</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laws, regulations, and guidelines;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Section 280E of the Internal Revenue Code;</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state laws pertaining to the cannabis industry;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reliance on key inputs, suppliers and skilled labor;</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difficulty of forecasting the Company’s sales;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constraints on marketing products;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cyber-attacks and security breaches;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operating loss and other tax attribute limitations;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changes in tax laws;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volatility of the market price of the Common Shares;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management;</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results and financial projections; and</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global financial conditions</w:t>
      </w:r>
    </w:p>
    <w:p>
      <w:pPr>
        <w:spacing w:after="0" w:line="15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The list of factors above is illustrative and by no means exhaustive. Additional information regarding these risks and other risks and uncertainties we face is contained in this Quarterly Report on Form 10-Q, our Annual Report on Form 10-K for the year ended December 31, 2021, and our Form 10, dated May 9, 2022.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1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COLUMBIA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Cash</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81,440</w:t>
            </w:r>
          </w:p>
        </w:tc>
        <w:tc>
          <w:tcPr>
            <w:tcW w:w="16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82,198</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 of allowances of $2,222 and, $2,542, respectively</w:t>
            </w: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11,193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18,302</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121,514</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94,567</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28,333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29,252</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Prepaid Income Tax</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11,510</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Assets held for sale</w:t>
            </w: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2,120</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2,120</w:t>
            </w:r>
          </w:p>
        </w:tc>
        <w:tc>
          <w:tcPr>
            <w:tcW w:w="0" w:type="dxa"/>
            <w:vAlign w:val="bottom"/>
          </w:tcPr>
          <w:p>
            <w:pPr>
              <w:spacing w:after="0"/>
              <w:rPr>
                <w:sz w:val="1"/>
                <w:szCs w:val="1"/>
                <w:color w:val="auto"/>
              </w:rPr>
            </w:pPr>
          </w:p>
        </w:tc>
      </w:tr>
      <w:tr>
        <w:trPr>
          <w:trHeight w:val="156"/>
        </w:trPr>
        <w:tc>
          <w:tcPr>
            <w:tcW w:w="7640" w:type="dxa"/>
            <w:vAlign w:val="bottom"/>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256,110</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226,439</w:t>
            </w:r>
          </w:p>
        </w:tc>
        <w:tc>
          <w:tcPr>
            <w:tcW w:w="0" w:type="dxa"/>
            <w:vAlign w:val="bottom"/>
          </w:tcPr>
          <w:p>
            <w:pPr>
              <w:spacing w:after="0"/>
              <w:rPr>
                <w:sz w:val="1"/>
                <w:szCs w:val="1"/>
                <w:color w:val="auto"/>
              </w:rPr>
            </w:pPr>
          </w:p>
        </w:tc>
      </w:tr>
      <w:tr>
        <w:trPr>
          <w:trHeight w:val="155"/>
        </w:trPr>
        <w:tc>
          <w:tcPr>
            <w:tcW w:w="7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373,877</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339,692</w:t>
            </w: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Right of use assets - operating leases, net</w:t>
            </w: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190,204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179,099</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Right of use assets - finance leases, net</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64,645</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66,442</w:t>
            </w: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184,018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184,018</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337,798</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367,787</w:t>
            </w: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13,813</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13,035</w:t>
            </w: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1,420,465</w:t>
            </w:r>
          </w:p>
        </w:tc>
        <w:tc>
          <w:tcPr>
            <w:tcW w:w="16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1,376,512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35,046</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44,007</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57,211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126,954</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Income tax payable</w:t>
            </w:r>
          </w:p>
        </w:tc>
        <w:tc>
          <w:tcPr>
            <w:tcW w:w="24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26,537</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25,680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29,345</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Current portion of lease liability - operating leases</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9,266</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9,056</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Current portion of lease liability - finance leases</w:t>
            </w: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5,665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5,092</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Current portion of long-term debt, net</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4,509</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1,884</w:t>
            </w: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Liabilities held for sale</w:t>
            </w: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1,122</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1,122</w:t>
            </w: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138,499</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243,997</w:t>
            </w:r>
          </w:p>
        </w:tc>
        <w:tc>
          <w:tcPr>
            <w:tcW w:w="0" w:type="dxa"/>
            <w:vAlign w:val="bottom"/>
          </w:tcPr>
          <w:p>
            <w:pPr>
              <w:spacing w:after="0"/>
              <w:rPr>
                <w:sz w:val="1"/>
                <w:szCs w:val="1"/>
                <w:color w:val="auto"/>
              </w:rPr>
            </w:pPr>
          </w:p>
        </w:tc>
      </w:tr>
      <w:tr>
        <w:trPr>
          <w:trHeight w:val="155"/>
        </w:trPr>
        <w:tc>
          <w:tcPr>
            <w:tcW w:w="7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debt, net</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321,157</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159,017</w:t>
            </w: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taxes</w:t>
            </w: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85,908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79,477</w:t>
            </w: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lease liability - operating leases</w:t>
            </w:r>
          </w:p>
        </w:tc>
        <w:tc>
          <w:tcPr>
            <w:tcW w:w="2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188,201</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176,004</w:t>
            </w:r>
          </w:p>
        </w:tc>
        <w:tc>
          <w:tcPr>
            <w:tcW w:w="0" w:type="dxa"/>
            <w:vAlign w:val="bottom"/>
          </w:tcPr>
          <w:p>
            <w:pPr>
              <w:spacing w:after="0"/>
              <w:rPr>
                <w:sz w:val="1"/>
                <w:szCs w:val="1"/>
                <w:color w:val="auto"/>
              </w:rPr>
            </w:pPr>
          </w:p>
        </w:tc>
      </w:tr>
      <w:tr>
        <w:trPr>
          <w:trHeight w:val="189"/>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Long-term lease liability - finance leases</w:t>
            </w:r>
          </w:p>
        </w:tc>
        <w:tc>
          <w:tcPr>
            <w:tcW w:w="240" w:type="dxa"/>
            <w:vAlign w:val="bottom"/>
          </w:tcPr>
          <w:p>
            <w:pPr>
              <w:spacing w:after="0"/>
              <w:rPr>
                <w:sz w:val="16"/>
                <w:szCs w:val="16"/>
                <w:color w:val="auto"/>
              </w:rPr>
            </w:pPr>
          </w:p>
        </w:tc>
        <w:tc>
          <w:tcPr>
            <w:tcW w:w="1540" w:type="dxa"/>
            <w:vAlign w:val="bottom"/>
          </w:tcPr>
          <w:p>
            <w:pPr>
              <w:jc w:val="right"/>
              <w:ind w:right="48"/>
              <w:spacing w:after="0"/>
              <w:rPr>
                <w:sz w:val="20"/>
                <w:szCs w:val="20"/>
                <w:color w:val="auto"/>
              </w:rPr>
            </w:pPr>
            <w:r>
              <w:rPr>
                <w:rFonts w:ascii="Calibri" w:cs="Calibri" w:eastAsia="Calibri" w:hAnsi="Calibri"/>
                <w:sz w:val="14"/>
                <w:szCs w:val="14"/>
                <w:color w:val="auto"/>
              </w:rPr>
              <w:t>68,534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70,268</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11,680</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11,596</w:t>
            </w: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Derivative liability</w:t>
            </w: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6,795</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77,419</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78,535</w:t>
            </w: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892,496</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825,689</w:t>
            </w:r>
          </w:p>
        </w:tc>
        <w:tc>
          <w:tcPr>
            <w:tcW w:w="0" w:type="dxa"/>
            <w:vAlign w:val="bottom"/>
          </w:tcPr>
          <w:p>
            <w:pPr>
              <w:spacing w:after="0"/>
              <w:rPr>
                <w:sz w:val="1"/>
                <w:szCs w:val="1"/>
                <w:color w:val="auto"/>
              </w:rPr>
            </w:pPr>
          </w:p>
        </w:tc>
      </w:tr>
      <w:tr>
        <w:trPr>
          <w:trHeight w:val="156"/>
        </w:trPr>
        <w:tc>
          <w:tcPr>
            <w:tcW w:w="76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2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64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Common Stock, no par value, unlimited shares authorized as of June 30, 2022 and December 31, 2021, respectively,</w:t>
            </w:r>
          </w:p>
        </w:tc>
        <w:tc>
          <w:tcPr>
            <w:tcW w:w="240" w:type="dxa"/>
            <w:vAlign w:val="bottom"/>
          </w:tcPr>
          <w:p>
            <w:pPr>
              <w:spacing w:after="0"/>
              <w:rPr>
                <w:sz w:val="12"/>
                <w:szCs w:val="12"/>
                <w:color w:val="auto"/>
              </w:rPr>
            </w:pPr>
          </w:p>
        </w:tc>
        <w:tc>
          <w:tcPr>
            <w:tcW w:w="1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386,406,231 and 361,423,270 shares issued and outstanding as of June 30, 2022 and December 31, 2021, respectively</w:t>
            </w:r>
          </w:p>
        </w:tc>
        <w:tc>
          <w:tcPr>
            <w:tcW w:w="2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64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Preferred Stock, no par value, unlimited shares authorized as of June 30, 2022 and December 31, 2021, respectively, none</w:t>
            </w:r>
          </w:p>
        </w:tc>
        <w:tc>
          <w:tcPr>
            <w:tcW w:w="240" w:type="dxa"/>
            <w:vAlign w:val="bottom"/>
            <w:shd w:val="clear" w:color="auto" w:fill="CFF0FC"/>
          </w:tcPr>
          <w:p>
            <w:pPr>
              <w:spacing w:after="0"/>
              <w:rPr>
                <w:sz w:val="12"/>
                <w:szCs w:val="12"/>
                <w:color w:val="auto"/>
              </w:rPr>
            </w:pPr>
          </w:p>
        </w:tc>
        <w:tc>
          <w:tcPr>
            <w:tcW w:w="17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issued and outstanding as of June 30, 2022 and December 31, 2021</w:t>
            </w:r>
          </w:p>
        </w:tc>
        <w:tc>
          <w:tcPr>
            <w:tcW w:w="240" w:type="dxa"/>
            <w:vAlign w:val="bottom"/>
            <w:shd w:val="clear" w:color="auto" w:fill="CFF0FC"/>
          </w:tcPr>
          <w:p>
            <w:pPr>
              <w:spacing w:after="0"/>
              <w:rPr>
                <w:sz w:val="14"/>
                <w:szCs w:val="14"/>
                <w:color w:val="auto"/>
              </w:rPr>
            </w:pPr>
          </w:p>
        </w:tc>
        <w:tc>
          <w:tcPr>
            <w:tcW w:w="170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64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Proportionate voting shares, no par value, unlimited shares authorized as of June 30, 2022 and December 31, 2021,</w:t>
            </w: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respectively; 12,298,128 and 14,729,636 shares issued and outstanding as of June 30, 2022 and December 31, 2021,</w:t>
            </w:r>
          </w:p>
        </w:tc>
        <w:tc>
          <w:tcPr>
            <w:tcW w:w="240" w:type="dxa"/>
            <w:vAlign w:val="bottom"/>
          </w:tcPr>
          <w:p>
            <w:pPr>
              <w:spacing w:after="0"/>
              <w:rPr>
                <w:sz w:val="12"/>
                <w:szCs w:val="12"/>
                <w:color w:val="auto"/>
              </w:rPr>
            </w:pPr>
          </w:p>
        </w:tc>
        <w:tc>
          <w:tcPr>
            <w:tcW w:w="1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1,099,033</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1,039,726</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(568,462)</w:t>
            </w: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(468,335)</w:t>
            </w: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Equity attributable to Columbia Care Inc.</w:t>
            </w: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530,571</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571,391</w:t>
            </w:r>
          </w:p>
        </w:tc>
        <w:tc>
          <w:tcPr>
            <w:tcW w:w="0" w:type="dxa"/>
            <w:vAlign w:val="bottom"/>
          </w:tcPr>
          <w:p>
            <w:pPr>
              <w:spacing w:after="0"/>
              <w:rPr>
                <w:sz w:val="1"/>
                <w:szCs w:val="1"/>
                <w:color w:val="auto"/>
              </w:rPr>
            </w:pPr>
          </w:p>
        </w:tc>
      </w:tr>
      <w:tr>
        <w:trPr>
          <w:trHeight w:val="156"/>
        </w:trPr>
        <w:tc>
          <w:tcPr>
            <w:tcW w:w="7640" w:type="dxa"/>
            <w:vAlign w:val="bottom"/>
            <w:tcBorders>
              <w:bottom w:val="single" w:sz="8" w:color="CFF0FC"/>
            </w:tcBorders>
          </w:tcPr>
          <w:p>
            <w:pPr>
              <w:ind w:left="260"/>
              <w:spacing w:after="0" w:line="155" w:lineRule="exact"/>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(2,602)</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(20,568)</w:t>
            </w: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527,969</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550,823</w:t>
            </w:r>
          </w:p>
        </w:tc>
        <w:tc>
          <w:tcPr>
            <w:tcW w:w="0" w:type="dxa"/>
            <w:vAlign w:val="bottom"/>
          </w:tcPr>
          <w:p>
            <w:pPr>
              <w:spacing w:after="0"/>
              <w:rPr>
                <w:sz w:val="1"/>
                <w:szCs w:val="1"/>
                <w:color w:val="auto"/>
              </w:rPr>
            </w:pPr>
          </w:p>
        </w:tc>
      </w:tr>
      <w:tr>
        <w:trPr>
          <w:trHeight w:val="155"/>
        </w:trPr>
        <w:tc>
          <w:tcPr>
            <w:tcW w:w="764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liabilities and equity</w:t>
            </w:r>
          </w:p>
        </w:tc>
        <w:tc>
          <w:tcPr>
            <w:tcW w:w="24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1,420,465</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1,376,512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COLUMBIA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for number of shares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4"/>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40" w:type="dxa"/>
            <w:vAlign w:val="bottom"/>
          </w:tcPr>
          <w:p>
            <w:pPr>
              <w:spacing w:after="0"/>
              <w:rPr>
                <w:sz w:val="19"/>
                <w:szCs w:val="19"/>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129,571</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102,387</w:t>
            </w: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252,658</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188,482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related to inventory</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production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(145,183)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 related to business</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combination fair value adjustments to</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6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41,747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107,475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(72,956)</w:t>
            </w: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(52,503)</w:t>
            </w:r>
          </w:p>
        </w:tc>
        <w:tc>
          <w:tcPr>
            <w:tcW w:w="6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(144,248)</w:t>
            </w:r>
          </w:p>
        </w:tc>
        <w:tc>
          <w:tcPr>
            <w:tcW w:w="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(100,537)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income on leases,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w:t>
            </w: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(26,054)</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(62,827)</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(18,702)</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gain/(loss) attributable to non-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controlling interests</w:t>
            </w: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shareholders</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(53,828)</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(80,464)</w:t>
            </w: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used in earnings per share - basic and</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394,023,144</w:t>
            </w: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313,771,867</w:t>
            </w:r>
          </w:p>
        </w:tc>
        <w:tc>
          <w:tcPr>
            <w:tcW w:w="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385,258,892</w:t>
            </w: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304,346,270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attributable to shares (basic and</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3"/>
          <w:szCs w:val="13"/>
          <w:b w:val="1"/>
          <w:bCs w:val="1"/>
          <w:color w:val="auto"/>
        </w:rPr>
        <w:t>COLUMBIA CARE INC.</w:t>
      </w:r>
    </w:p>
    <w:p>
      <w:pPr>
        <w:jc w:val="center"/>
        <w:spacing w:after="0" w:line="219" w:lineRule="auto"/>
        <w:rPr>
          <w:sz w:val="20"/>
          <w:szCs w:val="20"/>
          <w:color w:val="auto"/>
        </w:rPr>
      </w:pPr>
      <w:r>
        <w:rPr>
          <w:rFonts w:ascii="Times New Roman" w:cs="Times New Roman" w:eastAsia="Times New Roman" w:hAnsi="Times New Roman"/>
          <w:sz w:val="13"/>
          <w:szCs w:val="13"/>
          <w:color w:val="auto"/>
        </w:rPr>
        <w:t>CONDENSED CONSOLIDATED STATEMENTS OF CHANGES IN EQUITY</w:t>
      </w:r>
    </w:p>
    <w:p>
      <w:pPr>
        <w:jc w:val="center"/>
        <w:spacing w:after="0" w:line="216" w:lineRule="auto"/>
        <w:rPr>
          <w:sz w:val="20"/>
          <w:szCs w:val="20"/>
          <w:color w:val="auto"/>
        </w:rPr>
      </w:pPr>
      <w:r>
        <w:rPr>
          <w:rFonts w:ascii="Times New Roman" w:cs="Times New Roman" w:eastAsia="Times New Roman" w:hAnsi="Times New Roman"/>
          <w:sz w:val="13"/>
          <w:szCs w:val="13"/>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(Expressed in thousands of U.S. dollars, except for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Total Columbia Care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2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Proportionate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36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3"/>
              </w:rPr>
              <w:t>Inc.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Controlling</w:t>
            </w:r>
          </w:p>
        </w:tc>
        <w:tc>
          <w:tcPr>
            <w:tcW w:w="140" w:type="dxa"/>
            <w:vAlign w:val="bottom"/>
          </w:tcPr>
          <w:p>
            <w:pPr>
              <w:spacing w:after="0"/>
              <w:rPr>
                <w:sz w:val="12"/>
                <w:szCs w:val="12"/>
                <w:color w:val="auto"/>
              </w:rPr>
            </w:pPr>
          </w:p>
        </w:tc>
        <w:tc>
          <w:tcPr>
            <w:tcW w:w="80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2720" w:type="dxa"/>
            <w:vAlign w:val="bottom"/>
          </w:tcPr>
          <w:p>
            <w:pPr>
              <w:spacing w:after="0"/>
              <w:rPr>
                <w:sz w:val="13"/>
                <w:szCs w:val="13"/>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Voting Shares</w:t>
            </w:r>
          </w:p>
        </w:tc>
        <w:tc>
          <w:tcPr>
            <w:tcW w:w="140" w:type="dxa"/>
            <w:vAlign w:val="bottom"/>
          </w:tcPr>
          <w:p>
            <w:pPr>
              <w:spacing w:after="0"/>
              <w:rPr>
                <w:sz w:val="13"/>
                <w:szCs w:val="13"/>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8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3"/>
                <w:szCs w:val="13"/>
                <w:color w:val="auto"/>
              </w:rPr>
            </w:pPr>
          </w:p>
        </w:tc>
        <w:tc>
          <w:tcPr>
            <w:tcW w:w="13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Shareholders' Equity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3"/>
                <w:szCs w:val="13"/>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272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2021</w:t>
            </w:r>
          </w:p>
        </w:tc>
        <w:tc>
          <w:tcPr>
            <w:tcW w:w="122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361,423,270</w:t>
            </w:r>
          </w:p>
        </w:tc>
        <w:tc>
          <w:tcPr>
            <w:tcW w:w="16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14,729,636</w:t>
            </w: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1,039,726</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(468,335)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571,391</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(20,568)</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b w:val="1"/>
                <w:bCs w:val="1"/>
                <w:color w:val="auto"/>
              </w:rPr>
              <w:t>550,823</w:t>
            </w: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Equity-based compensation </w:t>
            </w:r>
            <w:r>
              <w:rPr>
                <w:rFonts w:ascii="Times New Roman" w:cs="Times New Roman" w:eastAsia="Times New Roman" w:hAnsi="Times New Roman"/>
                <w:sz w:val="10"/>
                <w:szCs w:val="10"/>
                <w:color w:val="auto"/>
              </w:rPr>
              <w:t>(1)</w:t>
            </w: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237,486</w:t>
            </w:r>
          </w:p>
        </w:tc>
        <w:tc>
          <w:tcPr>
            <w:tcW w:w="160" w:type="dxa"/>
            <w:vAlign w:val="bottom"/>
          </w:tcPr>
          <w:p>
            <w:pPr>
              <w:spacing w:after="0"/>
              <w:rPr>
                <w:sz w:val="12"/>
                <w:szCs w:val="12"/>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6,358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6,358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6,358</w:t>
            </w:r>
          </w:p>
        </w:tc>
      </w:tr>
      <w:tr>
        <w:trPr>
          <w:trHeight w:val="1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Warrants exercised</w:t>
            </w:r>
          </w:p>
        </w:tc>
        <w:tc>
          <w:tcPr>
            <w:tcW w:w="1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180,000</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425</w:t>
            </w:r>
          </w:p>
        </w:tc>
      </w:tr>
      <w:tr>
        <w:trPr>
          <w:trHeight w:val="149"/>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(27,906)</w:t>
            </w:r>
          </w:p>
        </w:tc>
      </w:tr>
      <w:tr>
        <w:trPr>
          <w:trHeight w:val="142"/>
        </w:trPr>
        <w:tc>
          <w:tcPr>
            <w:tcW w:w="27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March 31, 2022</w:t>
            </w:r>
          </w:p>
        </w:tc>
        <w:tc>
          <w:tcPr>
            <w:tcW w:w="122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361,840,756</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14,729,636</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1,046,509</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(494,971)</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551,538</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(21,838)</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bottom w:val="single" w:sz="8" w:color="auto"/>
            </w:tcBorders>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b w:val="1"/>
                <w:bCs w:val="1"/>
                <w:color w:val="auto"/>
              </w:rPr>
              <w:t>529,700</w:t>
            </w:r>
          </w:p>
        </w:tc>
      </w:tr>
      <w:tr>
        <w:trPr>
          <w:trHeight w:val="20"/>
        </w:trPr>
        <w:tc>
          <w:tcPr>
            <w:tcW w:w="2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9"/>
        </w:trPr>
        <w:tc>
          <w:tcPr>
            <w:tcW w:w="2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Equity-based compensation </w:t>
            </w:r>
            <w:r>
              <w:rPr>
                <w:rFonts w:ascii="Times New Roman" w:cs="Times New Roman" w:eastAsia="Times New Roman" w:hAnsi="Times New Roman"/>
                <w:sz w:val="10"/>
                <w:szCs w:val="10"/>
                <w:color w:val="auto"/>
              </w:rPr>
              <w:t>(1)</w:t>
            </w:r>
          </w:p>
        </w:tc>
        <w:tc>
          <w:tcPr>
            <w:tcW w:w="1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21,034,418</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49,346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49,346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49,346</w:t>
            </w: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shares in connection with acquisitions</w:t>
            </w: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1,099,549</w:t>
            </w:r>
          </w:p>
        </w:tc>
        <w:tc>
          <w:tcPr>
            <w:tcW w:w="160" w:type="dxa"/>
            <w:vAlign w:val="bottom"/>
          </w:tcPr>
          <w:p>
            <w:pPr>
              <w:spacing w:after="0"/>
              <w:rPr>
                <w:sz w:val="12"/>
                <w:szCs w:val="12"/>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3,178</w:t>
            </w:r>
          </w:p>
        </w:tc>
      </w:tr>
      <w:tr>
        <w:trPr>
          <w:trHeight w:val="1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Cancellation of restricted stock awards</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convertible notes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Conversion between classes of shares</w:t>
            </w:r>
          </w:p>
        </w:tc>
        <w:tc>
          <w:tcPr>
            <w:tcW w:w="1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2,431,508</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(2,431,508)</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 buyout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19,663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Warrants exercised</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(54,255)</w:t>
            </w:r>
          </w:p>
        </w:tc>
      </w:tr>
      <w:tr>
        <w:trPr>
          <w:trHeight w:val="142"/>
        </w:trPr>
        <w:tc>
          <w:tcPr>
            <w:tcW w:w="27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June 30, 2022</w:t>
            </w:r>
          </w:p>
        </w:tc>
        <w:tc>
          <w:tcPr>
            <w:tcW w:w="122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386,406,231</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12,298,128</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1,099,033</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(568,462)</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530,571</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(2,602)</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bottom w:val="single" w:sz="8" w:color="auto"/>
            </w:tcBorders>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b w:val="1"/>
                <w:bCs w:val="1"/>
                <w:color w:val="auto"/>
              </w:rPr>
              <w:t>527,969</w:t>
            </w:r>
          </w:p>
        </w:tc>
      </w:tr>
    </w:tbl>
    <w:p>
      <w:pPr>
        <w:spacing w:after="0" w:line="9" w:lineRule="exact"/>
        <w:rPr>
          <w:sz w:val="20"/>
          <w:szCs w:val="20"/>
          <w:color w:val="auto"/>
        </w:rPr>
      </w:pPr>
    </w:p>
    <w:p>
      <w:pPr>
        <w:ind w:left="2940" w:right="2940" w:hanging="2932"/>
        <w:spacing w:after="0" w:line="515" w:lineRule="auto"/>
        <w:tabs>
          <w:tab w:leader="none" w:pos="36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are net of any shares withheld by the Company to satisfy certain tax withholdings in connection with vesting of equity-based awards. The accompanying notes are an integral part of these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-372110</wp:posOffset>
            </wp:positionV>
            <wp:extent cx="54089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COLUMBIA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for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Total Columbia Care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2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Proportionate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36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3"/>
              </w:rPr>
              <w:t>Inc.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Controlling</w:t>
            </w:r>
          </w:p>
        </w:tc>
        <w:tc>
          <w:tcPr>
            <w:tcW w:w="140" w:type="dxa"/>
            <w:vAlign w:val="bottom"/>
          </w:tcPr>
          <w:p>
            <w:pPr>
              <w:spacing w:after="0"/>
              <w:rPr>
                <w:sz w:val="12"/>
                <w:szCs w:val="12"/>
                <w:color w:val="auto"/>
              </w:rPr>
            </w:pPr>
          </w:p>
        </w:tc>
        <w:tc>
          <w:tcPr>
            <w:tcW w:w="80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2720" w:type="dxa"/>
            <w:vAlign w:val="bottom"/>
          </w:tcPr>
          <w:p>
            <w:pPr>
              <w:spacing w:after="0"/>
              <w:rPr>
                <w:sz w:val="13"/>
                <w:szCs w:val="13"/>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Voting Shares</w:t>
            </w:r>
          </w:p>
        </w:tc>
        <w:tc>
          <w:tcPr>
            <w:tcW w:w="140" w:type="dxa"/>
            <w:vAlign w:val="bottom"/>
          </w:tcPr>
          <w:p>
            <w:pPr>
              <w:spacing w:after="0"/>
              <w:rPr>
                <w:sz w:val="13"/>
                <w:szCs w:val="13"/>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8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3"/>
                <w:szCs w:val="13"/>
                <w:color w:val="auto"/>
              </w:rPr>
            </w:pPr>
          </w:p>
        </w:tc>
        <w:tc>
          <w:tcPr>
            <w:tcW w:w="13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Shareholders' Equity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3"/>
                <w:szCs w:val="13"/>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272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2020</w:t>
            </w:r>
          </w:p>
        </w:tc>
        <w:tc>
          <w:tcPr>
            <w:tcW w:w="122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250,003,917</w:t>
            </w:r>
          </w:p>
        </w:tc>
        <w:tc>
          <w:tcPr>
            <w:tcW w:w="16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26,507,914</w:t>
            </w: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632,062</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(325,238)</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306,824</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(19,875)</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b w:val="1"/>
                <w:bCs w:val="1"/>
                <w:color w:val="auto"/>
              </w:rPr>
              <w:t>286,949</w:t>
            </w: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Equity-based compensation (1)</w:t>
            </w: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190,925</w:t>
            </w:r>
          </w:p>
        </w:tc>
        <w:tc>
          <w:tcPr>
            <w:tcW w:w="160" w:type="dxa"/>
            <w:vAlign w:val="bottom"/>
          </w:tcPr>
          <w:p>
            <w:pPr>
              <w:spacing w:after="0"/>
              <w:rPr>
                <w:sz w:val="12"/>
                <w:szCs w:val="12"/>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7,792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7,792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7,792</w:t>
            </w:r>
          </w:p>
        </w:tc>
      </w:tr>
      <w:tr>
        <w:trPr>
          <w:trHeight w:val="1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shares, net</w:t>
            </w:r>
          </w:p>
        </w:tc>
        <w:tc>
          <w:tcPr>
            <w:tcW w:w="1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21,792,500</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133,151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133,151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133,151</w:t>
            </w:r>
          </w:p>
        </w:tc>
      </w:tr>
      <w:tr>
        <w:trPr>
          <w:trHeight w:val="149"/>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shares in connection with acquisitions</w:t>
            </w: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971,541</w:t>
            </w:r>
          </w:p>
        </w:tc>
        <w:tc>
          <w:tcPr>
            <w:tcW w:w="160" w:type="dxa"/>
            <w:vAlign w:val="bottom"/>
          </w:tcPr>
          <w:p>
            <w:pPr>
              <w:spacing w:after="0"/>
              <w:rPr>
                <w:sz w:val="12"/>
                <w:szCs w:val="12"/>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4,972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4,972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4,972</w:t>
            </w:r>
          </w:p>
        </w:tc>
      </w:tr>
      <w:tr>
        <w:trPr>
          <w:trHeight w:val="1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Conversion between classes of shares</w:t>
            </w:r>
          </w:p>
        </w:tc>
        <w:tc>
          <w:tcPr>
            <w:tcW w:w="1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9,236,733</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(9,236,733)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Cancellation of restricted stock awards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(13,770)</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Warrants exercised</w:t>
            </w:r>
          </w:p>
        </w:tc>
        <w:tc>
          <w:tcPr>
            <w:tcW w:w="1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262,200</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808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808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808</w:t>
            </w: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(29,163)</w:t>
            </w:r>
          </w:p>
        </w:tc>
      </w:tr>
      <w:tr>
        <w:trPr>
          <w:trHeight w:val="142"/>
        </w:trPr>
        <w:tc>
          <w:tcPr>
            <w:tcW w:w="272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March 31, 2021</w:t>
            </w:r>
          </w:p>
        </w:tc>
        <w:tc>
          <w:tcPr>
            <w:tcW w:w="122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282,444,046</w:t>
            </w:r>
          </w:p>
        </w:tc>
        <w:tc>
          <w:tcPr>
            <w:tcW w:w="16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17,263,104</w:t>
            </w: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778,785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(354,020)</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424,765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(20,256)</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b w:val="1"/>
                <w:bCs w:val="1"/>
                <w:color w:val="auto"/>
              </w:rPr>
              <w:t>404,509</w:t>
            </w:r>
          </w:p>
        </w:tc>
      </w:tr>
      <w:tr>
        <w:trPr>
          <w:trHeight w:val="148"/>
        </w:trPr>
        <w:tc>
          <w:tcPr>
            <w:tcW w:w="2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Equity-based compensation </w:t>
            </w:r>
            <w:r>
              <w:rPr>
                <w:rFonts w:ascii="Times New Roman" w:cs="Times New Roman" w:eastAsia="Times New Roman" w:hAnsi="Times New Roman"/>
                <w:sz w:val="10"/>
                <w:szCs w:val="10"/>
                <w:color w:val="auto"/>
              </w:rPr>
              <w:t>(1)</w:t>
            </w:r>
          </w:p>
        </w:tc>
        <w:tc>
          <w:tcPr>
            <w:tcW w:w="1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4,787,211</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2,582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2,582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2,582</w:t>
            </w: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shares in connection with acquisitions</w:t>
            </w: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54,238,143</w:t>
            </w:r>
          </w:p>
        </w:tc>
        <w:tc>
          <w:tcPr>
            <w:tcW w:w="160" w:type="dxa"/>
            <w:vAlign w:val="bottom"/>
          </w:tcPr>
          <w:p>
            <w:pPr>
              <w:spacing w:after="0"/>
              <w:rPr>
                <w:sz w:val="12"/>
                <w:szCs w:val="12"/>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189,019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189,019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189,019</w:t>
            </w:r>
          </w:p>
        </w:tc>
      </w:tr>
      <w:tr>
        <w:trPr>
          <w:trHeight w:val="14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Conversion of convertible notes</w:t>
            </w:r>
          </w:p>
        </w:tc>
        <w:tc>
          <w:tcPr>
            <w:tcW w:w="1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4,550,139</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23,919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23,919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23,919</w:t>
            </w: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Conversion between classes of shares</w:t>
            </w: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1,584,570</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(1,584,570)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Cancellation of restricted stock awards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(85,755)</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(330,646)</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Warrants exercised</w:t>
            </w: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551,743</w:t>
            </w:r>
          </w:p>
        </w:tc>
        <w:tc>
          <w:tcPr>
            <w:tcW w:w="160" w:type="dxa"/>
            <w:vAlign w:val="bottom"/>
          </w:tcPr>
          <w:p>
            <w:pPr>
              <w:spacing w:after="0"/>
              <w:rPr>
                <w:sz w:val="12"/>
                <w:szCs w:val="12"/>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1,093</w:t>
            </w:r>
          </w:p>
        </w:tc>
      </w:tr>
      <w:tr>
        <w:trPr>
          <w:trHeight w:val="1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Non-controlling interest buyouts</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1,964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1,960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(18,144)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(18,144)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(18,657)</w:t>
            </w:r>
          </w:p>
        </w:tc>
      </w:tr>
      <w:tr>
        <w:trPr>
          <w:trHeight w:val="142"/>
        </w:trPr>
        <w:tc>
          <w:tcPr>
            <w:tcW w:w="27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June 30, 2021</w:t>
            </w:r>
          </w:p>
        </w:tc>
        <w:tc>
          <w:tcPr>
            <w:tcW w:w="122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348,070,097</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15,347,888</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997,362</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(372,164)</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625,198</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(22,729)</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bottom w:val="single" w:sz="8" w:color="auto"/>
            </w:tcBorders>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b w:val="1"/>
                <w:bCs w:val="1"/>
                <w:color w:val="auto"/>
              </w:rPr>
              <w:t>602,469</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The amounts shown are net of any shares withheld by the Company to satisfy certain tax withholdings in connection with vesting of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-91440</wp:posOffset>
            </wp:positionV>
            <wp:extent cx="54089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COLUMBIA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78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1440" w:type="dxa"/>
            <w:vAlign w:val="bottom"/>
            <w:tcBorders>
              <w:bottom w:val="single" w:sz="8" w:color="auto"/>
            </w:tcBorders>
          </w:tcPr>
          <w:p>
            <w:pPr>
              <w:spacing w:after="0"/>
              <w:rPr>
                <w:sz w:val="12"/>
                <w:szCs w:val="12"/>
                <w:color w:val="auto"/>
              </w:rPr>
            </w:pPr>
          </w:p>
        </w:tc>
      </w:tr>
      <w:tr>
        <w:trPr>
          <w:trHeight w:val="142"/>
        </w:trPr>
        <w:tc>
          <w:tcPr>
            <w:tcW w:w="6780" w:type="dxa"/>
            <w:vAlign w:val="bottom"/>
            <w:tcBorders>
              <w:bottom w:val="single" w:sz="8" w:color="CFF0FC"/>
            </w:tcBorders>
          </w:tcPr>
          <w:p>
            <w:pPr>
              <w:spacing w:after="0"/>
              <w:rPr>
                <w:sz w:val="12"/>
                <w:szCs w:val="12"/>
                <w:color w:val="auto"/>
              </w:rPr>
            </w:pPr>
          </w:p>
        </w:tc>
        <w:tc>
          <w:tcPr>
            <w:tcW w:w="13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2022</w:t>
            </w: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42"/>
        </w:trPr>
        <w:tc>
          <w:tcPr>
            <w:tcW w:w="6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r>
      <w:tr>
        <w:trPr>
          <w:trHeight w:val="148"/>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300" w:type="dxa"/>
            <w:vAlign w:val="bottom"/>
          </w:tcPr>
          <w:p>
            <w:pPr>
              <w:jc w:val="right"/>
              <w:ind w:right="1187"/>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(82,161)</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(47,820)</w:t>
            </w:r>
          </w:p>
        </w:tc>
      </w:tr>
      <w:tr>
        <w:trPr>
          <w:trHeight w:val="14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provided by (used in) operating activities:</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r>
      <w:tr>
        <w:trPr>
          <w:trHeight w:val="148"/>
        </w:trPr>
        <w:tc>
          <w:tcPr>
            <w:tcW w:w="6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300" w:type="dxa"/>
            <w:vAlign w:val="bottom"/>
          </w:tcPr>
          <w:p>
            <w:pPr>
              <w:spacing w:after="0"/>
              <w:rPr>
                <w:sz w:val="12"/>
                <w:szCs w:val="12"/>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41,268</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17,725</w:t>
            </w:r>
          </w:p>
        </w:tc>
      </w:tr>
      <w:tr>
        <w:trPr>
          <w:trHeight w:val="148"/>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14,052</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13,334</w:t>
            </w:r>
          </w:p>
        </w:tc>
      </w:tr>
      <w:tr>
        <w:trPr>
          <w:trHeight w:val="148"/>
        </w:trPr>
        <w:tc>
          <w:tcPr>
            <w:tcW w:w="6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Debt amortization expense</w:t>
            </w:r>
          </w:p>
        </w:tc>
        <w:tc>
          <w:tcPr>
            <w:tcW w:w="1300" w:type="dxa"/>
            <w:vAlign w:val="bottom"/>
          </w:tcPr>
          <w:p>
            <w:pPr>
              <w:spacing w:after="0"/>
              <w:rPr>
                <w:sz w:val="12"/>
                <w:szCs w:val="12"/>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4,073</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2,428</w:t>
            </w:r>
          </w:p>
        </w:tc>
      </w:tr>
      <w:tr>
        <w:trPr>
          <w:trHeight w:val="148"/>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Loss on Conversion of debts</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1,580</w:t>
            </w:r>
          </w:p>
        </w:tc>
      </w:tr>
      <w:tr>
        <w:trPr>
          <w:trHeight w:val="148"/>
        </w:trPr>
        <w:tc>
          <w:tcPr>
            <w:tcW w:w="6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Earnout adjustment</w:t>
            </w:r>
          </w:p>
        </w:tc>
        <w:tc>
          <w:tcPr>
            <w:tcW w:w="1300" w:type="dxa"/>
            <w:vAlign w:val="bottom"/>
          </w:tcPr>
          <w:p>
            <w:pPr>
              <w:spacing w:after="0"/>
              <w:rPr>
                <w:sz w:val="12"/>
                <w:szCs w:val="12"/>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476</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Provision for obsolete inventory and other assets</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272</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1,942</w:t>
            </w:r>
          </w:p>
        </w:tc>
      </w:tr>
      <w:tr>
        <w:trPr>
          <w:trHeight w:val="148"/>
        </w:trPr>
        <w:tc>
          <w:tcPr>
            <w:tcW w:w="6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 in fair value of derivative liability</w:t>
            </w:r>
          </w:p>
        </w:tc>
        <w:tc>
          <w:tcPr>
            <w:tcW w:w="13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(5,697)</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(1,913)</w:t>
            </w:r>
          </w:p>
        </w:tc>
      </w:tr>
      <w:tr>
        <w:trPr>
          <w:trHeight w:val="148"/>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Deferred taxes</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13,762</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4,888</w:t>
            </w:r>
          </w:p>
        </w:tc>
      </w:tr>
      <w:tr>
        <w:trPr>
          <w:trHeight w:val="148"/>
        </w:trPr>
        <w:tc>
          <w:tcPr>
            <w:tcW w:w="6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1300" w:type="dxa"/>
            <w:vAlign w:val="bottom"/>
          </w:tcPr>
          <w:p>
            <w:pPr>
              <w:spacing w:after="0"/>
              <w:rPr>
                <w:sz w:val="12"/>
                <w:szCs w:val="12"/>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730</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(154)</w:t>
            </w:r>
          </w:p>
        </w:tc>
      </w:tr>
      <w:tr>
        <w:trPr>
          <w:trHeight w:val="148"/>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Changes in operating assets and liabilities, net of acquisitions</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r>
      <w:tr>
        <w:trPr>
          <w:trHeight w:val="149"/>
        </w:trPr>
        <w:tc>
          <w:tcPr>
            <w:tcW w:w="6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Accounts receivable</w:t>
            </w:r>
          </w:p>
        </w:tc>
        <w:tc>
          <w:tcPr>
            <w:tcW w:w="1300" w:type="dxa"/>
            <w:vAlign w:val="bottom"/>
          </w:tcPr>
          <w:p>
            <w:pPr>
              <w:spacing w:after="0"/>
              <w:rPr>
                <w:sz w:val="12"/>
                <w:szCs w:val="12"/>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6,978</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1,842</w:t>
            </w:r>
          </w:p>
        </w:tc>
      </w:tr>
      <w:tr>
        <w:trPr>
          <w:trHeight w:val="148"/>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Inventory</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(27,218)</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(8,472)</w:t>
            </w:r>
          </w:p>
        </w:tc>
      </w:tr>
      <w:tr>
        <w:trPr>
          <w:trHeight w:val="148"/>
        </w:trPr>
        <w:tc>
          <w:tcPr>
            <w:tcW w:w="6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3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(4,347)</w:t>
            </w:r>
          </w:p>
        </w:tc>
      </w:tr>
      <w:tr>
        <w:trPr>
          <w:trHeight w:val="148"/>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Other assets</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(12,961)</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5,578</w:t>
            </w:r>
          </w:p>
        </w:tc>
      </w:tr>
      <w:tr>
        <w:trPr>
          <w:trHeight w:val="148"/>
        </w:trPr>
        <w:tc>
          <w:tcPr>
            <w:tcW w:w="6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Payroll liabilities</w:t>
            </w:r>
          </w:p>
        </w:tc>
        <w:tc>
          <w:tcPr>
            <w:tcW w:w="13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(1,994)</w:t>
            </w:r>
          </w:p>
        </w:tc>
      </w:tr>
      <w:tr>
        <w:trPr>
          <w:trHeight w:val="148"/>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Accounts payable</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(110)</w:t>
            </w:r>
          </w:p>
        </w:tc>
      </w:tr>
      <w:tr>
        <w:trPr>
          <w:trHeight w:val="149"/>
        </w:trPr>
        <w:tc>
          <w:tcPr>
            <w:tcW w:w="6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3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(22,842)</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(4,991)</w:t>
            </w:r>
          </w:p>
        </w:tc>
      </w:tr>
      <w:tr>
        <w:trPr>
          <w:trHeight w:val="148"/>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Income taxes payable</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(38,047)</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3,314</w:t>
            </w:r>
          </w:p>
        </w:tc>
      </w:tr>
      <w:tr>
        <w:trPr>
          <w:trHeight w:val="148"/>
        </w:trPr>
        <w:tc>
          <w:tcPr>
            <w:tcW w:w="6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13,366</w:t>
            </w:r>
          </w:p>
        </w:tc>
        <w:tc>
          <w:tcPr>
            <w:tcW w:w="18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(1,945)</w:t>
            </w:r>
          </w:p>
        </w:tc>
      </w:tr>
      <w:tr>
        <w:trPr>
          <w:trHeight w:val="142"/>
        </w:trPr>
        <w:tc>
          <w:tcPr>
            <w:tcW w:w="678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3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(99,783)</w:t>
            </w:r>
          </w:p>
        </w:tc>
        <w:tc>
          <w:tcPr>
            <w:tcW w:w="18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rPr>
              <w:t>(19,115)</w:t>
            </w:r>
          </w:p>
        </w:tc>
      </w:tr>
      <w:tr>
        <w:trPr>
          <w:trHeight w:val="142"/>
        </w:trPr>
        <w:tc>
          <w:tcPr>
            <w:tcW w:w="67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(35,214)</w:t>
            </w:r>
          </w:p>
        </w:tc>
      </w:tr>
      <w:tr>
        <w:trPr>
          <w:trHeight w:val="148"/>
        </w:trPr>
        <w:tc>
          <w:tcPr>
            <w:tcW w:w="6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3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(58,673)</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(32,261)</w:t>
            </w:r>
          </w:p>
        </w:tc>
      </w:tr>
      <w:tr>
        <w:trPr>
          <w:trHeight w:val="148"/>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Cash paid for other acquisition</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(15,727)</w:t>
            </w:r>
          </w:p>
        </w:tc>
      </w:tr>
      <w:tr>
        <w:trPr>
          <w:trHeight w:val="149"/>
        </w:trPr>
        <w:tc>
          <w:tcPr>
            <w:tcW w:w="6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sale of plant, property and equipment</w:t>
            </w:r>
          </w:p>
        </w:tc>
        <w:tc>
          <w:tcPr>
            <w:tcW w:w="1300" w:type="dxa"/>
            <w:vAlign w:val="bottom"/>
          </w:tcPr>
          <w:p>
            <w:pPr>
              <w:spacing w:after="0"/>
              <w:rPr>
                <w:sz w:val="12"/>
                <w:szCs w:val="12"/>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255</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Cash (paid) received on deposits, net</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1,699</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(1,402)</w:t>
            </w:r>
          </w:p>
        </w:tc>
      </w:tr>
      <w:tr>
        <w:trPr>
          <w:trHeight w:val="148"/>
        </w:trPr>
        <w:tc>
          <w:tcPr>
            <w:tcW w:w="6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Cash for loan under Cannascend and Corsa Verde agreements</w:t>
            </w:r>
          </w:p>
        </w:tc>
        <w:tc>
          <w:tcPr>
            <w:tcW w:w="1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(281)</w:t>
            </w:r>
          </w:p>
        </w:tc>
      </w:tr>
      <w:tr>
        <w:trPr>
          <w:trHeight w:val="142"/>
        </w:trPr>
        <w:tc>
          <w:tcPr>
            <w:tcW w:w="678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3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(57,682)</w:t>
            </w:r>
          </w:p>
        </w:tc>
        <w:tc>
          <w:tcPr>
            <w:tcW w:w="18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rPr>
              <w:t>(84,885)</w:t>
            </w:r>
          </w:p>
        </w:tc>
      </w:tr>
      <w:tr>
        <w:trPr>
          <w:trHeight w:val="142"/>
        </w:trPr>
        <w:tc>
          <w:tcPr>
            <w:tcW w:w="67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issuance of debt</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153,250</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74,500</w:t>
            </w:r>
          </w:p>
        </w:tc>
      </w:tr>
      <w:tr>
        <w:trPr>
          <w:trHeight w:val="148"/>
        </w:trPr>
        <w:tc>
          <w:tcPr>
            <w:tcW w:w="6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Debt issuance costs</w:t>
            </w:r>
          </w:p>
        </w:tc>
        <w:tc>
          <w:tcPr>
            <w:tcW w:w="13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(7,698)</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(2,980)</w:t>
            </w:r>
          </w:p>
        </w:tc>
      </w:tr>
      <w:tr>
        <w:trPr>
          <w:trHeight w:val="14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issue of equity</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133,559</w:t>
            </w:r>
          </w:p>
        </w:tc>
      </w:tr>
      <w:tr>
        <w:trPr>
          <w:trHeight w:val="148"/>
        </w:trPr>
        <w:tc>
          <w:tcPr>
            <w:tcW w:w="6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Equity issuance costs</w:t>
            </w:r>
          </w:p>
        </w:tc>
        <w:tc>
          <w:tcPr>
            <w:tcW w:w="1300" w:type="dxa"/>
            <w:vAlign w:val="bottom"/>
          </w:tcPr>
          <w:p>
            <w:pPr>
              <w:spacing w:after="0"/>
              <w:rPr>
                <w:sz w:val="12"/>
                <w:szCs w:val="12"/>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(408)</w:t>
            </w:r>
          </w:p>
        </w:tc>
      </w:tr>
      <w:tr>
        <w:trPr>
          <w:trHeight w:val="148"/>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Repayment of debt</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of Mortgage</w:t>
            </w:r>
          </w:p>
        </w:tc>
        <w:tc>
          <w:tcPr>
            <w:tcW w:w="1300" w:type="dxa"/>
            <w:vAlign w:val="bottom"/>
          </w:tcPr>
          <w:p>
            <w:pPr>
              <w:spacing w:after="0"/>
              <w:rPr>
                <w:sz w:val="12"/>
                <w:szCs w:val="12"/>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16,500</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Repayment of sellers note</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(7,875)</w:t>
            </w:r>
          </w:p>
        </w:tc>
      </w:tr>
      <w:tr>
        <w:trPr>
          <w:trHeight w:val="148"/>
        </w:trPr>
        <w:tc>
          <w:tcPr>
            <w:tcW w:w="6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Payment of lease liabilities</w:t>
            </w:r>
          </w:p>
        </w:tc>
        <w:tc>
          <w:tcPr>
            <w:tcW w:w="13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(2,966)</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(4,590)</w:t>
            </w:r>
          </w:p>
        </w:tc>
      </w:tr>
      <w:tr>
        <w:trPr>
          <w:trHeight w:val="14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Exercise of warrants</w:t>
            </w:r>
          </w:p>
        </w:tc>
        <w:tc>
          <w:tcPr>
            <w:tcW w:w="13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425</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1,901</w:t>
            </w:r>
          </w:p>
        </w:tc>
      </w:tr>
      <w:tr>
        <w:trPr>
          <w:trHeight w:val="148"/>
        </w:trPr>
        <w:tc>
          <w:tcPr>
            <w:tcW w:w="6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Taxes paid on equity based compensation</w:t>
            </w:r>
          </w:p>
        </w:tc>
        <w:tc>
          <w:tcPr>
            <w:tcW w:w="1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8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(2,965)</w:t>
            </w:r>
          </w:p>
        </w:tc>
      </w:tr>
      <w:tr>
        <w:trPr>
          <w:trHeight w:val="142"/>
        </w:trPr>
        <w:tc>
          <w:tcPr>
            <w:tcW w:w="678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13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157,707</w:t>
            </w:r>
          </w:p>
        </w:tc>
        <w:tc>
          <w:tcPr>
            <w:tcW w:w="18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191,142</w:t>
            </w:r>
          </w:p>
        </w:tc>
      </w:tr>
      <w:tr>
        <w:trPr>
          <w:trHeight w:val="142"/>
        </w:trPr>
        <w:tc>
          <w:tcPr>
            <w:tcW w:w="67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increase (decrease) in cash</w:t>
            </w:r>
          </w:p>
        </w:tc>
        <w:tc>
          <w:tcPr>
            <w:tcW w:w="1300" w:type="dxa"/>
            <w:vAlign w:val="bottom"/>
          </w:tcPr>
          <w:p>
            <w:pPr>
              <w:spacing w:after="0"/>
              <w:rPr>
                <w:sz w:val="12"/>
                <w:szCs w:val="12"/>
                <w:color w:val="auto"/>
              </w:rPr>
            </w:pPr>
          </w:p>
        </w:tc>
        <w:tc>
          <w:tcPr>
            <w:tcW w:w="84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242</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87,142</w:t>
            </w:r>
          </w:p>
        </w:tc>
      </w:tr>
      <w:tr>
        <w:trPr>
          <w:trHeight w:val="148"/>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and restricted cash at beginning of the period</w:t>
            </w:r>
          </w:p>
        </w:tc>
        <w:tc>
          <w:tcPr>
            <w:tcW w:w="13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82,533</w:t>
            </w:r>
          </w:p>
        </w:tc>
        <w:tc>
          <w:tcPr>
            <w:tcW w:w="18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71,969</w:t>
            </w:r>
          </w:p>
        </w:tc>
      </w:tr>
      <w:tr>
        <w:trPr>
          <w:trHeight w:val="182"/>
        </w:trPr>
        <w:tc>
          <w:tcPr>
            <w:tcW w:w="678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Cash and restricted cash at end of the period</w:t>
            </w:r>
          </w:p>
        </w:tc>
        <w:tc>
          <w:tcPr>
            <w:tcW w:w="1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82,775</w:t>
            </w:r>
          </w:p>
        </w:tc>
        <w:tc>
          <w:tcPr>
            <w:tcW w:w="18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159,111</w:t>
            </w:r>
          </w:p>
        </w:tc>
      </w:tr>
      <w:tr>
        <w:trPr>
          <w:trHeight w:val="129"/>
        </w:trPr>
        <w:tc>
          <w:tcPr>
            <w:tcW w:w="67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Reconciliation of cash and cash equivalents and restricted cash:</w:t>
            </w:r>
          </w:p>
        </w:tc>
        <w:tc>
          <w:tcPr>
            <w:tcW w:w="13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r>
      <w:tr>
        <w:trPr>
          <w:trHeight w:val="149"/>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300" w:type="dxa"/>
            <w:vAlign w:val="bottom"/>
          </w:tcPr>
          <w:p>
            <w:pPr>
              <w:spacing w:after="0"/>
              <w:rPr>
                <w:sz w:val="12"/>
                <w:szCs w:val="12"/>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81,440</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148,750</w:t>
            </w:r>
          </w:p>
        </w:tc>
      </w:tr>
      <w:tr>
        <w:trPr>
          <w:trHeight w:val="148"/>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13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1,335</w:t>
            </w:r>
          </w:p>
        </w:tc>
        <w:tc>
          <w:tcPr>
            <w:tcW w:w="18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10,361</w:t>
            </w:r>
          </w:p>
        </w:tc>
      </w:tr>
      <w:tr>
        <w:trPr>
          <w:trHeight w:val="182"/>
        </w:trPr>
        <w:tc>
          <w:tcPr>
            <w:tcW w:w="678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Cash and cash equivalents and restricted cash, end of period</w:t>
            </w:r>
          </w:p>
        </w:tc>
        <w:tc>
          <w:tcPr>
            <w:tcW w:w="1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82,775</w:t>
            </w:r>
          </w:p>
        </w:tc>
        <w:tc>
          <w:tcPr>
            <w:tcW w:w="18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159,111</w:t>
            </w:r>
          </w:p>
        </w:tc>
      </w:tr>
      <w:tr>
        <w:trPr>
          <w:trHeight w:val="129"/>
        </w:trPr>
        <w:tc>
          <w:tcPr>
            <w:tcW w:w="67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3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r>
      <w:tr>
        <w:trPr>
          <w:trHeight w:val="149"/>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Operating cash flows from operating leases</w:t>
            </w:r>
          </w:p>
        </w:tc>
        <w:tc>
          <w:tcPr>
            <w:tcW w:w="1300" w:type="dxa"/>
            <w:vAlign w:val="bottom"/>
            <w:shd w:val="clear" w:color="auto" w:fill="CFF0FC"/>
          </w:tcPr>
          <w:p>
            <w:pPr>
              <w:jc w:val="right"/>
              <w:ind w:right="1187"/>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12,424</w:t>
            </w:r>
          </w:p>
        </w:tc>
        <w:tc>
          <w:tcPr>
            <w:tcW w:w="88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10,168</w:t>
            </w:r>
          </w:p>
        </w:tc>
      </w:tr>
      <w:tr>
        <w:trPr>
          <w:trHeight w:val="149"/>
        </w:trPr>
        <w:tc>
          <w:tcPr>
            <w:tcW w:w="6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cash flows from finance leases</w:t>
            </w:r>
          </w:p>
        </w:tc>
        <w:tc>
          <w:tcPr>
            <w:tcW w:w="1300" w:type="dxa"/>
            <w:vAlign w:val="bottom"/>
          </w:tcPr>
          <w:p>
            <w:pPr>
              <w:jc w:val="right"/>
              <w:ind w:right="1187"/>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2,913</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2,413</w:t>
            </w:r>
          </w:p>
        </w:tc>
      </w:tr>
      <w:tr>
        <w:trPr>
          <w:trHeight w:val="148"/>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Financing cash flows from finance leases</w:t>
            </w:r>
          </w:p>
        </w:tc>
        <w:tc>
          <w:tcPr>
            <w:tcW w:w="1300" w:type="dxa"/>
            <w:vAlign w:val="bottom"/>
            <w:shd w:val="clear" w:color="auto" w:fill="CFF0FC"/>
          </w:tcPr>
          <w:p>
            <w:pPr>
              <w:jc w:val="right"/>
              <w:ind w:right="1187"/>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2,965</w:t>
            </w:r>
          </w:p>
        </w:tc>
        <w:tc>
          <w:tcPr>
            <w:tcW w:w="88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4,590</w:t>
            </w:r>
          </w:p>
        </w:tc>
      </w:tr>
      <w:tr>
        <w:trPr>
          <w:trHeight w:val="148"/>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 on other obligations</w:t>
            </w:r>
          </w:p>
        </w:tc>
        <w:tc>
          <w:tcPr>
            <w:tcW w:w="1300" w:type="dxa"/>
            <w:vAlign w:val="bottom"/>
          </w:tcPr>
          <w:p>
            <w:pPr>
              <w:jc w:val="right"/>
              <w:ind w:right="1187"/>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12,180</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6,141</w:t>
            </w:r>
          </w:p>
        </w:tc>
      </w:tr>
      <w:tr>
        <w:trPr>
          <w:trHeight w:val="14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1300" w:type="dxa"/>
            <w:vAlign w:val="bottom"/>
            <w:shd w:val="clear" w:color="auto" w:fill="CFF0FC"/>
          </w:tcPr>
          <w:p>
            <w:pPr>
              <w:jc w:val="right"/>
              <w:ind w:right="1187"/>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43,759</w:t>
            </w:r>
          </w:p>
        </w:tc>
        <w:tc>
          <w:tcPr>
            <w:tcW w:w="88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4,312</w:t>
            </w:r>
          </w:p>
        </w:tc>
      </w:tr>
      <w:tr>
        <w:trPr>
          <w:trHeight w:val="148"/>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Lease liabilities arising from the recognition of finance right-of-use assets</w:t>
            </w:r>
          </w:p>
        </w:tc>
        <w:tc>
          <w:tcPr>
            <w:tcW w:w="1300" w:type="dxa"/>
            <w:vAlign w:val="bottom"/>
          </w:tcPr>
          <w:p>
            <w:pPr>
              <w:jc w:val="right"/>
              <w:ind w:right="1187"/>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10,406</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13,456</w:t>
            </w:r>
          </w:p>
        </w:tc>
      </w:tr>
      <w:tr>
        <w:trPr>
          <w:trHeight w:val="148"/>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Lease liabilities arising from the recognition of operating right-of-use assets</w:t>
            </w:r>
          </w:p>
        </w:tc>
        <w:tc>
          <w:tcPr>
            <w:tcW w:w="1300" w:type="dxa"/>
            <w:vAlign w:val="bottom"/>
            <w:shd w:val="clear" w:color="auto" w:fill="CFF0FC"/>
          </w:tcPr>
          <w:p>
            <w:pPr>
              <w:jc w:val="right"/>
              <w:ind w:right="1187"/>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1,851</w:t>
            </w:r>
          </w:p>
        </w:tc>
        <w:tc>
          <w:tcPr>
            <w:tcW w:w="88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31,382</w:t>
            </w:r>
          </w:p>
        </w:tc>
      </w:tr>
      <w:tr>
        <w:trPr>
          <w:trHeight w:val="149"/>
        </w:trPr>
        <w:tc>
          <w:tcPr>
            <w:tcW w:w="6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Non-cash fixed asset additions within accounts payable and accrued expenses</w:t>
            </w:r>
          </w:p>
        </w:tc>
        <w:tc>
          <w:tcPr>
            <w:tcW w:w="1300" w:type="dxa"/>
            <w:vAlign w:val="bottom"/>
            <w:shd w:val="clear" w:color="auto" w:fill="CFF0FC"/>
          </w:tcPr>
          <w:p>
            <w:pPr>
              <w:jc w:val="right"/>
              <w:ind w:right="1187"/>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7,957</w:t>
            </w:r>
          </w:p>
        </w:tc>
        <w:tc>
          <w:tcPr>
            <w:tcW w:w="88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15,182</w:t>
            </w:r>
          </w:p>
        </w:tc>
      </w:tr>
      <w:tr>
        <w:trPr>
          <w:trHeight w:val="164"/>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in connection with business acquisitions</w:t>
            </w:r>
          </w:p>
        </w:tc>
        <w:tc>
          <w:tcPr>
            <w:tcW w:w="1300" w:type="dxa"/>
            <w:vAlign w:val="bottom"/>
          </w:tcPr>
          <w:p>
            <w:pPr>
              <w:jc w:val="right"/>
              <w:ind w:right="1187"/>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3,178</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132,201</w:t>
            </w:r>
          </w:p>
        </w:tc>
      </w:tr>
    </w:tbl>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COLUMBIA CARE INC.</w:t>
      </w:r>
    </w:p>
    <w:p>
      <w:pPr>
        <w:spacing w:after="0" w:line="31" w:lineRule="exact"/>
        <w:rPr>
          <w:sz w:val="20"/>
          <w:szCs w:val="20"/>
          <w:color w:val="auto"/>
        </w:rPr>
      </w:pPr>
    </w:p>
    <w:p>
      <w:pPr>
        <w:ind w:right="4440"/>
        <w:spacing w:after="0" w:line="250" w:lineRule="auto"/>
        <w:rPr>
          <w:sz w:val="20"/>
          <w:szCs w:val="20"/>
          <w:color w:val="auto"/>
        </w:rPr>
      </w:pPr>
      <w:r>
        <w:rPr>
          <w:rFonts w:ascii="Times New Roman" w:cs="Times New Roman" w:eastAsia="Times New Roman" w:hAnsi="Times New Roman"/>
          <w:sz w:val="18"/>
          <w:szCs w:val="18"/>
          <w:color w:val="auto"/>
        </w:rPr>
        <w:t>NOTES TO THE CONDENSED INTERIM CONSOLIDATED FINANCIAL STATEMENTS FOR THE THREE AND SIX MONTHS ENDED JUNE 30, 2022 AND 2021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 OF THE COMPANY</w:t>
      </w:r>
    </w:p>
    <w:p>
      <w:pPr>
        <w:spacing w:after="0" w:line="161" w:lineRule="exact"/>
        <w:rPr>
          <w:rFonts w:ascii="Times New Roman" w:cs="Times New Roman" w:eastAsia="Times New Roman" w:hAnsi="Times New Roman"/>
          <w:sz w:val="18"/>
          <w:szCs w:val="18"/>
          <w:b w:val="1"/>
          <w:bCs w:val="1"/>
          <w:color w:val="auto"/>
        </w:rPr>
      </w:pPr>
    </w:p>
    <w:p>
      <w:pPr>
        <w:jc w:val="both"/>
        <w:ind w:left="4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Columbia Care Inc. (“the Company” or “the Parent”), was incorporated under the laws of the Province of Ontario on August 13, 2018. The Company's principal mission is to improve lives by providing cannabis-based health and wellness solutions and derivative products to qualified patients and consumers. The Company’s head office and principal address is 680 Fifth Ave. 24th Floor, New York, New York 10019. The Company’s registered and records office address is 666 Burrard St #1700, Vancouver, British Columbia V6C 2X8.</w:t>
      </w:r>
    </w:p>
    <w:p>
      <w:pPr>
        <w:spacing w:after="0" w:line="112" w:lineRule="exact"/>
        <w:rPr>
          <w:rFonts w:ascii="Times New Roman" w:cs="Times New Roman" w:eastAsia="Times New Roman" w:hAnsi="Times New Roman"/>
          <w:sz w:val="18"/>
          <w:szCs w:val="18"/>
          <w:b w:val="1"/>
          <w:bCs w:val="1"/>
          <w:color w:val="auto"/>
        </w:rPr>
      </w:pPr>
    </w:p>
    <w:p>
      <w:pPr>
        <w:jc w:val="both"/>
        <w:ind w:left="4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26, 2019, the Company completed a reverse takeover (“RTO”) transaction and private placement. Following the RTO, the Company’s Common Shares were listed on the Aequitas NEO exchange, trading under the symbol “CCHW”. As of the time of this report, the Company’s Common Shares are also listed on the Canadian Securities Exchange (the “CSE”) under the symbol “CCHW”, the OTCQX Best Market under the symbol “CCHWF” and on the Frankfurt Stock Exchange under the symbol “3LP.</w:t>
      </w:r>
    </w:p>
    <w:p>
      <w:pPr>
        <w:spacing w:after="0" w:line="98" w:lineRule="exact"/>
        <w:rPr>
          <w:rFonts w:ascii="Times New Roman" w:cs="Times New Roman" w:eastAsia="Times New Roman" w:hAnsi="Times New Roman"/>
          <w:sz w:val="18"/>
          <w:szCs w:val="18"/>
          <w:b w:val="1"/>
          <w:bCs w:val="1"/>
          <w:color w:val="auto"/>
        </w:rPr>
      </w:pPr>
    </w:p>
    <w:p>
      <w:pPr>
        <w:jc w:val="both"/>
        <w:ind w:left="4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23, 2022, the Company jointly announced with Cresco Labs LLC (“Cresco Labs”) that the Company and Cresco Labs have entered into a definitive arrangement agreement (the “Arrangement Agreement”) pursuant to which Cresco Labs will acquire all of the issued and outstanding shares (the “Company Shares”) of the Company (the “Cresco Transaction”). Subject to customary closing conditions and necessary regulatory approvals, the Cresco Transaction is expected to close around the end of 2022. Under the terms of the Arrangement Agreement, shareholders of the Company (the “Company Shareholders”) will receive 0.5579 of a subordinate voting share of Cresco Labs (each whole share, a “Cresco Labs Share”) for each Company common share (or equivalent) held, subject to adjustment, representing total consideration enterprise value of approximately US$2.0 billion based on the closing price of Cresco Labs Shares on the CSE as of March 22, 2022. After giving effect to the Cresco Transaction, Company Shareholders will hold approximately 35% of the pro forma Cresco Labs Shares (on a fully diluted in-the-money, treasury method basis).</w:t>
      </w:r>
    </w:p>
    <w:p>
      <w:pPr>
        <w:spacing w:after="0" w:line="120" w:lineRule="exact"/>
        <w:rPr>
          <w:rFonts w:ascii="Times New Roman" w:cs="Times New Roman" w:eastAsia="Times New Roman" w:hAnsi="Times New Roman"/>
          <w:sz w:val="18"/>
          <w:szCs w:val="18"/>
          <w:b w:val="1"/>
          <w:bCs w:val="1"/>
          <w:color w:val="auto"/>
        </w:rPr>
      </w:pPr>
    </w:p>
    <w:p>
      <w:pPr>
        <w:ind w:left="400" w:right="6140" w:hanging="392"/>
        <w:spacing w:after="0" w:line="424" w:lineRule="auto"/>
        <w:tabs>
          <w:tab w:leader="none" w:pos="39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preparation</w:t>
      </w:r>
    </w:p>
    <w:p>
      <w:pPr>
        <w:spacing w:after="0" w:line="1" w:lineRule="exact"/>
        <w:rPr>
          <w:rFonts w:ascii="Times New Roman" w:cs="Times New Roman" w:eastAsia="Times New Roman" w:hAnsi="Times New Roman"/>
          <w:sz w:val="18"/>
          <w:szCs w:val="18"/>
          <w:b w:val="1"/>
          <w:bCs w:val="1"/>
          <w:color w:val="auto"/>
        </w:rPr>
      </w:pPr>
    </w:p>
    <w:p>
      <w:pPr>
        <w:jc w:val="both"/>
        <w:ind w:lef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interim consolidated financial statements of the Company have been prepared in accordance with accounting principles generally accepted in the United States (“U.S. GAAP” or “GAAP”) for interim financial information and the rules and regulations of the Securities and Exchange Commission (the “SEC”).</w:t>
      </w:r>
    </w:p>
    <w:p>
      <w:pPr>
        <w:spacing w:after="0" w:line="94" w:lineRule="exact"/>
        <w:rPr>
          <w:rFonts w:ascii="Times New Roman" w:cs="Times New Roman" w:eastAsia="Times New Roman" w:hAnsi="Times New Roman"/>
          <w:sz w:val="18"/>
          <w:szCs w:val="18"/>
          <w:b w:val="1"/>
          <w:bCs w:val="1"/>
          <w:color w:val="auto"/>
        </w:rPr>
      </w:pPr>
    </w:p>
    <w:p>
      <w:pPr>
        <w:jc w:val="both"/>
        <w:ind w:left="4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interim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three and six months ended June 30, 2022, are not necessarily indicative of the results that may be expected for the current year ending December 31, 2022. The financial data presented herein should be read in conjunction with the audited consolidated financial statements and accompanying notes as of and for the years ended December 31, 2021, and 2020 included in the Annual Report on Form 10-K for the year ended December 31, 2021 (the “2021 Form 10-K”).</w:t>
      </w:r>
    </w:p>
    <w:p>
      <w:pPr>
        <w:spacing w:after="0" w:line="121" w:lineRule="exact"/>
        <w:rPr>
          <w:rFonts w:ascii="Times New Roman" w:cs="Times New Roman" w:eastAsia="Times New Roman" w:hAnsi="Times New Roman"/>
          <w:sz w:val="18"/>
          <w:szCs w:val="18"/>
          <w:b w:val="1"/>
          <w:bCs w:val="1"/>
          <w:color w:val="auto"/>
        </w:rPr>
      </w:pPr>
    </w:p>
    <w:p>
      <w:pPr>
        <w:jc w:val="both"/>
        <w:ind w:lef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these unaudited condensed interim consolidated financial statements in conformity with U.S. GAAP requires management to make estimates and assumptions that affect the reported amounts of assets and liabilities as of the date of the financial statements, and the reported amounts of revenues and expenses during the reporting periods. Actual results could differ materially from those estimates.</w:t>
      </w:r>
    </w:p>
    <w:p>
      <w:pPr>
        <w:spacing w:after="0" w:line="108"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pursuant to the rules and regulations of the SEC and the instructions to Form 10-Q.</w:t>
      </w:r>
    </w:p>
    <w:p>
      <w:pPr>
        <w:spacing w:after="0" w:line="76"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161"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significant accounting policies are described in Note 2 to the Company’s 2021 Form 10-K, filed with the Securities and Exchange Commission, or SEC, on March 31, 2022. There have been no material changes to the Company’s significant accounting policies.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9" w:name="page10"/>
    <w:bookmarkEnd w:id="9"/>
    <w:tbl>
      <w:tblPr>
        <w:tblLayout w:type="fixed"/>
        <w:tblInd w:w="400" w:type="dxa"/>
        <w:tblCellMar>
          <w:top w:w="0" w:type="dxa"/>
          <w:left w:w="0" w:type="dxa"/>
          <w:bottom w:w="0" w:type="dxa"/>
          <w:right w:w="0" w:type="dxa"/>
        </w:tblCellMar>
      </w:tblPr>
      <w:tr>
        <w:trPr>
          <w:trHeight w:val="23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51"/>
        </w:trPr>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revenues are disaggregated as follows:</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3700" w:type="dxa"/>
            <w:vAlign w:val="bottom"/>
            <w:gridSpan w:val="5"/>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23"/>
        </w:trPr>
        <w:tc>
          <w:tcPr>
            <w:tcW w:w="20" w:type="dxa"/>
            <w:vAlign w:val="bottom"/>
          </w:tcPr>
          <w:p>
            <w:pPr>
              <w:spacing w:after="0"/>
              <w:rPr>
                <w:sz w:val="19"/>
                <w:szCs w:val="19"/>
                <w:color w:val="auto"/>
              </w:rPr>
            </w:pPr>
          </w:p>
        </w:tc>
        <w:tc>
          <w:tcPr>
            <w:tcW w:w="2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Dispensary</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109,457</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85,942</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212,799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159,899</w:t>
            </w:r>
          </w:p>
        </w:tc>
      </w:tr>
      <w:tr>
        <w:trPr>
          <w:trHeight w:val="229"/>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Cultivation and wholesale</w:t>
            </w:r>
          </w:p>
        </w:tc>
        <w:tc>
          <w:tcPr>
            <w:tcW w:w="22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20,093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16,417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39,815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28,496</w:t>
            </w:r>
          </w:p>
        </w:tc>
      </w:tr>
      <w:tr>
        <w:trPr>
          <w:trHeight w:val="230"/>
        </w:trPr>
        <w:tc>
          <w:tcPr>
            <w:tcW w:w="2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129,571</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102,387</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252,658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188,482</w:t>
            </w: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netted discounts of $48,618 and $22,712, against the revenues, respectively. During the three and six months ended June 30, 2021, the Company netted discounts of $25,542 and $13,337, against the revenues, respectively. Discounts are provided by the Company during promotional days or weekends. Discounts are also provided to employees, seniors and other categories of customers and may include price reductions and coupons.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18"/>
          <w:szCs w:val="18"/>
          <w:color w:val="auto"/>
        </w:rPr>
        <w:t>The Company calculated its actual effective tax rate for the interim period and applied that rate to the interim period results. In accordance with ASC 740-270, at the end of each interim period the Company is required to determine its best estimate of its annual effective tax rate and apply that rate in providing income taxes on an interim period. However, in certain circumstances when the Company concludes it is unable to reliably estimate the annual effective tax rate for the year, the actual effective tax rate for the interim period may be used. The Company believes that, at this time, the use of the actual effective tax rate is more appropriate than the estimated annual effective tax rate method as the estimated annual effective tax rate method is not reliable due the high degree of uncertainty in estimating annual pre-tax income due to the growth stage of the business, the correlation of SG&amp;A expenses to revenue that are permanently disallowed via Section 280E of the Internal Revenue Code, and the timing of the completion of the Cresco transaction.</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debt</w:t>
      </w:r>
    </w:p>
    <w:p>
      <w:pPr>
        <w:spacing w:after="0" w:line="160"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modifications of debt arrangements in accordance with ASC 470-50 </w:t>
      </w:r>
      <w:r>
        <w:rPr>
          <w:rFonts w:ascii="Times New Roman" w:cs="Times New Roman" w:eastAsia="Times New Roman" w:hAnsi="Times New Roman"/>
          <w:sz w:val="18"/>
          <w:szCs w:val="18"/>
          <w:i w:val="1"/>
          <w:iCs w:val="1"/>
          <w:color w:val="auto"/>
        </w:rPr>
        <w:t>Modifications and Extinguishments</w:t>
      </w:r>
      <w:r>
        <w:rPr>
          <w:rFonts w:ascii="Times New Roman" w:cs="Times New Roman" w:eastAsia="Times New Roman" w:hAnsi="Times New Roman"/>
          <w:sz w:val="18"/>
          <w:szCs w:val="18"/>
          <w:color w:val="auto"/>
        </w:rPr>
        <w:t xml:space="preserve"> (“ASC 470-50”). As such, the Company continues to amortize any remaining unamortized debt discount as of debt modification date over the term of the amended debt. The Company expenses any fees paid to third parties and capitalizes creditor fees associated with the modification as a debt discount and amortizes them over the term of the amended debt.</w:t>
      </w:r>
    </w:p>
    <w:p>
      <w:pPr>
        <w:spacing w:after="0" w:line="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2"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We include the results of operations of the businesses that we acquire as of the acquisition date. We allocate the purchase price of the acquisitions to the assets acquired and liabilities assumed based on their estimated fair values. The excess of the purchase price over the fair values of identifiable assets and liabilities is recorded as goodwill. Acquisition-related expenses are recognized separately from the business combination and are expensed as incurred.</w:t>
      </w:r>
    </w:p>
    <w:p>
      <w:pPr>
        <w:spacing w:after="0" w:line="108"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the Company’s inventory are shown in the table below:</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Accessories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 - cannabis in cures and final vault</w:t>
            </w:r>
          </w:p>
        </w:tc>
        <w:tc>
          <w:tcPr>
            <w:tcW w:w="28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52,519</w:t>
            </w:r>
          </w:p>
        </w:tc>
      </w:tr>
      <w:tr>
        <w:trPr>
          <w:trHeight w:val="22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 - dried cannabis, concentrate and edible products</w:t>
            </w:r>
          </w:p>
        </w:tc>
        <w:tc>
          <w:tcPr>
            <w:tcW w:w="2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69,743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41,233</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121,514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94,567</w:t>
            </w: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The inventory values are net of inventory write-downs as a result of obsolescence or unmarketability charged to cost of sales. As a result of local market conditions in Colorado, there was a $2,400 write-down during the three and six months ended June 30,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0" w:name="page11"/>
    <w:bookmarkEnd w:id="10"/>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AND LONG-TERM DEBT</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and long-term obligations, net, are shown in the table below: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Notes</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Term debt</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69,965</w:t>
            </w:r>
          </w:p>
        </w:tc>
        <w:tc>
          <w:tcPr>
            <w:tcW w:w="10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Convertible Notes</w:t>
            </w: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74,500</w:t>
            </w:r>
          </w:p>
        </w:tc>
        <w:tc>
          <w:tcPr>
            <w:tcW w:w="100" w:type="dxa"/>
            <w:vAlign w:val="bottom"/>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Mortgage Notes</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 real estate notes</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related promissory notes</w:t>
            </w: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shd w:val="clear" w:color="auto" w:fill="CFF0FC"/>
          </w:tcPr>
          <w:p>
            <w:pPr>
              <w:spacing w:after="0"/>
              <w:rPr>
                <w:sz w:val="19"/>
                <w:szCs w:val="19"/>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Acquisition related term debt</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353,650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185,254</w:t>
            </w:r>
          </w:p>
        </w:tc>
        <w:tc>
          <w:tcPr>
            <w:tcW w:w="100" w:type="dxa"/>
            <w:vAlign w:val="bottom"/>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6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(15,206)</w:t>
            </w:r>
          </w:p>
        </w:tc>
        <w:tc>
          <w:tcPr>
            <w:tcW w:w="18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(19,301)</w:t>
            </w: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2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(12,880)</w:t>
            </w: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(5,379)</w:t>
            </w:r>
          </w:p>
        </w:tc>
      </w:tr>
      <w:tr>
        <w:trPr>
          <w:trHeight w:val="229"/>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Unamortized debt premium</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debt, net</w:t>
            </w: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325,666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160,901</w:t>
            </w:r>
          </w:p>
        </w:tc>
        <w:tc>
          <w:tcPr>
            <w:tcW w:w="100" w:type="dxa"/>
            <w:vAlign w:val="bottom"/>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net</w:t>
            </w: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(4,509)</w:t>
            </w:r>
          </w:p>
        </w:tc>
        <w:tc>
          <w:tcPr>
            <w:tcW w:w="18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(1,884)</w:t>
            </w:r>
          </w:p>
        </w:tc>
      </w:tr>
      <w:tr>
        <w:trPr>
          <w:trHeight w:val="223"/>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Long-term portion</w:t>
            </w: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321,157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*The current portion of the debt includes scheduled payments on the mortgage note, acquisition related promissory notes and acquisition related notes payable, net of corresponding portion of the unamortized debt discount, and unamortized deferred financing costs.</w:t>
      </w:r>
    </w:p>
    <w:p>
      <w:pPr>
        <w:spacing w:after="0" w:line="162"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and was not in default of any provisions under any of its debt arrangements as of June 30, 2022.</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160" w:lineRule="exact"/>
        <w:rPr>
          <w:sz w:val="20"/>
          <w:szCs w:val="20"/>
          <w:color w:val="auto"/>
        </w:rPr>
      </w:pPr>
    </w:p>
    <w:p>
      <w:pPr>
        <w:jc w:val="both"/>
        <w:ind w:left="400"/>
        <w:spacing w:after="0" w:line="255" w:lineRule="auto"/>
        <w:rPr>
          <w:sz w:val="20"/>
          <w:szCs w:val="20"/>
          <w:color w:val="auto"/>
        </w:rPr>
      </w:pPr>
      <w:r>
        <w:rPr>
          <w:rFonts w:ascii="Times New Roman" w:cs="Times New Roman" w:eastAsia="Times New Roman" w:hAnsi="Times New Roman"/>
          <w:sz w:val="18"/>
          <w:szCs w:val="18"/>
          <w:color w:val="auto"/>
        </w:rPr>
        <w:t>On February 3, 2022, Columbia Care closed a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Term Debt, pursuant to private agreements in accordance with the trust indenture, for an equivalent amount of 2026 Notes plus accrued but unpaid interest and any negotiated premium thereon.</w:t>
      </w:r>
    </w:p>
    <w:p>
      <w:pPr>
        <w:spacing w:after="0" w:line="121"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The premium and paid interest were paid out of funds raised from the February 2022 Private Placement. The Company accounted for the exchange of $31,750 aggregate principal amount of the existing Term Debt as a debt modification in accordance with ASC 470-50. The total unamortized debt and debt issuance costs of $2,153, related to modified portion of the Term Debt, will be amortized over the term of the 2026 Notes using the effective interest method. The Company incurred $7,189 in creditor fees in connection with the modified Term Debt and 2026 Notes and $301 in third-party legal fees related to 2026 Notes which were capitalized and will be amortized over the term of the 2026 Notes using the effective interest rate method.</w:t>
      </w:r>
    </w:p>
    <w:p>
      <w:pPr>
        <w:spacing w:after="0" w:line="102"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Total interest and amortization expense on the Company’s debt obligations during the three and six months ended June 30, 2022 and 2021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0"/>
        </w:trPr>
        <w:tc>
          <w:tcPr>
            <w:tcW w:w="340" w:type="dxa"/>
            <w:vAlign w:val="bottom"/>
          </w:tcPr>
          <w:p>
            <w:pPr>
              <w:spacing w:after="0"/>
              <w:rPr>
                <w:sz w:val="21"/>
                <w:szCs w:val="21"/>
                <w:color w:val="auto"/>
              </w:rPr>
            </w:pPr>
          </w:p>
        </w:tc>
        <w:tc>
          <w:tcPr>
            <w:tcW w:w="46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23"/>
        </w:trPr>
        <w:tc>
          <w:tcPr>
            <w:tcW w:w="34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5,897</w:t>
            </w:r>
          </w:p>
        </w:tc>
      </w:tr>
      <w:tr>
        <w:trPr>
          <w:trHeight w:val="230"/>
        </w:trPr>
        <w:tc>
          <w:tcPr>
            <w:tcW w:w="3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r>
      <w:tr>
        <w:trPr>
          <w:trHeight w:val="230"/>
        </w:trPr>
        <w:tc>
          <w:tcPr>
            <w:tcW w:w="34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premium</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3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w:t>
            </w:r>
          </w:p>
        </w:tc>
      </w:tr>
      <w:tr>
        <w:trPr>
          <w:trHeight w:val="230"/>
        </w:trPr>
        <w:tc>
          <w:tcPr>
            <w:tcW w:w="34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interest (expense) income, net</w:t>
            </w: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3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11,484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4,009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22,728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7,865</w:t>
            </w:r>
          </w:p>
        </w:tc>
      </w:tr>
      <w:tr>
        <w:trPr>
          <w:trHeight w:val="20"/>
        </w:trPr>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color w:val="auto"/>
        </w:rPr>
        <w:t>The weighted average interest rate on the Company’s indebtedness was 8.6%.</w:t>
      </w:r>
    </w:p>
    <w:p>
      <w:pPr>
        <w:spacing w:after="0" w:line="140"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5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Futurevision Holdings, Inc., Futurevision 2020, LLC and Medicine Man Longmont, LLC</w:t>
      </w:r>
    </w:p>
    <w:p>
      <w:pPr>
        <w:spacing w:after="0" w:line="159" w:lineRule="exact"/>
        <w:rPr>
          <w:rFonts w:ascii="Times New Roman" w:cs="Times New Roman" w:eastAsia="Times New Roman" w:hAnsi="Times New Roman"/>
          <w:sz w:val="18"/>
          <w:szCs w:val="18"/>
          <w:b w:val="1"/>
          <w:bCs w:val="1"/>
          <w:color w:val="auto"/>
        </w:rPr>
      </w:pPr>
    </w:p>
    <w:p>
      <w:pPr>
        <w:jc w:val="both"/>
        <w:ind w:left="4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 2021, the Company acquired (the “Medicine Man Transaction”) a 100% ownership interest in Futurevision Holdings, Inc. and Futurevision 2020, LLC (collectively, “Medicine Man”), through the Agreement and Plan of Merger (the “Merger Agreement”). Concurrently with the Merger Agreement, the Company was granted an option (the “Option”) to purchase Medicine Man Longmont, LLC (“Medicine Man Longmont”). The Option was exercised by the Company on August 12, 2022 following the sale of the Company’s former TGS Longmont location in July 2022. The Company has recorded the Option as an intangible asset as of the November 1, 2021, closing date, at its estimated fair value of $5,899, which represents the ultimate purchase price associated with the underlying property, since the time period to exercise the Option is short and given the certainty expressed by management to exercise the Option. As of June 30, 2022 TGS Longmont is reflected within assets held for sale on the Company’s consolidated balance sheet. Medicine Man was formed in 2010 for the purpose of selling medicinal and recreational cannabis products in the state of Colorado. Medicine Man owns and operates vertically integrated cultivation facilities, manufacturing facilities and retail dispensaries in the state of Colorado. The Company executed the Medicine Man Transaction in order to continue to grow revenues; expand its cultivation facilities, manufacturing facilities and dispensaries; and expand in the Colorado market.</w:t>
      </w:r>
    </w:p>
    <w:p>
      <w:pPr>
        <w:spacing w:after="0" w:line="124"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preliminary fair value of total consideration transferred and the fair value of each major class of consideration for Medicine Man:</w:t>
      </w:r>
    </w:p>
    <w:p>
      <w:pPr>
        <w:spacing w:after="0" w:line="81" w:lineRule="exact"/>
        <w:rPr>
          <w:sz w:val="20"/>
          <w:szCs w:val="20"/>
          <w:color w:val="auto"/>
        </w:rPr>
      </w:pPr>
    </w:p>
    <w:tbl>
      <w:tblPr>
        <w:tblLayout w:type="fixed"/>
        <w:tblInd w:w="4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8"/>
              </w:rPr>
              <w:t>Consideration transferred</w:t>
            </w:r>
          </w:p>
        </w:tc>
        <w:tc>
          <w:tcPr>
            <w:tcW w:w="66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820" w:type="dxa"/>
            <w:vAlign w:val="bottom"/>
            <w:gridSpan w:val="2"/>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7,240</w:t>
            </w:r>
          </w:p>
        </w:tc>
      </w:tr>
      <w:tr>
        <w:trPr>
          <w:trHeight w:val="229"/>
        </w:trPr>
        <w:tc>
          <w:tcPr>
            <w:tcW w:w="20" w:type="dxa"/>
            <w:vAlign w:val="bottom"/>
          </w:tcPr>
          <w:p>
            <w:pPr>
              <w:spacing w:after="0"/>
              <w:rPr>
                <w:sz w:val="19"/>
                <w:szCs w:val="19"/>
                <w:color w:val="auto"/>
              </w:rPr>
            </w:pPr>
          </w:p>
        </w:tc>
        <w:tc>
          <w:tcPr>
            <w:tcW w:w="8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 shares</w:t>
            </w:r>
          </w:p>
        </w:tc>
        <w:tc>
          <w:tcPr>
            <w:tcW w:w="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23,955</w:t>
            </w:r>
          </w:p>
        </w:tc>
      </w:tr>
      <w:tr>
        <w:trPr>
          <w:trHeight w:val="230"/>
        </w:trPr>
        <w:tc>
          <w:tcPr>
            <w:tcW w:w="20" w:type="dxa"/>
            <w:vAlign w:val="bottom"/>
          </w:tcPr>
          <w:p>
            <w:pPr>
              <w:spacing w:after="0"/>
              <w:rPr>
                <w:sz w:val="19"/>
                <w:szCs w:val="19"/>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3,664</w:t>
            </w:r>
          </w:p>
        </w:tc>
      </w:tr>
      <w:tr>
        <w:trPr>
          <w:trHeight w:val="229"/>
        </w:trPr>
        <w:tc>
          <w:tcPr>
            <w:tcW w:w="20" w:type="dxa"/>
            <w:vAlign w:val="bottom"/>
          </w:tcPr>
          <w:p>
            <w:pPr>
              <w:spacing w:after="0"/>
              <w:rPr>
                <w:sz w:val="19"/>
                <w:szCs w:val="19"/>
                <w:color w:val="auto"/>
              </w:rPr>
            </w:pPr>
          </w:p>
        </w:tc>
        <w:tc>
          <w:tcPr>
            <w:tcW w:w="8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option obligation</w:t>
            </w:r>
          </w:p>
        </w:tc>
        <w:tc>
          <w:tcPr>
            <w:tcW w:w="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5,899</w:t>
            </w:r>
          </w:p>
        </w:tc>
      </w:tr>
      <w:tr>
        <w:trPr>
          <w:trHeight w:val="223"/>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unadjusted purchase price</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40,758</w:t>
            </w:r>
          </w:p>
        </w:tc>
      </w:tr>
      <w:tr>
        <w:trPr>
          <w:trHeight w:val="229"/>
        </w:trPr>
        <w:tc>
          <w:tcPr>
            <w:tcW w:w="20" w:type="dxa"/>
            <w:vAlign w:val="bottom"/>
          </w:tcPr>
          <w:p>
            <w:pPr>
              <w:spacing w:after="0"/>
              <w:rPr>
                <w:sz w:val="19"/>
                <w:szCs w:val="19"/>
                <w:color w:val="auto"/>
              </w:rPr>
            </w:pPr>
          </w:p>
        </w:tc>
        <w:tc>
          <w:tcPr>
            <w:tcW w:w="8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20" w:type="dxa"/>
            <w:vAlign w:val="bottom"/>
          </w:tcPr>
          <w:p>
            <w:pPr>
              <w:spacing w:after="0"/>
              <w:rPr>
                <w:sz w:val="19"/>
                <w:szCs w:val="19"/>
                <w:color w:val="auto"/>
              </w:rPr>
            </w:pPr>
          </w:p>
        </w:tc>
        <w:tc>
          <w:tcPr>
            <w:tcW w:w="8640" w:type="dxa"/>
            <w:vAlign w:val="bottom"/>
            <w:tcBorders>
              <w:bottom w:val="single" w:sz="8" w:color="CFF0FC"/>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adjusted purchase price</w:t>
            </w:r>
          </w:p>
        </w:tc>
        <w:tc>
          <w:tcPr>
            <w:tcW w:w="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40,885</w:t>
            </w:r>
          </w:p>
        </w:tc>
      </w:tr>
      <w:tr>
        <w:trPr>
          <w:trHeight w:val="223"/>
        </w:trPr>
        <w:tc>
          <w:tcPr>
            <w:tcW w:w="20" w:type="dxa"/>
            <w:vAlign w:val="bottom"/>
          </w:tcPr>
          <w:p>
            <w:pPr>
              <w:spacing w:after="0"/>
              <w:rPr>
                <w:sz w:val="19"/>
                <w:szCs w:val="19"/>
                <w:color w:val="auto"/>
              </w:rPr>
            </w:pPr>
          </w:p>
        </w:tc>
        <w:tc>
          <w:tcPr>
            <w:tcW w:w="8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and cash equivalents acquired</w:t>
            </w:r>
          </w:p>
        </w:tc>
        <w:tc>
          <w:tcPr>
            <w:tcW w:w="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3"/>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purchase price, net of cash and cash equivalents acquired</w:t>
            </w: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39,635</w:t>
            </w: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Equity purchase consideration comprised 5,840,229 Common Shares of which 4,857,184 were issued during the year 2021. As per the terms of the Merger Agreement, the Company paid $836 in cash and issued 1,099,549 milestone shares in settlement of contingent consideration during April 2022.</w:t>
      </w:r>
    </w:p>
    <w:p>
      <w:pPr>
        <w:spacing w:after="0" w:line="108"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 less cash and cash equivalents acquired:</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9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tcBorders>
              <w:bottom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Purchase price allocation</w:t>
            </w:r>
          </w:p>
        </w:tc>
        <w:tc>
          <w:tcPr>
            <w:tcW w:w="67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800" w:type="dxa"/>
            <w:vAlign w:val="bottom"/>
            <w:gridSpan w:val="2"/>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Option deposit</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10,613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0" w:type="dxa"/>
            <w:vAlign w:val="bottom"/>
          </w:tcPr>
          <w:p>
            <w:pPr>
              <w:spacing w:after="0"/>
              <w:rPr>
                <w:sz w:val="1"/>
                <w:szCs w:val="1"/>
                <w:color w:val="auto"/>
              </w:rPr>
            </w:pPr>
          </w:p>
        </w:tc>
      </w:tr>
      <w:tr>
        <w:trPr>
          <w:trHeight w:val="22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The purchase price has been allocated on the basis of the preliminary estimates of fair values of assets and liabilities assumed, resulting in a goodwill of $9,908. The goodwill consists of expected synergies from combining operations of the Company and Medicine Man, and intangible assets not qualifying for separate recognition such as formulations, proprietary technologies and acquired know-how. None of the goodwill is deductible for tax purposes. No adjustments to the preliminary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 w:name="page13"/>
    <w:bookmarkEnd w:id="12"/>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allocation of purchase price impacted goodwill during the three and six months ended June 30, 2022. As additional information becomes available, the Company may revise the allocation to certain assets and liabilities and finalize the acquisition accounting within the required measurement period of one year.</w:t>
      </w:r>
    </w:p>
    <w:p>
      <w:pPr>
        <w:spacing w:after="0" w:line="95"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Medicine Man’s state licenses and trademarks represented identifiable intangible assets acquired in the amounts of $26,900 and $3,470 respectively, which were determined to have definite useful lives of 10 and 5 years respectively.</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fair value of the acquired assets and liabilities are provisional pending receipt of the final valuations for those assets and liabilities.</w:t>
      </w:r>
    </w:p>
    <w:p>
      <w:pPr>
        <w:spacing w:after="0" w:line="158"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In conjunction with the Medicine Man Transaction, the Company expensed $1,099 of acquisition-related costs, which have been included in selling, general and administrative expenses on the Company’s consolidated statement of operations and comprehensive loss for the year ended December 31, 2021.</w:t>
      </w:r>
    </w:p>
    <w:p>
      <w:pPr>
        <w:spacing w:after="0" w:line="95"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Accounting for the August 12, 2022 acquisition of the Medicine Man Longmont transaction will be captured in the Company's Q3 financial statements.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Agreement and Plan of Merger with Green Leaf Medical LLC</w:t>
      </w:r>
    </w:p>
    <w:p>
      <w:pPr>
        <w:spacing w:after="0" w:line="160"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Effective June 11, 2021, the Company and certain subsidiaries entered into an agreement and plan of merger (the “gLeaf Agreement”) with Green Leaf Medical LLC (“gLeaf”). Under the gLeaf Agreement, the Company may be obligated to provide contingent consideration, payable in common shares of the Company (the “Milestone Shares”), to the shareholders of gLeaf if gLeaf achieves certain performance-based milestones. The Company has retained a third-party expert to independently assess whether Milestone Shares have been earned for the time period of July 1, 2021 to June 30, 2022.</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Accordingly, there has been no change to the value of the related contingent liability reported on the Company’s balance sheet as of June 30, 2022.</w:t>
      </w:r>
    </w:p>
    <w:p>
      <w:pPr>
        <w:spacing w:after="0" w:line="200" w:lineRule="exact"/>
        <w:rPr>
          <w:sz w:val="20"/>
          <w:szCs w:val="20"/>
          <w:color w:val="auto"/>
        </w:rPr>
      </w:pPr>
    </w:p>
    <w:p>
      <w:pPr>
        <w:spacing w:after="0" w:line="237"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the Company’s property and equipment and related depreciation expense are summarized in the tables below:</w:t>
      </w:r>
    </w:p>
    <w:p>
      <w:pPr>
        <w:spacing w:after="0" w:line="167"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128,751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113,736</w:t>
            </w: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10,456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8,564</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41,612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36,052</w:t>
            </w: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28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2,914</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200,892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145,259</w:t>
            </w: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8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86,326</w:t>
            </w:r>
          </w:p>
        </w:tc>
      </w:tr>
      <w:tr>
        <w:trPr>
          <w:trHeight w:val="230"/>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442,047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392,851</w:t>
            </w:r>
          </w:p>
        </w:tc>
      </w:tr>
      <w:tr>
        <w:trPr>
          <w:trHeight w:val="229"/>
        </w:trPr>
        <w:tc>
          <w:tcPr>
            <w:tcW w:w="65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(68,170)</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(53,159)</w:t>
            </w:r>
          </w:p>
        </w:tc>
      </w:tr>
      <w:tr>
        <w:trPr>
          <w:trHeight w:val="223"/>
        </w:trPr>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373,877</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339,692</w:t>
            </w:r>
          </w:p>
        </w:tc>
      </w:tr>
      <w:tr>
        <w:trPr>
          <w:trHeight w:val="20"/>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0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60" w:type="dxa"/>
            <w:vAlign w:val="bottom"/>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2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23"/>
        </w:trPr>
        <w:tc>
          <w:tcPr>
            <w:tcW w:w="38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depreciation expense for three months ended</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7,804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15,132</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9,681</w:t>
            </w:r>
          </w:p>
        </w:tc>
      </w:tr>
      <w:tr>
        <w:trPr>
          <w:trHeight w:val="230"/>
        </w:trPr>
        <w:tc>
          <w:tcPr>
            <w:tcW w:w="3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Included in: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sales related to inventory production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4,361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8,488</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5,684</w:t>
            </w:r>
          </w:p>
        </w:tc>
      </w:tr>
      <w:tr>
        <w:trPr>
          <w:trHeight w:val="234"/>
        </w:trPr>
        <w:tc>
          <w:tcPr>
            <w:tcW w:w="3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6,644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3,997</w:t>
            </w:r>
          </w:p>
        </w:tc>
      </w:tr>
      <w:tr>
        <w:trPr>
          <w:trHeight w:val="576"/>
        </w:trPr>
        <w:tc>
          <w:tcPr>
            <w:tcW w:w="3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38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3" w:name="page14"/>
    <w:bookmarkEnd w:id="13"/>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the Company’s prepaid expenses and other current assets are summarized in the table below:</w:t>
      </w:r>
    </w:p>
    <w:p>
      <w:pPr>
        <w:spacing w:after="0" w:line="167"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6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17,303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15,362</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28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6,960</w:t>
            </w:r>
          </w:p>
        </w:tc>
      </w:tr>
      <w:tr>
        <w:trPr>
          <w:trHeight w:val="22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5,822</w:t>
            </w:r>
          </w:p>
        </w:tc>
      </w:tr>
      <w:tr>
        <w:trPr>
          <w:trHeight w:val="230"/>
        </w:trPr>
        <w:tc>
          <w:tcPr>
            <w:tcW w:w="6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Excise and sales tax receivable</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1,108</w:t>
            </w:r>
          </w:p>
        </w:tc>
      </w:tr>
      <w:tr>
        <w:trPr>
          <w:trHeight w:val="223"/>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28,333</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29,252</w:t>
            </w:r>
          </w:p>
        </w:tc>
      </w:tr>
      <w:tr>
        <w:trPr>
          <w:trHeight w:val="20"/>
        </w:trPr>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NON-CURRENT ASSETS</w:t>
      </w:r>
    </w:p>
    <w:p>
      <w:pPr>
        <w:spacing w:after="0" w:line="14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the Company’s other non-current assets are summarized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CFF0FC"/>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30, 2022</w:t>
            </w: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6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Long term deposits</w:t>
            </w:r>
          </w:p>
        </w:tc>
        <w:tc>
          <w:tcPr>
            <w:tcW w:w="1520" w:type="dxa"/>
            <w:vAlign w:val="bottom"/>
            <w:shd w:val="clear" w:color="auto" w:fill="CFF0FC"/>
          </w:tcPr>
          <w:p>
            <w:pPr>
              <w:jc w:val="right"/>
              <w:ind w:right="135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5,413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5,602</w:t>
            </w:r>
          </w:p>
        </w:tc>
      </w:tr>
      <w:tr>
        <w:trPr>
          <w:trHeight w:val="230"/>
        </w:trPr>
        <w:tc>
          <w:tcPr>
            <w:tcW w:w="6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Indemnification receivable</w:t>
            </w:r>
          </w:p>
        </w:tc>
        <w:tc>
          <w:tcPr>
            <w:tcW w:w="15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4,111</w:t>
            </w:r>
          </w:p>
        </w:tc>
      </w:tr>
      <w:tr>
        <w:trPr>
          <w:trHeight w:val="229"/>
        </w:trPr>
        <w:tc>
          <w:tcPr>
            <w:tcW w:w="6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Investment in affiliates</w:t>
            </w:r>
          </w:p>
        </w:tc>
        <w:tc>
          <w:tcPr>
            <w:tcW w:w="15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776</w:t>
            </w:r>
          </w:p>
        </w:tc>
      </w:tr>
      <w:tr>
        <w:trPr>
          <w:trHeight w:val="230"/>
        </w:trPr>
        <w:tc>
          <w:tcPr>
            <w:tcW w:w="6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Restricted cash</w:t>
            </w:r>
          </w:p>
        </w:tc>
        <w:tc>
          <w:tcPr>
            <w:tcW w:w="15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6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Notes receivable</w:t>
            </w:r>
          </w:p>
        </w:tc>
        <w:tc>
          <w:tcPr>
            <w:tcW w:w="15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2,211</w:t>
            </w:r>
          </w:p>
        </w:tc>
      </w:tr>
      <w:tr>
        <w:trPr>
          <w:trHeight w:val="223"/>
        </w:trPr>
        <w:tc>
          <w:tcPr>
            <w:tcW w:w="6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520" w:type="dxa"/>
            <w:vAlign w:val="bottom"/>
            <w:tcBorders>
              <w:bottom w:val="single" w:sz="8" w:color="auto"/>
            </w:tcBorders>
          </w:tcPr>
          <w:p>
            <w:pPr>
              <w:jc w:val="right"/>
              <w:ind w:right="135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13,813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13,035</w:t>
            </w:r>
          </w:p>
        </w:tc>
      </w:tr>
      <w:tr>
        <w:trPr>
          <w:trHeight w:val="20"/>
        </w:trPr>
        <w:tc>
          <w:tcPr>
            <w:tcW w:w="6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the Company’s accrued expenses and other current liabilities are summarized in the table below:</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6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acquisition and settlement of pre-existing relationships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86,596</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Taxes - property and other</w:t>
            </w:r>
          </w:p>
        </w:tc>
        <w:tc>
          <w:tcPr>
            <w:tcW w:w="28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14,062</w:t>
            </w:r>
          </w:p>
        </w:tc>
      </w:tr>
      <w:tr>
        <w:trPr>
          <w:trHeight w:val="23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27,605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6,035</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28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11,569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12,799</w:t>
            </w:r>
          </w:p>
        </w:tc>
      </w:tr>
      <w:tr>
        <w:trPr>
          <w:trHeight w:val="23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7,875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4,673</w:t>
            </w:r>
          </w:p>
        </w:tc>
      </w:tr>
      <w:tr>
        <w:trPr>
          <w:trHeight w:val="230"/>
        </w:trPr>
        <w:tc>
          <w:tcPr>
            <w:tcW w:w="6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2,789</w:t>
            </w:r>
          </w:p>
        </w:tc>
      </w:tr>
      <w:tr>
        <w:trPr>
          <w:trHeight w:val="223"/>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57,211</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126,954</w:t>
            </w:r>
          </w:p>
        </w:tc>
      </w:tr>
      <w:tr>
        <w:trPr>
          <w:trHeight w:val="20"/>
        </w:trPr>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June 30, 2022 the Company has recorded a net $7,000 relating to cross-indemnification claims relating to a prior acquisition.</w:t>
      </w:r>
    </w:p>
    <w:p>
      <w:pPr>
        <w:spacing w:after="0" w:line="154"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the following activity during the six months ended June 30, 2022:</w:t>
      </w:r>
    </w:p>
    <w:p>
      <w:pPr>
        <w:spacing w:after="0" w:line="157" w:lineRule="exact"/>
        <w:rPr>
          <w:rFonts w:ascii="Times New Roman" w:cs="Times New Roman" w:eastAsia="Times New Roman" w:hAnsi="Times New Roman"/>
          <w:sz w:val="18"/>
          <w:szCs w:val="18"/>
          <w:b w:val="1"/>
          <w:bCs w:val="1"/>
          <w:color w:val="auto"/>
        </w:rPr>
      </w:pPr>
    </w:p>
    <w:p>
      <w:pPr>
        <w:ind w:left="800" w:hanging="401"/>
        <w:spacing w:after="0" w:line="282" w:lineRule="auto"/>
        <w:tabs>
          <w:tab w:leader="none" w:pos="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9,561,144 time-based restricted stock units and 1,473,261 performance-based restricted stock units during the six months ended June 30, 2022.</w:t>
      </w:r>
    </w:p>
    <w:p>
      <w:pPr>
        <w:spacing w:after="0" w:line="94"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2,395,792 Common Shares upon vesting of RSU’s. An additional 888,683 shares were sold to cover for taxes on the share-based compensation units that were issued during the six months ended June 30, 2022.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ind w:left="400" w:hanging="392"/>
        <w:spacing w:after="0"/>
        <w:tabs>
          <w:tab w:leader="none" w:pos="4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2022 and December 31, 2021, outstanding equity-classified warrants to purchase Common Shares consisted of the following:</w:t>
      </w:r>
    </w:p>
    <w:p>
      <w:pPr>
        <w:spacing w:after="0" w:line="154"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80" w:type="dxa"/>
            <w:vAlign w:val="bottom"/>
            <w:gridSpan w:val="5"/>
          </w:tcPr>
          <w:p>
            <w:pPr>
              <w:ind w:left="14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01"/>
        </w:trPr>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Number of Shares Issued</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center"/>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7"/>
                <w:szCs w:val="17"/>
                <w:color w:val="auto"/>
              </w:rPr>
            </w:pPr>
          </w:p>
        </w:tc>
        <w:tc>
          <w:tcPr>
            <w:tcW w:w="230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Number of Shares Issued</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ind w:right="410"/>
              <w:spacing w:after="0" w:line="201" w:lineRule="exact"/>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38"/>
        </w:trPr>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2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and Exercisable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(Canadian Dollars)</w:t>
            </w:r>
          </w:p>
        </w:tc>
        <w:tc>
          <w:tcPr>
            <w:tcW w:w="2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and Exercisable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(Canadian Dollars)</w:t>
            </w:r>
          </w:p>
        </w:tc>
      </w:tr>
      <w:tr>
        <w:trPr>
          <w:trHeight w:val="223"/>
        </w:trPr>
        <w:tc>
          <w:tcPr>
            <w:tcW w:w="1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2025</w:t>
            </w:r>
          </w:p>
        </w:tc>
        <w:tc>
          <w:tcPr>
            <w:tcW w:w="20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648,783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c>
          <w:tcPr>
            <w:tcW w:w="180" w:type="dxa"/>
            <w:vAlign w:val="bottom"/>
            <w:tcBorders>
              <w:top w:val="single" w:sz="8" w:color="CFF0FC"/>
            </w:tcBorders>
            <w:shd w:val="clear" w:color="auto" w:fill="CFF0FC"/>
          </w:tcPr>
          <w:p>
            <w:pPr>
              <w:spacing w:after="0"/>
              <w:rPr>
                <w:sz w:val="19"/>
                <w:szCs w:val="19"/>
                <w:color w:val="auto"/>
              </w:rPr>
            </w:pPr>
          </w:p>
        </w:tc>
        <w:tc>
          <w:tcPr>
            <w:tcW w:w="23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648,783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8.12</w:t>
            </w:r>
          </w:p>
        </w:tc>
      </w:tr>
      <w:tr>
        <w:trPr>
          <w:trHeight w:val="229"/>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26, 2024</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5,394,945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tcPr>
          <w:p>
            <w:pPr>
              <w:spacing w:after="0"/>
              <w:rPr>
                <w:sz w:val="19"/>
                <w:szCs w:val="19"/>
                <w:color w:val="auto"/>
              </w:rPr>
            </w:pPr>
          </w:p>
        </w:tc>
        <w:tc>
          <w:tcPr>
            <w:tcW w:w="2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5,394,945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10.35</w:t>
            </w:r>
          </w:p>
        </w:tc>
      </w:tr>
      <w:tr>
        <w:trPr>
          <w:trHeight w:val="230"/>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14, 2023</w:t>
            </w:r>
          </w:p>
        </w:tc>
        <w:tc>
          <w:tcPr>
            <w:tcW w:w="2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1,723,250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shd w:val="clear" w:color="auto" w:fill="CFF0FC"/>
          </w:tcPr>
          <w:p>
            <w:pPr>
              <w:spacing w:after="0"/>
              <w:rPr>
                <w:sz w:val="19"/>
                <w:szCs w:val="19"/>
                <w:color w:val="auto"/>
              </w:rPr>
            </w:pPr>
          </w:p>
        </w:tc>
        <w:tc>
          <w:tcPr>
            <w:tcW w:w="2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1,723,250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14, 2023</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1,818,788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Pr>
          <w:p>
            <w:pPr>
              <w:spacing w:after="0"/>
              <w:rPr>
                <w:sz w:val="19"/>
                <w:szCs w:val="19"/>
                <w:color w:val="auto"/>
              </w:rPr>
            </w:pPr>
          </w:p>
        </w:tc>
        <w:tc>
          <w:tcPr>
            <w:tcW w:w="2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1,998,788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14, 2023</w:t>
            </w:r>
          </w:p>
        </w:tc>
        <w:tc>
          <w:tcPr>
            <w:tcW w:w="2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1,897,000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shd w:val="clear" w:color="auto" w:fill="CFF0FC"/>
          </w:tcPr>
          <w:p>
            <w:pPr>
              <w:spacing w:after="0"/>
              <w:rPr>
                <w:sz w:val="19"/>
                <w:szCs w:val="19"/>
                <w:color w:val="auto"/>
              </w:rPr>
            </w:pPr>
          </w:p>
        </w:tc>
        <w:tc>
          <w:tcPr>
            <w:tcW w:w="2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1,897,000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5.84</w:t>
            </w:r>
          </w:p>
        </w:tc>
      </w:tr>
      <w:tr>
        <w:trPr>
          <w:trHeight w:val="223"/>
        </w:trPr>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11,482,766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tcPr>
          <w:p>
            <w:pPr>
              <w:spacing w:after="0"/>
              <w:rPr>
                <w:sz w:val="19"/>
                <w:szCs w:val="19"/>
                <w:color w:val="auto"/>
              </w:rPr>
            </w:pPr>
          </w:p>
        </w:tc>
        <w:tc>
          <w:tcPr>
            <w:tcW w:w="2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11,662,766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Warrant activity for the six months ended June 30, 2022 and 2021 are summarized in the table below:</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20" w:type="dxa"/>
            <w:vAlign w:val="bottom"/>
            <w:tcBorders>
              <w:bottom w:val="single" w:sz="8" w:color="CFF0FC"/>
            </w:tcBorders>
          </w:tcPr>
          <w:p>
            <w:pPr>
              <w:spacing w:after="0"/>
              <w:rPr>
                <w:sz w:val="20"/>
                <w:szCs w:val="20"/>
                <w:color w:val="auto"/>
              </w:rPr>
            </w:pPr>
          </w:p>
        </w:tc>
        <w:tc>
          <w:tcPr>
            <w:tcW w:w="20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(Canadian Dollars)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13,147,919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(1,485,153)</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2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11,662,766</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11,662,766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2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11,482,766</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the Company was calculated as follows: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6"/>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(82,161)</w:t>
            </w:r>
          </w:p>
        </w:tc>
        <w:tc>
          <w:tcPr>
            <w:tcW w:w="1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(47,820)</w:t>
            </w:r>
          </w:p>
        </w:tc>
      </w:tr>
      <w:tr>
        <w:trPr>
          <w:trHeight w:val="211"/>
        </w:trPr>
        <w:tc>
          <w:tcPr>
            <w:tcW w:w="3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Net gain/(loss) attributable to non-</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34"/>
        </w:trPr>
        <w:tc>
          <w:tcPr>
            <w:tcW w:w="3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controlling interests</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63"/>
        </w:trPr>
        <w:tc>
          <w:tcPr>
            <w:tcW w:w="33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loss attributable to shareholders</w:t>
            </w:r>
          </w:p>
        </w:tc>
        <w:tc>
          <w:tcPr>
            <w:tcW w:w="2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(53,828)</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(80,464)</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(46,926)</w:t>
            </w:r>
          </w:p>
        </w:tc>
      </w:tr>
      <w:tr>
        <w:trPr>
          <w:trHeight w:val="210"/>
        </w:trPr>
        <w:tc>
          <w:tcPr>
            <w:tcW w:w="3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1"/>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34"/>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394,023,144</w:t>
            </w:r>
          </w:p>
        </w:tc>
        <w:tc>
          <w:tcPr>
            <w:tcW w:w="1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313,771,867</w:t>
            </w:r>
          </w:p>
        </w:tc>
        <w:tc>
          <w:tcPr>
            <w:tcW w:w="1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385,258,892</w:t>
            </w:r>
          </w:p>
        </w:tc>
        <w:tc>
          <w:tcPr>
            <w:tcW w:w="1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304,346,270</w:t>
            </w: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Certain share-based equity awards were excluded from the computation of dilutive loss per share because inclusion of these awards would have had an anti-dilutive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ind w:left="392" w:hanging="392"/>
        <w:spacing w:after="0"/>
        <w:tabs>
          <w:tab w:leader="none" w:pos="39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61" w:lineRule="exact"/>
        <w:rPr>
          <w:rFonts w:ascii="Times New Roman" w:cs="Times New Roman" w:eastAsia="Times New Roman" w:hAnsi="Times New Roman"/>
          <w:sz w:val="18"/>
          <w:szCs w:val="18"/>
          <w:b w:val="1"/>
          <w:bCs w:val="1"/>
          <w:color w:val="auto"/>
        </w:rPr>
      </w:pPr>
    </w:p>
    <w:p>
      <w:pPr>
        <w:jc w:val="both"/>
        <w:ind w:left="392"/>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Other than the accruals mentioned in this Note, the Company has not accrued any liabilities related to any pending claims potentially subject to indemnification arrangements in its condensed interim consolidated financial statements.</w:t>
      </w:r>
    </w:p>
    <w:p>
      <w:pPr>
        <w:spacing w:after="0" w:line="110" w:lineRule="exact"/>
        <w:rPr>
          <w:rFonts w:ascii="Times New Roman" w:cs="Times New Roman" w:eastAsia="Times New Roman" w:hAnsi="Times New Roman"/>
          <w:sz w:val="18"/>
          <w:szCs w:val="18"/>
          <w:b w:val="1"/>
          <w:bCs w:val="1"/>
          <w:color w:val="auto"/>
        </w:rPr>
      </w:pPr>
    </w:p>
    <w:p>
      <w:pPr>
        <w:jc w:val="both"/>
        <w:ind w:left="39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quarter ended September 30, 2021, the Company had anticipatorily accrued $68,000 for potential share issuances and cash payments for purposes of acquisition and settlement of pre-existing relationships, inclusive of prospective acquisition costs relating to third-party entities and other litigation costs. On April 18, 2022, in connection with the accrual, the Company issued 18,755,082 common shares and on April 18, 2022 and April 24, 2022 paid approximately $26,000 to acquire, by merger, VentureForth Holdings, LLC, which is the owner of VentureForth. VentureForth holds two licenses from the Washington D.C. Alcoholic Beverage Regulation Administration (“ABRA”), specifically, one license to cultivate and manufacture medical cannabis and one license to dispense medical cannabis. The merger was approved by ABRA. The Company previously had a management services agreement with VentureForth. In further connection with the accrual, the shares issued, and amounts paid also amicably resolved, with no admissions of liability and in exchange for releases, certain direct, indirect, derivative and indemnification claims relating to a confidential arbitration to which VentureForth, a separate subsidiary of the Company and certain members of the Company’s management team were respondent parties.</w:t>
      </w:r>
    </w:p>
    <w:p>
      <w:pPr>
        <w:spacing w:after="0" w:line="126" w:lineRule="exact"/>
        <w:rPr>
          <w:rFonts w:ascii="Times New Roman" w:cs="Times New Roman" w:eastAsia="Times New Roman" w:hAnsi="Times New Roman"/>
          <w:sz w:val="18"/>
          <w:szCs w:val="18"/>
          <w:b w:val="1"/>
          <w:bCs w:val="1"/>
          <w:color w:val="auto"/>
        </w:rPr>
      </w:pPr>
    </w:p>
    <w:p>
      <w:pPr>
        <w:jc w:val="both"/>
        <w:ind w:left="39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the Company may be contingently liable with respect to other claims incidental to the ordinary course of its operations. In the opinion of management, and based on management's consultation with legal counsel, the ultimate outcome of such other matters will not have a materially adverse effect on the Company. Accordingly, other than as noted in Footnote 9 above, no provisions has been made in these condensed interim consolidated financial statements for losses, if any, which might result from the ultimate disposition of these matters should they arise.</w:t>
      </w:r>
    </w:p>
    <w:p>
      <w:pPr>
        <w:spacing w:after="0" w:line="324" w:lineRule="exact"/>
        <w:rPr>
          <w:rFonts w:ascii="Times New Roman" w:cs="Times New Roman" w:eastAsia="Times New Roman" w:hAnsi="Times New Roman"/>
          <w:sz w:val="18"/>
          <w:szCs w:val="18"/>
          <w:b w:val="1"/>
          <w:bCs w:val="1"/>
          <w:color w:val="auto"/>
        </w:rPr>
      </w:pPr>
    </w:p>
    <w:p>
      <w:pPr>
        <w:ind w:left="392" w:right="5320" w:hanging="392"/>
        <w:spacing w:after="0" w:line="417" w:lineRule="auto"/>
        <w:tabs>
          <w:tab w:leader="none" w:pos="38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AND FAIR VALUE MEASUREMENTS </w:t>
      </w:r>
      <w:r>
        <w:rPr>
          <w:rFonts w:ascii="Times New Roman" w:cs="Times New Roman" w:eastAsia="Times New Roman" w:hAnsi="Times New Roman"/>
          <w:sz w:val="18"/>
          <w:szCs w:val="18"/>
          <w:i w:val="1"/>
          <w:iCs w:val="1"/>
          <w:u w:val="single" w:color="auto"/>
          <w:color w:val="auto"/>
        </w:rPr>
        <w:t>Fair Value Measurements</w:t>
      </w:r>
    </w:p>
    <w:p>
      <w:pPr>
        <w:ind w:left="3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Company’s financial instruments that are measured at fair value on a recurring basis:</w:t>
      </w:r>
    </w:p>
    <w:p>
      <w:pPr>
        <w:spacing w:after="0" w:line="235" w:lineRule="exact"/>
        <w:rPr>
          <w:sz w:val="20"/>
          <w:szCs w:val="20"/>
          <w:color w:val="auto"/>
        </w:rPr>
      </w:pPr>
    </w:p>
    <w:tbl>
      <w:tblPr>
        <w:tblLayout w:type="fixed"/>
        <w:tblInd w:w="412" w:type="dxa"/>
        <w:tblCellMar>
          <w:top w:w="0" w:type="dxa"/>
          <w:left w:w="0" w:type="dxa"/>
          <w:bottom w:w="0" w:type="dxa"/>
          <w:right w:w="0" w:type="dxa"/>
        </w:tblCellMar>
      </w:tblPr>
      <w:tr>
        <w:trPr>
          <w:trHeight w:val="238"/>
        </w:trPr>
        <w:tc>
          <w:tcPr>
            <w:tcW w:w="552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9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(37,360)</w:t>
            </w:r>
          </w:p>
        </w:tc>
      </w:tr>
      <w:tr>
        <w:trPr>
          <w:trHeight w:val="263"/>
        </w:trPr>
        <w:tc>
          <w:tcPr>
            <w:tcW w:w="552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(38,458)</w:t>
            </w:r>
          </w:p>
        </w:tc>
        <w:tc>
          <w:tcPr>
            <w:tcW w:w="1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(38,458)</w:t>
            </w:r>
          </w:p>
        </w:tc>
      </w:tr>
      <w:tr>
        <w:trPr>
          <w:trHeight w:val="210"/>
        </w:trPr>
        <w:tc>
          <w:tcPr>
            <w:tcW w:w="5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9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(40,941)</w:t>
            </w:r>
          </w:p>
        </w:tc>
      </w:tr>
      <w:tr>
        <w:trPr>
          <w:trHeight w:val="223"/>
        </w:trPr>
        <w:tc>
          <w:tcPr>
            <w:tcW w:w="55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(47,736)</w:t>
            </w:r>
          </w:p>
        </w:tc>
      </w:tr>
      <w:tr>
        <w:trPr>
          <w:trHeight w:val="20"/>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92"/>
        <w:spacing w:after="0"/>
        <w:rPr>
          <w:sz w:val="20"/>
          <w:szCs w:val="20"/>
          <w:color w:val="auto"/>
        </w:rPr>
      </w:pPr>
      <w:r>
        <w:rPr>
          <w:rFonts w:ascii="Times New Roman" w:cs="Times New Roman" w:eastAsia="Times New Roman" w:hAnsi="Times New Roman"/>
          <w:sz w:val="18"/>
          <w:szCs w:val="18"/>
          <w:color w:val="auto"/>
        </w:rPr>
        <w:t>During the period included in these financial statements, there were no transfers of amounts between levels.</w:t>
      </w:r>
    </w:p>
    <w:p>
      <w:pPr>
        <w:spacing w:after="0" w:line="225"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09"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valuation techniques and key inputs used in the fair value measurement of Level 3 financial instruments:</w:t>
      </w:r>
    </w:p>
    <w:p>
      <w:pPr>
        <w:spacing w:after="0" w:line="156" w:lineRule="exact"/>
        <w:rPr>
          <w:sz w:val="20"/>
          <w:szCs w:val="20"/>
          <w:color w:val="auto"/>
        </w:rPr>
      </w:pPr>
    </w:p>
    <w:tbl>
      <w:tblPr>
        <w:tblLayout w:type="fixed"/>
        <w:tblInd w:w="430" w:type="dxa"/>
        <w:tblCellMar>
          <w:top w:w="0" w:type="dxa"/>
          <w:left w:w="0" w:type="dxa"/>
          <w:bottom w:w="0" w:type="dxa"/>
          <w:right w:w="0" w:type="dxa"/>
        </w:tblCellMar>
      </w:tblPr>
      <w:tr>
        <w:trPr>
          <w:trHeight w:val="221"/>
        </w:trPr>
        <w:tc>
          <w:tcPr>
            <w:tcW w:w="28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asset/financial</w:t>
            </w:r>
          </w:p>
        </w:tc>
        <w:tc>
          <w:tcPr>
            <w:tcW w:w="2240" w:type="dxa"/>
            <w:vAlign w:val="bottom"/>
            <w:tcBorders>
              <w:top w:val="single" w:sz="8" w:color="auto"/>
              <w:right w:val="single" w:sz="8" w:color="auto"/>
            </w:tcBorders>
          </w:tcPr>
          <w:p>
            <w:pPr>
              <w:spacing w:after="0"/>
              <w:rPr>
                <w:sz w:val="19"/>
                <w:szCs w:val="19"/>
                <w:color w:val="auto"/>
              </w:rPr>
            </w:pPr>
          </w:p>
        </w:tc>
        <w:tc>
          <w:tcPr>
            <w:tcW w:w="25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Significant unobservable</w:t>
            </w:r>
          </w:p>
        </w:tc>
        <w:tc>
          <w:tcPr>
            <w:tcW w:w="32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Relationship of unobservable</w:t>
            </w:r>
          </w:p>
        </w:tc>
      </w:tr>
      <w:tr>
        <w:trPr>
          <w:trHeight w:val="238"/>
        </w:trPr>
        <w:tc>
          <w:tcPr>
            <w:tcW w:w="2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Valuation techniques</w:t>
            </w:r>
          </w:p>
        </w:tc>
        <w:tc>
          <w:tcPr>
            <w:tcW w:w="25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32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inputs to fair value</w:t>
            </w:r>
          </w:p>
        </w:tc>
      </w:tr>
      <w:tr>
        <w:trPr>
          <w:trHeight w:val="205"/>
        </w:trPr>
        <w:tc>
          <w:tcPr>
            <w:tcW w:w="2860" w:type="dxa"/>
            <w:vAlign w:val="bottom"/>
            <w:tcBorders>
              <w:left w:val="single" w:sz="8" w:color="auto"/>
              <w:right w:val="single" w:sz="8" w:color="auto"/>
            </w:tcBorders>
            <w:shd w:val="clear" w:color="auto" w:fill="CFF0FC"/>
          </w:tcPr>
          <w:p>
            <w:pPr>
              <w:ind w:left="120"/>
              <w:spacing w:after="0" w:line="205" w:lineRule="exact"/>
              <w:rPr>
                <w:sz w:val="20"/>
                <w:szCs w:val="20"/>
                <w:color w:val="auto"/>
              </w:rPr>
            </w:pPr>
            <w:r>
              <w:rPr>
                <w:rFonts w:ascii="Times New Roman" w:cs="Times New Roman" w:eastAsia="Times New Roman" w:hAnsi="Times New Roman"/>
                <w:sz w:val="18"/>
                <w:szCs w:val="18"/>
                <w:color w:val="auto"/>
              </w:rPr>
              <w:t>Derivative liability</w:t>
            </w:r>
          </w:p>
        </w:tc>
        <w:tc>
          <w:tcPr>
            <w:tcW w:w="2240" w:type="dxa"/>
            <w:vAlign w:val="bottom"/>
            <w:tcBorders>
              <w:right w:val="single" w:sz="8" w:color="auto"/>
            </w:tcBorders>
            <w:shd w:val="clear" w:color="auto" w:fill="CFF0FC"/>
          </w:tcPr>
          <w:p>
            <w:pPr>
              <w:ind w:left="120"/>
              <w:spacing w:after="0" w:line="205" w:lineRule="exact"/>
              <w:rPr>
                <w:sz w:val="20"/>
                <w:szCs w:val="20"/>
                <w:color w:val="auto"/>
              </w:rPr>
            </w:pPr>
            <w:r>
              <w:rPr>
                <w:rFonts w:ascii="Times New Roman" w:cs="Times New Roman" w:eastAsia="Times New Roman" w:hAnsi="Times New Roman"/>
                <w:sz w:val="18"/>
                <w:szCs w:val="18"/>
                <w:color w:val="auto"/>
              </w:rPr>
              <w:t>Market approach</w:t>
            </w:r>
          </w:p>
        </w:tc>
        <w:tc>
          <w:tcPr>
            <w:tcW w:w="2520" w:type="dxa"/>
            <w:vAlign w:val="bottom"/>
            <w:tcBorders>
              <w:right w:val="single" w:sz="8" w:color="auto"/>
            </w:tcBorders>
            <w:shd w:val="clear" w:color="auto" w:fill="CFF0FC"/>
          </w:tcPr>
          <w:p>
            <w:pPr>
              <w:ind w:left="120"/>
              <w:spacing w:after="0" w:line="205" w:lineRule="exact"/>
              <w:rPr>
                <w:sz w:val="20"/>
                <w:szCs w:val="20"/>
                <w:color w:val="auto"/>
              </w:rPr>
            </w:pPr>
            <w:r>
              <w:rPr>
                <w:rFonts w:ascii="Times New Roman" w:cs="Times New Roman" w:eastAsia="Times New Roman" w:hAnsi="Times New Roman"/>
                <w:sz w:val="18"/>
                <w:szCs w:val="18"/>
                <w:color w:val="auto"/>
              </w:rPr>
              <w:t>Conversion Period</w:t>
            </w:r>
          </w:p>
        </w:tc>
        <w:tc>
          <w:tcPr>
            <w:tcW w:w="3200" w:type="dxa"/>
            <w:vAlign w:val="bottom"/>
            <w:tcBorders>
              <w:right w:val="single" w:sz="8" w:color="auto"/>
            </w:tcBorders>
            <w:shd w:val="clear" w:color="auto" w:fill="CFF0FC"/>
          </w:tcPr>
          <w:p>
            <w:pPr>
              <w:ind w:left="120"/>
              <w:spacing w:after="0" w:line="205" w:lineRule="exact"/>
              <w:rPr>
                <w:sz w:val="20"/>
                <w:szCs w:val="20"/>
                <w:color w:val="auto"/>
              </w:rPr>
            </w:pPr>
            <w:r>
              <w:rPr>
                <w:rFonts w:ascii="Times New Roman" w:cs="Times New Roman" w:eastAsia="Times New Roman" w:hAnsi="Times New Roman"/>
                <w:sz w:val="18"/>
                <w:szCs w:val="18"/>
                <w:color w:val="auto"/>
              </w:rPr>
              <w:t>Increase or decrease in conversion period</w:t>
            </w:r>
          </w:p>
        </w:tc>
      </w:tr>
      <w:tr>
        <w:trPr>
          <w:trHeight w:val="216"/>
        </w:trPr>
        <w:tc>
          <w:tcPr>
            <w:tcW w:w="2860" w:type="dxa"/>
            <w:vAlign w:val="bottom"/>
            <w:tcBorders>
              <w:left w:val="single" w:sz="8" w:color="auto"/>
              <w:right w:val="single" w:sz="8" w:color="auto"/>
            </w:tcBorders>
            <w:shd w:val="clear" w:color="auto" w:fill="CFF0FC"/>
          </w:tcPr>
          <w:p>
            <w:pPr>
              <w:spacing w:after="0"/>
              <w:rPr>
                <w:sz w:val="18"/>
                <w:szCs w:val="18"/>
                <w:color w:val="auto"/>
              </w:rPr>
            </w:pPr>
          </w:p>
        </w:tc>
        <w:tc>
          <w:tcPr>
            <w:tcW w:w="2240" w:type="dxa"/>
            <w:vAlign w:val="bottom"/>
            <w:tcBorders>
              <w:right w:val="single" w:sz="8" w:color="auto"/>
            </w:tcBorders>
            <w:shd w:val="clear" w:color="auto" w:fill="CFF0FC"/>
          </w:tcPr>
          <w:p>
            <w:pPr>
              <w:spacing w:after="0"/>
              <w:rPr>
                <w:sz w:val="18"/>
                <w:szCs w:val="18"/>
                <w:color w:val="auto"/>
              </w:rPr>
            </w:pPr>
          </w:p>
        </w:tc>
        <w:tc>
          <w:tcPr>
            <w:tcW w:w="2520" w:type="dxa"/>
            <w:vAlign w:val="bottom"/>
            <w:tcBorders>
              <w:right w:val="single" w:sz="8" w:color="auto"/>
            </w:tcBorders>
            <w:shd w:val="clear" w:color="auto" w:fill="CFF0FC"/>
          </w:tcPr>
          <w:p>
            <w:pPr>
              <w:spacing w:after="0"/>
              <w:rPr>
                <w:sz w:val="18"/>
                <w:szCs w:val="18"/>
                <w:color w:val="auto"/>
              </w:rPr>
            </w:pPr>
          </w:p>
        </w:tc>
        <w:tc>
          <w:tcPr>
            <w:tcW w:w="3200" w:type="dxa"/>
            <w:vAlign w:val="bottom"/>
            <w:tcBorders>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will result in an increase or decrease in</w:t>
            </w:r>
          </w:p>
        </w:tc>
      </w:tr>
      <w:tr>
        <w:trPr>
          <w:trHeight w:val="234"/>
        </w:trPr>
        <w:tc>
          <w:tcPr>
            <w:tcW w:w="286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2240" w:type="dxa"/>
            <w:vAlign w:val="bottom"/>
            <w:tcBorders>
              <w:bottom w:val="single" w:sz="8" w:color="auto"/>
              <w:right w:val="single" w:sz="8" w:color="auto"/>
            </w:tcBorders>
            <w:shd w:val="clear" w:color="auto" w:fill="CFF0FC"/>
          </w:tcPr>
          <w:p>
            <w:pPr>
              <w:spacing w:after="0"/>
              <w:rPr>
                <w:sz w:val="20"/>
                <w:szCs w:val="20"/>
                <w:color w:val="auto"/>
              </w:rPr>
            </w:pPr>
          </w:p>
        </w:tc>
        <w:tc>
          <w:tcPr>
            <w:tcW w:w="2520" w:type="dxa"/>
            <w:vAlign w:val="bottom"/>
            <w:tcBorders>
              <w:bottom w:val="single" w:sz="8" w:color="auto"/>
              <w:right w:val="single" w:sz="8" w:color="auto"/>
            </w:tcBorders>
            <w:shd w:val="clear" w:color="auto" w:fill="CFF0FC"/>
          </w:tcPr>
          <w:p>
            <w:pPr>
              <w:spacing w:after="0"/>
              <w:rPr>
                <w:sz w:val="20"/>
                <w:szCs w:val="20"/>
                <w:color w:val="auto"/>
              </w:rPr>
            </w:pPr>
          </w:p>
        </w:tc>
        <w:tc>
          <w:tcPr>
            <w:tcW w:w="320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w:t>
            </w:r>
          </w:p>
        </w:tc>
      </w:tr>
      <w:tr>
        <w:trPr>
          <w:trHeight w:val="205"/>
        </w:trPr>
        <w:tc>
          <w:tcPr>
            <w:tcW w:w="286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Contingent Consideration</w:t>
            </w:r>
          </w:p>
        </w:tc>
        <w:tc>
          <w:tcPr>
            <w:tcW w:w="2240" w:type="dxa"/>
            <w:vAlign w:val="bottom"/>
            <w:tcBorders>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Discounted cash flow</w:t>
            </w:r>
          </w:p>
        </w:tc>
        <w:tc>
          <w:tcPr>
            <w:tcW w:w="2520" w:type="dxa"/>
            <w:vAlign w:val="bottom"/>
            <w:tcBorders>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Risk adjusted discount rate and</w:t>
            </w:r>
          </w:p>
        </w:tc>
        <w:tc>
          <w:tcPr>
            <w:tcW w:w="3200" w:type="dxa"/>
            <w:vAlign w:val="bottom"/>
            <w:tcBorders>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Increase or decrease in risk adjusted</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approach</w:t>
            </w:r>
          </w:p>
        </w:tc>
        <w:tc>
          <w:tcPr>
            <w:tcW w:w="2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forecasted EBITDA</w:t>
            </w:r>
          </w:p>
        </w:tc>
        <w:tc>
          <w:tcPr>
            <w:tcW w:w="32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discount rate and forecasted EBITDA</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 result in an increase or decrease in</w:t>
            </w:r>
          </w:p>
        </w:tc>
      </w:tr>
      <w:tr>
        <w:trPr>
          <w:trHeight w:val="234"/>
        </w:trPr>
        <w:tc>
          <w:tcPr>
            <w:tcW w:w="286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fair value</w:t>
            </w:r>
          </w:p>
        </w:tc>
      </w:tr>
    </w:tbl>
    <w:p>
      <w:pPr>
        <w:spacing w:after="0" w:line="130" w:lineRule="exact"/>
        <w:rPr>
          <w:sz w:val="20"/>
          <w:szCs w:val="20"/>
          <w:color w:val="auto"/>
        </w:rPr>
      </w:pPr>
    </w:p>
    <w:p>
      <w:pPr>
        <w:jc w:val="both"/>
        <w:ind w:left="400" w:right="20"/>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restricted cash, accounts receivable, deposits and other current assets, accounts payable, accrued expenses, and other current liabilities, current portion of long-term debt and lease liability as of June 30, 2022 and December 31, 2021 approximate their fair values because of the short-term nature of these items and are not included in the table above. The Company’s notes receivable, other long-term payables, long-term debt and lease liabilities approximate fair value due to the market rate of interest used on initial recognition.</w:t>
      </w:r>
    </w:p>
    <w:p>
      <w:pPr>
        <w:spacing w:after="0" w:line="99"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June 30, 2022 and December 31, 2021. These estimates require management's judgment and may not be indicative of the future fair values of the assets and liabilities.</w:t>
      </w:r>
    </w:p>
    <w:p>
      <w:pPr>
        <w:spacing w:after="0" w:line="149" w:lineRule="exact"/>
        <w:rPr>
          <w:sz w:val="20"/>
          <w:szCs w:val="20"/>
          <w:color w:val="auto"/>
        </w:rPr>
      </w:pPr>
    </w:p>
    <w:p>
      <w:pPr>
        <w:ind w:left="400" w:right="6820" w:hanging="392"/>
        <w:spacing w:after="0" w:line="422" w:lineRule="auto"/>
        <w:tabs>
          <w:tab w:leader="none" w:pos="39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Goodwill and intangible assets consist of the following:</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256,346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256,346</w:t>
            </w:r>
          </w:p>
        </w:tc>
        <w:tc>
          <w:tcPr>
            <w:tcW w:w="0" w:type="dxa"/>
            <w:vAlign w:val="bottom"/>
          </w:tcPr>
          <w:p>
            <w:pPr>
              <w:spacing w:after="0"/>
              <w:rPr>
                <w:sz w:val="1"/>
                <w:szCs w:val="1"/>
                <w:color w:val="auto"/>
              </w:rPr>
            </w:pPr>
          </w:p>
        </w:tc>
      </w:tr>
      <w:tr>
        <w:trPr>
          <w:trHeight w:val="257"/>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impairment on goodwill</w:t>
            </w:r>
          </w:p>
        </w:tc>
        <w:tc>
          <w:tcPr>
            <w:tcW w:w="2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goodwill, net</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184,018</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9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6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Licenses</w:t>
            </w: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278,479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285,854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8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52,500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52,500</w:t>
            </w:r>
          </w:p>
        </w:tc>
        <w:tc>
          <w:tcPr>
            <w:tcW w:w="0" w:type="dxa"/>
            <w:vAlign w:val="bottom"/>
          </w:tcPr>
          <w:p>
            <w:pPr>
              <w:spacing w:after="0"/>
              <w:rPr>
                <w:sz w:val="1"/>
                <w:szCs w:val="1"/>
                <w:color w:val="auto"/>
              </w:rPr>
            </w:pPr>
          </w:p>
        </w:tc>
      </w:tr>
      <w:tr>
        <w:trPr>
          <w:trHeight w:val="25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390,673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398,048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(52,875)</w:t>
            </w: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(30,261)</w:t>
            </w:r>
          </w:p>
        </w:tc>
        <w:tc>
          <w:tcPr>
            <w:tcW w:w="0" w:type="dxa"/>
            <w:vAlign w:val="bottom"/>
          </w:tcPr>
          <w:p>
            <w:pPr>
              <w:spacing w:after="0"/>
              <w:rPr>
                <w:sz w:val="1"/>
                <w:szCs w:val="1"/>
                <w:color w:val="auto"/>
              </w:rPr>
            </w:pPr>
          </w:p>
        </w:tc>
      </w:tr>
      <w:tr>
        <w:trPr>
          <w:trHeight w:val="25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337,798</w:t>
            </w:r>
          </w:p>
        </w:tc>
        <w:tc>
          <w:tcPr>
            <w:tcW w:w="18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367,787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amortization expense for the three and six months ended June 30, 2022 and 2021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0"/>
        </w:trPr>
        <w:tc>
          <w:tcPr>
            <w:tcW w:w="3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20" w:type="dxa"/>
            <w:vAlign w:val="bottom"/>
          </w:tcPr>
          <w:p>
            <w:pPr>
              <w:spacing w:after="0"/>
              <w:rPr>
                <w:sz w:val="21"/>
                <w:szCs w:val="21"/>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05"/>
        </w:trPr>
        <w:tc>
          <w:tcPr>
            <w:tcW w:w="380" w:type="dxa"/>
            <w:vAlign w:val="bottom"/>
          </w:tcPr>
          <w:p>
            <w:pPr>
              <w:spacing w:after="0"/>
              <w:rPr>
                <w:sz w:val="17"/>
                <w:szCs w:val="17"/>
                <w:color w:val="auto"/>
              </w:rPr>
            </w:pPr>
          </w:p>
        </w:tc>
        <w:tc>
          <w:tcPr>
            <w:tcW w:w="46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Amortization for the period included in selling, general and</w:t>
            </w: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r>
      <w:tr>
        <w:trPr>
          <w:trHeight w:val="234"/>
        </w:trPr>
        <w:tc>
          <w:tcPr>
            <w:tcW w:w="380" w:type="dxa"/>
            <w:vAlign w:val="bottom"/>
          </w:tcPr>
          <w:p>
            <w:pPr>
              <w:spacing w:after="0"/>
              <w:rPr>
                <w:sz w:val="20"/>
                <w:szCs w:val="20"/>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10,454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22,658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5,812</w:t>
            </w:r>
          </w:p>
        </w:tc>
      </w:tr>
      <w:tr>
        <w:trPr>
          <w:trHeight w:val="580"/>
        </w:trPr>
        <w:tc>
          <w:tcPr>
            <w:tcW w:w="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8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7" w:name="page18"/>
    <w:bookmarkEnd w:id="17"/>
    <w:p>
      <w:pPr>
        <w:ind w:left="400" w:hanging="392"/>
        <w:spacing w:after="0"/>
        <w:tabs>
          <w:tab w:leader="none" w:pos="4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Selling, general and administrative expenses are summarized in the table below:</w:t>
      </w:r>
    </w:p>
    <w:p>
      <w:pPr>
        <w:spacing w:after="0" w:line="167"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34,449</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24,366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64,820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48,646</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11,065</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14,218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5,349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29,928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10,486</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facilities costs</w:t>
            </w:r>
          </w:p>
        </w:tc>
        <w:tc>
          <w:tcPr>
            <w:tcW w:w="1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13,650</w:t>
            </w: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office and general expenses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5,633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7,418</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6,252</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fees and expenses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3,020</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72,956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52,503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144,248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100,537</w:t>
            </w: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EXPENSE, NET</w:t>
      </w:r>
    </w:p>
    <w:p>
      <w:pPr>
        <w:spacing w:after="0" w:line="16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expense, net is summarized in the table below:</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3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the derivative liability</w:t>
            </w:r>
          </w:p>
        </w:tc>
        <w:tc>
          <w:tcPr>
            <w:tcW w:w="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1,580</w:t>
            </w: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Earnout adjustment</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income</w:t>
            </w:r>
          </w:p>
        </w:tc>
        <w:tc>
          <w:tcPr>
            <w:tcW w:w="6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6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0"/>
        </w:trPr>
        <w:tc>
          <w:tcPr>
            <w:tcW w:w="3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61" w:lineRule="exact"/>
        <w:rPr>
          <w:rFonts w:ascii="Times New Roman" w:cs="Times New Roman" w:eastAsia="Times New Roman" w:hAnsi="Times New Roman"/>
          <w:sz w:val="18"/>
          <w:szCs w:val="18"/>
          <w:b w:val="1"/>
          <w:bCs w:val="1"/>
          <w:color w:val="auto"/>
        </w:rPr>
      </w:pPr>
    </w:p>
    <w:p>
      <w:pPr>
        <w:jc w:val="both"/>
        <w:ind w:left="800" w:hanging="401"/>
        <w:spacing w:after="0" w:line="261" w:lineRule="auto"/>
        <w:tabs>
          <w:tab w:leader="none" w:pos="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2022, the Company and Cresco Labs, announced the execution of the Arrangement Agreement, by and between the Company and Cresco Labs. On July 8, 2022, the Company held a special meeting of the shareholders of the Company at which the shareholders approved the Cresco Transaction. On July 15, 2022, the Company also obtained the final order from the Supreme Court of British Columbia approving the Arrangement Agreement with Cresco Labs.</w:t>
      </w:r>
    </w:p>
    <w:p>
      <w:pPr>
        <w:spacing w:after="0" w:line="152" w:lineRule="exact"/>
        <w:rPr>
          <w:rFonts w:ascii="Times New Roman" w:cs="Times New Roman" w:eastAsia="Times New Roman" w:hAnsi="Times New Roman"/>
          <w:sz w:val="18"/>
          <w:szCs w:val="18"/>
          <w:color w:val="auto"/>
        </w:rPr>
      </w:pPr>
    </w:p>
    <w:p>
      <w:pPr>
        <w:jc w:val="both"/>
        <w:ind w:left="800" w:hanging="401"/>
        <w:spacing w:after="0" w:line="258" w:lineRule="auto"/>
        <w:tabs>
          <w:tab w:leader="none" w:pos="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2021, the Company acquired a 100% ownership interest in Medicine Man, through the Merger Agreement. Concurrently with the Merger Agreement, the Company was granted the Option to purchase Medicine Man Longmont. The Option was exercised by the Company on August 12, 2022 following the sale of the Company’s former TGS Longmont location in July 2022. The Company executed the Medicine Man Transaction in order to continue to grow revenues, expand its cultivation facilities, manufacturing facilities and dispensaries, and expand in the State of Colorado.</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(“MD&amp;A”) of the financial condition and results of operations of Columbia Care Inc. (“Columbia Care”, the “Company”, “us”, “our” or “we”) is supplemental to, and should be read in conjunction with, Columbia Care’s condensed interim consolidated financial statements and the accompanying notes for the three and six months ended June 30, 2022 and 2021.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the Company’s 2021 Form 10-K filed with the SEC on March 31, 2022 and subsequent securities filings.</w:t>
      </w:r>
    </w:p>
    <w:p>
      <w:pPr>
        <w:spacing w:after="0" w:line="1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Columbia Care’s financial statements are prepared in accordance with generally accepted accounting principles in the United States of America (“US GAAP”). Financial information presented in this MD&amp;A is presented in thousands of United States dollars (“$” or “US$”), unless otherwise indicated.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COLUMBIA CARE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business activity is the production and sale of cannabis. We strive to be the premier provider of cannabis-related products in each of the markets in which we operate. Our mission is to improve lives by providing cannabis-based health and wellness solutions through community partnerships, research, education and the responsible use of our products as a natural means to improve the quality of life of our patients and customers.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COLUMBIA CARE OBJECTIVES AND FACTORS AFFECTING OUR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one of the largest fully integrated operators in the cannabis industry, our strategy to grow our business is comprised of the following key components:</w:t>
      </w:r>
    </w:p>
    <w:p>
      <w:pPr>
        <w:spacing w:after="0" w:line="158" w:lineRule="exact"/>
        <w:rPr>
          <w:sz w:val="20"/>
          <w:szCs w:val="20"/>
          <w:color w:val="auto"/>
        </w:rPr>
      </w:pPr>
    </w:p>
    <w:p>
      <w:pPr>
        <w:ind w:left="1180" w:hanging="781"/>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development within and outside our current markets</w:t>
      </w:r>
    </w:p>
    <w:p>
      <w:pPr>
        <w:spacing w:after="0" w:line="157" w:lineRule="exact"/>
        <w:rPr>
          <w:rFonts w:ascii="Times New Roman" w:cs="Times New Roman" w:eastAsia="Times New Roman" w:hAnsi="Times New Roman"/>
          <w:sz w:val="18"/>
          <w:szCs w:val="18"/>
          <w:color w:val="auto"/>
        </w:rPr>
      </w:pPr>
    </w:p>
    <w:p>
      <w:pPr>
        <w:ind w:left="1180" w:hanging="781"/>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Patient-centric, provider-based model to leverage health and wellness focus</w:t>
      </w:r>
    </w:p>
    <w:p>
      <w:pPr>
        <w:spacing w:after="0" w:line="157" w:lineRule="exact"/>
        <w:rPr>
          <w:rFonts w:ascii="Times New Roman" w:cs="Times New Roman" w:eastAsia="Times New Roman" w:hAnsi="Times New Roman"/>
          <w:sz w:val="18"/>
          <w:szCs w:val="18"/>
          <w:color w:val="auto"/>
        </w:rPr>
      </w:pPr>
    </w:p>
    <w:p>
      <w:pPr>
        <w:ind w:left="1180" w:hanging="781"/>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Consistency of proprietary product portfolio comprised of branded consumer and patient products</w:t>
      </w:r>
    </w:p>
    <w:p>
      <w:pPr>
        <w:spacing w:after="0" w:line="157" w:lineRule="exact"/>
        <w:rPr>
          <w:rFonts w:ascii="Times New Roman" w:cs="Times New Roman" w:eastAsia="Times New Roman" w:hAnsi="Times New Roman"/>
          <w:sz w:val="18"/>
          <w:szCs w:val="18"/>
          <w:color w:val="auto"/>
        </w:rPr>
      </w:pPr>
    </w:p>
    <w:p>
      <w:pPr>
        <w:ind w:left="1180" w:hanging="781"/>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data-driven innovation</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performance and future success are dependent on several factors. These factors are also subject to inherent risks and challenges, some of which are discussed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Branding</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established a national branding strategy across each of the jurisdictions in which we operate. Maintaining and growing our brand appeal is critical to our continued success.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local and federal laws in the jurisdictions in which we operate. Outside of the United States, our products may be subject to tariffs, treaties and various trade agreements as well as laws affecting the importation of consumer goods. We hold all required licenses for the production and distribution of our products in the jurisdictions in which we operate and continuously monitor changes in laws, regulations, treaties and agreements. In recent years, a temporary federal legislative enactment that prohibits the Department of Justice from expending appropriated funds to enforce federal laws that interfere with a state's implementation of its own medical marijuana laws has been included in multiple Appropriations laws that have passed Congress. This so-called budget rider is known as the Rohrbacher-Farr Amendment. The Rohrbacher-Farr Amendment has been included in successive appropriations legislation or resolutions since 2015. The Rohrabacher-Farr Amendment was extended most recently through September 30, 2022. Notably, the Rohrbacher-Farr Amendment has applied only to medical marijuana programs and has not provided the same protections to enforcement related to adult-use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Innovation and Consumer Trends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subject to changing consumer trends and preferences, which is dependent, in part, on continued consumer interest in new products. The success of new product offerings, depends upon a number of factors, including our ability to (i) accurately anticipate customer needs; (ii) develop new products that meet these needs; (iii) successfully commercialize new products; (iv) price products competitively; (v) produce and deliver products in sufficient volumes and on a timely basis; and (vi) differentiate product offerings from those of competitors.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Growth Strategies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successful history of growing revenue and we believe we have a strong strategy aimed at continuing our history of expansion in both current and new markets. Our future depends, in part, on our ability to implement our growth strategy including (i) product innovations; (ii) penetration of new markets; (iii) growth of wholesale revenue through third party retailers and distributors; (iv) future development and expansion of e-commerce and home delivery distribution capabilities; and (v) expansion of our cultivation and manufacturing capacity. Our ability to implement this growth strategy depends, among other things, on our ability to develop new products that appeal to consumers, maintain and expand brand loyalty, maintain and improve product quality and brand recognition, maintain and improve competitive position in our current markets, and identify and successfully enter and market products in new geographic areas and 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Announcements</w:t>
      </w:r>
    </w:p>
    <w:p>
      <w:pPr>
        <w:spacing w:after="0" w:line="158" w:lineRule="exact"/>
        <w:rPr>
          <w:sz w:val="20"/>
          <w:szCs w:val="20"/>
          <w:color w:val="auto"/>
        </w:rPr>
      </w:pPr>
    </w:p>
    <w:p>
      <w:pPr>
        <w:jc w:val="both"/>
        <w:ind w:left="800" w:hanging="401"/>
        <w:spacing w:after="0" w:line="261"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2022, the Company and Cresco Labs announced the execution of the Arrangement Agreement, whereby, among other things, Cresco Labs will acquire 100% issued and outstanding shares of the Company. On July 8, 2022, the Company held a special meeting of the shareholders of the Company at which the shareholders approved the Cresco Transaction. On July 15, 2022, the Company also obtained the final order from the Supreme Court of British Columbia approving the Arrangement Agreement with Cresco Labs.</w:t>
      </w:r>
    </w:p>
    <w:p>
      <w:pPr>
        <w:spacing w:after="0" w:line="179" w:lineRule="exact"/>
        <w:rPr>
          <w:rFonts w:ascii="Times New Roman" w:cs="Times New Roman" w:eastAsia="Times New Roman" w:hAnsi="Times New Roman"/>
          <w:sz w:val="18"/>
          <w:szCs w:val="18"/>
          <w:color w:val="auto"/>
        </w:rPr>
      </w:pPr>
    </w:p>
    <w:p>
      <w:pPr>
        <w:jc w:val="both"/>
        <w:ind w:left="800" w:hanging="401"/>
        <w:spacing w:after="0" w:line="258"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2021, the Company acquired a 100% ownership interest in Medicine Man, through the Merger Agreement. Concurrently with the Merger Agreement, the Company was granted the Option to purchase Medicine Man Medicine Man Longmont. The Option was exercised by the Company on August 12, 2022 following the sale of the Company’s former TGS Longmont location in July 2022. The Company executed the Medicine Man Transaction in order to continue to grow revenues; expand its cultivation facilities, manufacturing facilities and dispensaries; and expand in the State of Colorado.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consolidated financial information derived from our condensed interim consolidated financial statements and the respective accompanying notes prepared in accordance with U.S. GAAP.</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periods discussed herein, our accounting policies have remained consistent. The selected and summarized consolidated financial information below may not be indicative of our future performance.</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Statement of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w w:val="99"/>
              </w:rPr>
              <w:t>Three months ended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5"/>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129,571</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102,387</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27,184</w:t>
            </w: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252,658</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188,482</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64,176</w:t>
            </w: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2"/>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related to inventory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production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(33,588)</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5"/>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sales related to business</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combination fair value adjustments to</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1,352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1,492</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50,848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41,747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9,101</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107,475</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75,395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32,080</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5"/>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(72,956)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(52,503)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(20,453)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(144,248)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(100,537)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(43,711)</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7"/>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(22,108)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(11,352)</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(36,773)</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(11,631)</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(13,445)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(26,054)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(15,744)</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2"/>
        </w:trPr>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(54,255)</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(18,657)</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(35,598)</w:t>
            </w: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(82,161)</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(47,820)</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(34,341)</w:t>
            </w: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2"/>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99"/>
        </w:trPr>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Columbia Care</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(53,828)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(18,144)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(35,684)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(80,464)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(46,926)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(33,538)</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
        </w:trPr>
        <w:tc>
          <w:tcPr>
            <w:tcW w:w="27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Loss per share attributable to Columbia</w:t>
            </w: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Care Inc. - based and diluted</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6"/>
        </w:trPr>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7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basic and diluted</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394,023,144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313,771,867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385,258,892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304,346,270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restart"/>
          </w:tcPr>
          <w:p>
            <w:pPr>
              <w:jc w:val="right"/>
              <w:ind w:right="178"/>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Summary of Balance Sheet items:</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78"/>
        </w:trPr>
        <w:tc>
          <w:tcPr>
            <w:tcW w:w="4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24"/>
                <w:szCs w:val="24"/>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400" w:type="dxa"/>
            <w:vAlign w:val="bottom"/>
          </w:tcPr>
          <w:p>
            <w:pPr>
              <w:spacing w:after="0"/>
              <w:rPr>
                <w:sz w:val="19"/>
                <w:szCs w:val="19"/>
                <w:color w:val="auto"/>
              </w:rPr>
            </w:pPr>
          </w:p>
        </w:tc>
        <w:tc>
          <w:tcPr>
            <w:tcW w:w="6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1,420,465</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1,376,512</w:t>
            </w:r>
          </w:p>
        </w:tc>
      </w:tr>
      <w:tr>
        <w:trPr>
          <w:trHeight w:val="230"/>
        </w:trPr>
        <w:tc>
          <w:tcPr>
            <w:tcW w:w="40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892,496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825,689</w:t>
            </w:r>
          </w:p>
        </w:tc>
      </w:tr>
      <w:tr>
        <w:trPr>
          <w:trHeight w:val="229"/>
        </w:trPr>
        <w:tc>
          <w:tcPr>
            <w:tcW w:w="400" w:type="dxa"/>
            <w:vAlign w:val="bottom"/>
          </w:tcPr>
          <w:p>
            <w:pPr>
              <w:spacing w:after="0"/>
              <w:rPr>
                <w:sz w:val="19"/>
                <w:szCs w:val="19"/>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753,997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581,692</w:t>
            </w:r>
          </w:p>
        </w:tc>
      </w:tr>
      <w:tr>
        <w:trPr>
          <w:trHeight w:val="234"/>
        </w:trPr>
        <w:tc>
          <w:tcPr>
            <w:tcW w:w="40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527,969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550,823</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2022 and 2021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our results of operations for the three months ended June 30, 2022 and 2021:</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1"/>
        </w:trPr>
        <w:tc>
          <w:tcPr>
            <w:tcW w:w="4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3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980" w:type="dxa"/>
            <w:vAlign w:val="bottom"/>
          </w:tcPr>
          <w:p>
            <w:pPr>
              <w:jc w:val="right"/>
              <w:ind w:right="43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4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129,571</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102,387</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27,184</w:t>
            </w:r>
          </w:p>
        </w:tc>
        <w:tc>
          <w:tcPr>
            <w:tcW w:w="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related to inventory production</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1"/>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 related to business combination fair value</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3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inventory</w:t>
            </w:r>
          </w:p>
        </w:tc>
        <w:tc>
          <w:tcPr>
            <w:tcW w:w="1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1,352</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50,848</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41,747</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9,101</w:t>
            </w: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(72,956)</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(52,503)</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(20,453)</w:t>
            </w: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(35,553)</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(18,702)</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Columbia Care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(35,684)</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revenue of $27,184 for the three months ended June 30, 2022, as compared to the prior year period was primarily driven by the expansion of our existing wholesale and retail network and our recent acquisitions.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2022, we experienced a revenue increase of $12,866 when compared to the prior period due to organic growth within our existing wholesale and retail network; this was also due to our recent acquisitions, including our 2020 acquisitions of The Green Solution and Project Cannabis, and our 2021 acquisitions of The Healing Center, Corsa Verde, gLeaf, Cannascend, and Medicine Man. Our existing wholesale and retail network contributed to a Revenue increase of $21,516 as compared to the prior period. Our acquisitions of Cannascend and Medicine Man contributed to an additional $14,318 of Revenue during the three months ended June 30, 2022, as compared to the prior year. Revenue increased by $14,266 related to our acquired retail facilities and $52 related to our acquired wholesale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6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increase in cost of sales of $18,083 for the three months ended June 30, 2022, as compared to the prior year period, was primarily driven by the expansion of our existing wholesale and retail network and our recent acquisitions.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2022, we experienced a cost of sales increase of $7,804 when compared to the prior period due to organic growth within our existing wholesale and retail network and due to our recent acquisitions, including 2020 acquisitions of The Green Solution and Project Cannabis, and our 2021 acquisitions of The Healing Center, Corsa Verde, gLeaf, Cannascend, and Medicine Man. Our acquisitions of Cannascend and Medicine Man contributed to an additional $8,910 of cost of sales during the three months ended June 30, 2022, as compared to the prior period. Furthermore, the cost of sales also increased by $1,912 due to a change in the valuation of certain inventory. Cost of sales increased by $8,701 related to our acquired retail facilities and $210 related to our acquired wholesale facilities.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gross margin of $9,101 for the three months ended June 30, 2022, as compared to the prior year period, was primarily driven by the expansion of our existing wholesale and retail network and our recent acquisitions.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2022, we experienced a gross margin increase of $5,061 when compared to the prior period due to organic growth within our existing wholesale and retail network and due to our recent acquisitions including 2020 acquisitions of The Green Solution and Project Cannabis, and our 2021 acquisitions of The Healing Center, Corsa Verde, gLeaf, Cannascend and Medicine Man. Our existing wholesale and retail network contributed to a gross margin increase of $5,439 as compared to the prior period. Our acquisitions of Cannascend and Medicine Man contributed to an additional $5,407 of gross margin during the three months ended June 30, 2022, as compared to the prior year. Gross margin increased by $5,565 related to our acquired retail facilities and decreased $158 related to our acquired wholesale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of $20,453 in operating expenses for the three months ended June 30, 2022 as compared to the prior year period was primarily attributable to an increase in salary and benefits expenses of $10,083, depreciation and amortization of $8,869, and operating facility costs of $3,996; this was primarily offset by a decrease in operating office and general expenses by $1,103 as we limited further expansion in the size and scope of our administrative functions.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other expense, net of $8,394 for the three months ended June 30, 2022 as compared to the prior year period was primarily due to an increase in interest expense by $6,516. This was partially offset by an increase in rental income of $893 and losses on disposal of assets for the 3 months ended June 2021 of $1,580 (which did not exist in the current period); this was partially offset by the change in fair value of a derivative liability of $4,288.</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Income Taxes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$18,702 for the three months ended June 30, 2022, as compared to income tax expense of $2,850 for the three months ended June 30, 2021.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our results of operations for the six months ended June 30, 2022 and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01"/>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9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1060" w:type="dxa"/>
            <w:vAlign w:val="bottom"/>
          </w:tcPr>
          <w:p>
            <w:pPr>
              <w:jc w:val="right"/>
              <w:ind w:right="47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252,658</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188,482</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64,176</w:t>
            </w: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related to inventory production</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(145,183)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(33,588)</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1"/>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 related to business combination fair value adjustments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34"/>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 inventory</w:t>
            </w:r>
          </w:p>
        </w:tc>
        <w:tc>
          <w:tcPr>
            <w:tcW w:w="18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1,492</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107,475</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75,395</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32,080</w:t>
            </w:r>
          </w:p>
        </w:tc>
        <w:tc>
          <w:tcPr>
            <w:tcW w:w="16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(144,248)</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(100,537)</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(43,711)</w:t>
            </w:r>
          </w:p>
        </w:tc>
        <w:tc>
          <w:tcPr>
            <w:tcW w:w="1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Columbia Care Inc.</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(80,464)</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(46,926)</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(33,538)</w:t>
            </w: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revenue of $64,176 for the six months ended June 30, 2022, as compared to the prior year period was primarily driven by the expansion of our existing wholesale and retail network and our recent acquisitions.</w:t>
      </w:r>
    </w:p>
    <w:p>
      <w:pPr>
        <w:spacing w:after="0" w:line="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During the six months ended June 30, 2022, we experienced a revenue increase of $35,724 when compared to the prior period due to organic growth within our existing wholesale and retail network and due to our recent acquisitions including 2020 acquisitions of The Green Solution and Project Cannabis, and our 2021 acquisitions of The Healing Center, Corsa Verde, gLeaf, Cannascend and Medicine Man. Our existing wholesale and retail network contributed to a revenue increase of $47,598 as compared to the prior period. Our acquisitions of The Healing Center, Cannascend, Corsa Verde, gLeaf and Medicine Man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contributed to an additional $28,451 of revenue during the six months ended June 30, 2022, as compared to the prior year. Revenue increased by $28,245 related to our acquired retail facilities and remained unchanged in relation to our acquired wholesale facilities.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cost of sales of $32,096 for the six months ended June 30, 2022, as compared to the prior year period, was primarily driven by the expansion of our existing wholesale and retail network and our recent acquisitions.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we experienced a cost of sales increase of $13,263 when compared to the prior period due to organic growth within our existing wholesale and retail network and due to our recent acquisitions; these include 2020 acquisitions of The Green Solution and Project Cannabis, and our 2021 acquisitions of The Healing Center, Corsa Verde, gLeaf, Cannascend, and Medicine Man.. Our acquisitions of The Healing Center, Cannascend, Corsa Verde, gLeaf and Medicine Man contributed to an additional $17,464 of cost of sales during the six months ended June 30, 2022, as compared to the prior period. Furthermore, the cost of sales also increased by $1,912 due to a change in the valuation of certain inventory. Cost of sales increased by $16,942 related to our acquired retail facilities and decreased $22 related to our acquired wholesale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gross margin of $32,080 for the six months ended June 30, 2022, as compared to the prior year period was primarily driven by the expansion of our existing wholesale and retail network and our recent acquisitions.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we experienced a gross margin increase of $22,462 when compared to the prior period due to organic growth within our existing wholesale and retail network and due to our recent acquisitions; these include 2020 acquisitions of The Green Solution and Project Cannabis, and our 2021 acquisitions of The Healing Center, Corsa Verde, gLeaf, Cannascend, and Medicine Man. Our existing wholesale and retail network contributed to a gross margin increase of $21,784 as compared to the prior period. Our acquisitions of The Healing Center, Cannascend, Corsa Verde, gLeaf and Medicine Man contributed to an additional $10,986 of gross margin during the six months ended June 30, 2022, as compared to the prior year. Gross margin increased by $11,303 related to our acquired retail facilities and decreased ($22) related to our acquired wholesale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of $43,711 in operating expenses for the six months ended June 30, 2022 as compared to the prior year period was primarily attributable to an increase in depreciation and amortization of $19,442, salary and benefits costs of $16,174, operating facility costs of $7,445, and advertising and promotion expense of $2,110 as the Company expanded its operations and increased the size and scope of its administrative functions.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expense, net of $15,744 for the six months ended June 30, 2022, as compared to the prior year period, was primarily due to increased interest expense on debt of $12,955, interest expense on debt issuance cost of $629, and interest expense on debt issuance on convertible debts of $323; this was offset by the increase in rental income of $1,655 and a loss on disposal of assets for the 6 months ended June 2021 of $1,580 (which did not exist in the current period).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Income Taxes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$19,334 for the six months ended June 30, 2022, as compared to income tax expense of $12,368 for the six months ended June 30, 2021.</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current tax expense has increased in the current period, however, the decrease in total tax expense is largely due to the Company’s previous acquisition activity that had generated deferred tax liabilities now giving rise to a deferred tax benefit. The Company operates in the legal cannabis industry but is subject to Section 280E of the Internal Revenue Code (“Section 280E”) which prohibits the Company from deducting non cost of goods sold related expenses. The result of Section 280E’s application to the Company results in permanent disallowance of ordinary and necessary business expenses. As a result of Section 280E, the Company’s effective tax rate can be highly variable and may not necessarily correlate with pre-tax income or loss.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including EBITDA, Adjusted EBITDA and Adjusted EBITDA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for the period to EBITDA and Adjusted EBITDA for the three and six months ended June 30, 2022 and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Pr>
          <w:p>
            <w:pPr>
              <w:spacing w:after="0"/>
              <w:rPr>
                <w:sz w:val="19"/>
                <w:szCs w:val="19"/>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(54,255)</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(18,657)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(82,161)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(47,820)</w:t>
            </w: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18,702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19,334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12,368</w:t>
            </w:r>
          </w:p>
        </w:tc>
      </w:tr>
      <w:tr>
        <w:trPr>
          <w:trHeight w:val="229"/>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20,058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9,202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41,268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17,725</w:t>
            </w:r>
          </w:p>
        </w:tc>
      </w:tr>
      <w:tr>
        <w:trPr>
          <w:trHeight w:val="230"/>
        </w:trPr>
        <w:tc>
          <w:tcPr>
            <w:tcW w:w="43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Interest expense, net and debt amortization</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11,499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5,623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24,169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10,629</w:t>
            </w:r>
          </w:p>
        </w:tc>
      </w:tr>
      <w:tr>
        <w:trPr>
          <w:trHeight w:val="22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(non-GAAP measure)</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2,610</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(7,098)</w:t>
            </w: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7,678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14,052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13,334</w:t>
            </w:r>
          </w:p>
        </w:tc>
      </w:tr>
      <w:tr>
        <w:trPr>
          <w:trHeight w:val="230"/>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Fair value mark-up for acquired inventory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1,492</w:t>
            </w:r>
          </w:p>
        </w:tc>
      </w:tr>
      <w:tr>
        <w:trPr>
          <w:trHeight w:val="229"/>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for acquisition and other non-core costs*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14,727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18,013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5,092</w:t>
            </w: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1,580</w:t>
            </w:r>
          </w:p>
        </w:tc>
      </w:tr>
      <w:tr>
        <w:trPr>
          <w:trHeight w:val="230"/>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Fair-value changes on derivative liabilities</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(6,380)</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(5,697)</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(1,913)</w:t>
            </w:r>
          </w:p>
        </w:tc>
      </w:tr>
      <w:tr>
        <w:trPr>
          <w:trHeight w:val="263"/>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Adjusted EBITDA (non-GAAP measure)</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12,029</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8,729</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28,978</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12,487</w:t>
            </w:r>
          </w:p>
        </w:tc>
      </w:tr>
      <w:tr>
        <w:trPr>
          <w:trHeight w:val="237"/>
        </w:trPr>
        <w:tc>
          <w:tcPr>
            <w:tcW w:w="4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129,571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102,387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252,658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188,482</w:t>
            </w: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(non-GAAP measure)</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12,029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8,729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28,978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12,487</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(non-GAAP measure)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4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129,571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102,387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252,658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188,482</w:t>
            </w: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50,848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41,747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107,475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75,395</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25" w:lineRule="exact"/>
        <w:rPr>
          <w:sz w:val="20"/>
          <w:szCs w:val="20"/>
          <w:color w:val="auto"/>
        </w:rPr>
      </w:pPr>
    </w:p>
    <w:p>
      <w:pPr>
        <w:ind w:right="2120"/>
        <w:spacing w:after="0" w:line="422" w:lineRule="auto"/>
        <w:rPr>
          <w:sz w:val="20"/>
          <w:szCs w:val="20"/>
          <w:color w:val="auto"/>
        </w:rPr>
      </w:pPr>
      <w:r>
        <w:rPr>
          <w:rFonts w:ascii="Times New Roman" w:cs="Times New Roman" w:eastAsia="Times New Roman" w:hAnsi="Times New Roman"/>
          <w:sz w:val="18"/>
          <w:szCs w:val="18"/>
          <w:color w:val="auto"/>
        </w:rPr>
        <w:t xml:space="preserve">*Acquisition and other non-core costs include costs associated with acquisitions, litigation expenses and COVID-19 expenses. </w:t>
      </w:r>
      <w:r>
        <w:rPr>
          <w:rFonts w:ascii="Times New Roman" w:cs="Times New Roman" w:eastAsia="Times New Roman" w:hAnsi="Times New Roman"/>
          <w:sz w:val="18"/>
          <w:szCs w:val="18"/>
          <w:i w:val="1"/>
          <w:iCs w:val="1"/>
          <w:color w:val="auto"/>
        </w:rPr>
        <w:t>Adjusted EBITDA</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Adjusted EBITDA for the three and six months ended June 30, 2022, as compared to the prior year period, was primarily driven by improved gross margins and a greater operating income.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both on a local, state and federal level.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meeting our obligations as they become due and are earning revenues from our operations. However, we have sustained losses since inception and may require additional capital in the future. We estimate that based on our current business operations and working capital, we will continue to meet our obligations as they become due in the short term. As we continue to seek growth through expansion or acquisition, our cash flow requirements and obligations could materially change. As of June 30, 2022, we did not have any significant external capital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Recent Financing Transactions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2022, we closed a private placement of $185,000 aggregate principal amount of 9.50% senior-secured first-lien notes due 2026 (the “2026 Notes”). The 2026 Notes are senior secured obligations of the Company and were issued at 100.0% of face value. In connection with the offering of the 2026 Notes, the Company received binding commitments to exchange approximately $31,750 of the Company’s existing 13.0% Term Debt, pursuant to private agreements in accordance with the trust indenture, for an equivalent amount of 2026 Notes plus accrued but unpaid interest and any negotiated premium thereon. As a result of the note exchanges, the Company received aggregate gross proceeds of $153,250 in cash pursuant to the offering of the 2026 Notes.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sources and uses of cash for each of the periods presented:</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4"/>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60" w:type="dxa"/>
            <w:vAlign w:val="bottom"/>
          </w:tcPr>
          <w:p>
            <w:pPr>
              <w:spacing w:after="0"/>
              <w:rPr>
                <w:sz w:val="19"/>
                <w:szCs w:val="19"/>
                <w:color w:val="auto"/>
              </w:rPr>
            </w:pPr>
          </w:p>
        </w:tc>
        <w:tc>
          <w:tcPr>
            <w:tcW w:w="17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(99,783)</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(19,115)</w:t>
            </w: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(84,885)</w:t>
            </w:r>
          </w:p>
        </w:tc>
      </w:tr>
      <w:tr>
        <w:trPr>
          <w:trHeight w:val="22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157,707</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191,142</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87,142</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operating activities used $99,783 of cash, primarily resulting from a net loss of $82,161 and net changes in operating assets and liabilities of $86,558; this was partially offset by depreciation and amortization of $41,268, equity-based compensation expense of $14,052, debt amortization expense of $4,073, a change in fair value of a derivative liability of $5,697, and a change in deferred taxes of $13,762. The net change in operating assets and liabilities was primarily due to an increase in inventory of $27,218, a decrease in accrued expenses and other current liabilities of $24,071, a decrease in accounts payable of $2,920, an increase in other assets of $12,961, an increase in prepaid expenses and other current assets of $1,684, and an increase in other long-term liabilities by $13,366.</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2021, operating activities used $19,115 of cash, primarily resulting from a net loss of $47,820, that was partially offset by depreciation and amortization of $17,725, and equity-based compensation expense of $13,334.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investing activities used $57,682 of cash pursuant to purchases of property and equipment of $58,673; this was partially offset by proceeds from the sale of property and equipment of $255 and cash received on deposits of $1,699.</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2021, investing activities used $84,885 of cash primarily for purchases of property and equipment of $32,261 and business acquisitions of $15,727.</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financing activities provided $157,707 of cash, mainly due to $153,250 in net proceeds received from the issuance of debt and the issuance of a mortgage of $16,500; this was partially offset by lease liability payments of $2,966 and a debt issuance cost of $7,698.</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2021, financing activities provided $191,142 of cash primarily from proceeds from the issuance of equity of $133,559 and issuance of debt of $74,500, partially offset by repayment of a seller’s note of $7,875 and payment of lease liabilities of $4,590.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contractual obligations as of June 30, 2022 and the effects that such obligations are expected to have on our liquidity and cash flows in future periods:</w:t>
      </w:r>
    </w:p>
    <w:p>
      <w:pPr>
        <w:spacing w:after="0" w:line="104"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01"/>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Year 6 and</w:t>
            </w:r>
          </w:p>
        </w:tc>
      </w:tr>
      <w:tr>
        <w:trPr>
          <w:trHeight w:val="238"/>
        </w:trPr>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1</w:t>
            </w: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16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3</w:t>
            </w:r>
          </w:p>
        </w:tc>
        <w:tc>
          <w:tcPr>
            <w:tcW w:w="18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4</w:t>
            </w:r>
          </w:p>
        </w:tc>
        <w:tc>
          <w:tcPr>
            <w:tcW w:w="14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5</w:t>
            </w:r>
          </w:p>
        </w:tc>
        <w:tc>
          <w:tcPr>
            <w:tcW w:w="14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beyond</w:t>
            </w:r>
          </w:p>
        </w:tc>
      </w:tr>
      <w:tr>
        <w:trPr>
          <w:trHeight w:val="223"/>
        </w:trPr>
        <w:tc>
          <w:tcPr>
            <w:tcW w:w="2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commitments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457,694</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16,225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34,839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34,005</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30,102</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27,450</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315,073</w:t>
            </w:r>
          </w:p>
        </w:tc>
      </w:t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Sale-Leaseback commitments</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212,505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161,240</w:t>
            </w:r>
          </w:p>
        </w:tc>
      </w:tr>
      <w:tr>
        <w:trPr>
          <w:trHeight w:val="22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Notes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185,000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185,000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Term debt (principal)</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related term debt</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2,708</w:t>
            </w: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term debts and notes</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r>
      <w:tr>
        <w:trPr>
          <w:trHeight w:val="22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(principal)</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80,100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74,500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convertible debt</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 notes (principal)</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36,271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17,778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15,090</w:t>
            </w:r>
          </w:p>
        </w:tc>
      </w:t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Mortgage notes (interest)</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 promissory note (principal)</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Closing promissory note (interest)</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related real estate notes</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34"/>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 real estate notes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1,126,350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97,103</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79,983</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150,325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245,696</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58,092</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495,151</w:t>
            </w: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excludes purchase orders for inventory in the normal course of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Rising inflation rates have had a substantial impact on our financial performance to date and may have an impact on our financial performance in the future as our ability to pass on an increase in costs is not entirely within our control.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judgements, estimates and assumptions about the future that affect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interim consolidated financial statements requires us to make judgements,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Judgements estimates and assumptions with the most significant effect on the amounts recognized in the consolidated financial statements are described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FINANCIAL RISK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notes receivable, deposits and other current assets, accounts payable, accrued expenses, current taxes payable and other current liabilities like interest payable and payroll liabilities, derivative liability, debt and lease liabilities. The fair values of cash and restricted cash, accounts and notes receivable, deposits, accounts payable and accrued expenses and other current liabilities like interest payable and payroll liabilities, short-term debt and lease liabilities approximate their carrying values due to the relatively short-term to maturity or because of the market rate of interest used on initial recognition. Columbia Care classifies its derivative liability as fair value through profit and loss (FVTPL).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fair value contained within the hierarchy are:</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and</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3 – Inputs for the asset or liability that are not based on observable market data.</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in varying degrees to a variety of financial instrument related risks. Our risk exposures and the impact on our financial instruments is summarized below: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risk is the risk of a potential loss to us if a customer or third party to a financial instrument fails to meet its contractual obligations. The maximum credit exposure at June 30, 2022 and December 31, 2021, is the carrying amount of cash and cash equivalents, subscription receivable, accounts receivable and notes receivable. We do not have significant credit risk with respect to our customers. All cash deposits are with regulated U.S. financial institutions.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credit to our customers in the normal course of business and have established credit evaluation and monitoring processes to mitigate credit risk but have limited risk as the majority of our sales are transacted with cash. Through our Columbia Care National Credit program, we provide credit to customers in certain markets in which we operate.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management of our capital structure. Our approach to managing liquidity is to estimate cash requirements from operations, capital expenditures and investments and ensure that we have sufficient liquidity to fund our ongoing operations and to settle obligations and liabilities when due.</w:t>
      </w:r>
    </w:p>
    <w:p>
      <w:pPr>
        <w:spacing w:after="0" w:line="200" w:lineRule="exact"/>
        <w:rPr>
          <w:sz w:val="20"/>
          <w:szCs w:val="20"/>
          <w:color w:val="auto"/>
        </w:rPr>
      </w:pP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incurred significant cumulative net losses and we have not generated positive cash flows from our operations. We have therefore depended on financing from sale of our equity and from debt financing to fund our operations. Overall, we do not expect the net cash contribution from our operations and investments to be positive in the near term, and we therefore expect to rely on financing from equity or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business opportunities and challenges applicable to any business operating in a fast-growing environment, our business operates in a highly regulated and multi-jurisdictional industry, which is subject to potentially significant changes outside of our control as individual states as well as the U.S. federal government may impose restrictions on our ability to grow our business profitably or enact new laws and regulations that open up new markets.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our financial instrument will fluctuate because of changes in market interest rates. Our cash deposits bear interest at market rates.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results and financial position are reported in thousands of U.S. dollars. We may enter into financial transactions denominated in other currencies, which would result in Columbia Care’s operations and financial position to be subject to currency transaction and translation risks.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we had no hedging agreements in place with respect to foreign exchange rates. We have not entered into any agreements or purchased any instruments to hedge possible currency risks at this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Price Risk</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 risk is the risk of variability in fair value due to movements in equity or market prices. We are subject to the risk of price variability pursuant to our products due to competitive or regulatory pressures.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material changes to the market risks as disclosed in the Company’s 2021 Form 10-K.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reported in the Company’s 2021 Form 10-K, our disclosure controls and procedures were not effective due to a material weakness in our internal control over financial reporting, specifically relating to the lack of appropriate controls over management’s fair value modeling of complex accounting and financial reporting issues in the impairment testing of goodwill and intangible assets.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defined in Rules 13a-15(e) and 15d-15(e) under the Securities Exchange Act of 1934, as amended) as of the end of the period covered by this report were effective to provide reasonable assurance that the information required to be disclosed by the Company in reports filed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the material weakness described above, the Company implemented a remediation plan to address the material weakness. These remediation efforts, outlined below, were intended both to address the identified material weaknesses and to enhance the Company’s overall financial control environment. The Company, including its CEO and CFO, does not expect that its internal controls and procedures will prevent or detect all error and all fraud. A control system, no matter how well conceived or operated, can provide only reasonable, not absolute, assurance that the objectives of the control system are met.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year ended December 31, 2021, the Company implemented a new control, whereby the Company has utilized a new third party specializing in fair value modeling who will review and analyze, at the corporate level, potential impairment testing of goodwill and intangible assets on an annual basis or as necessary.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A discussion of our litigation matters occurring in the period covered by this report is found in Reference to Part I, Item 1, </w:t>
      </w:r>
      <w:r>
        <w:rPr>
          <w:rFonts w:ascii="Times New Roman" w:cs="Times New Roman" w:eastAsia="Times New Roman" w:hAnsi="Times New Roman"/>
          <w:sz w:val="18"/>
          <w:szCs w:val="18"/>
          <w:u w:val="single" w:color="auto"/>
          <w:color w:val="0000EE"/>
        </w:rPr>
        <w:t>Note 13,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Contingencies</w:t>
      </w:r>
      <w:r>
        <w:rPr>
          <w:rFonts w:ascii="Times New Roman" w:cs="Times New Roman" w:eastAsia="Times New Roman" w:hAnsi="Times New Roman"/>
          <w:sz w:val="18"/>
          <w:szCs w:val="18"/>
          <w:color w:val="000000"/>
        </w:rPr>
        <w:t>, in the Notes to Unaudited Interim Consolidated Financial Statements of this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Part I, Item 1A, of the Company’s 2021 Form 10-K, except as disclosed in Item 1A of our registration statement on Form 10, filed on May 9, 2022, which is incorporated by reference herein.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Securities and Use of Proceeds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 Index</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6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59">
        <w:r>
          <w:rPr>
            <w:rFonts w:ascii="Times New Roman" w:cs="Times New Roman" w:eastAsia="Times New Roman" w:hAnsi="Times New Roman"/>
            <w:sz w:val="17"/>
            <w:szCs w:val="17"/>
            <w:u w:val="single" w:color="auto"/>
            <w:color w:val="0000EE"/>
          </w:rPr>
          <w:t>Arrangement Agreement, dated March 23, 2022, between Cresco Labs Inc. and Columbia Care Inc. (incorporated by reference to Exhibit</w:t>
        </w:r>
      </w:hyperlink>
    </w:p>
    <w:p>
      <w:pPr>
        <w:spacing w:after="0" w:line="27" w:lineRule="exact"/>
        <w:rPr>
          <w:sz w:val="20"/>
          <w:szCs w:val="20"/>
          <w:color w:val="auto"/>
        </w:rPr>
      </w:pPr>
    </w:p>
    <w:p>
      <w:pPr>
        <w:ind w:left="1120"/>
        <w:spacing w:after="0"/>
        <w:rPr>
          <w:rFonts w:ascii="Times New Roman" w:cs="Times New Roman" w:eastAsia="Times New Roman" w:hAnsi="Times New Roman"/>
          <w:sz w:val="18"/>
          <w:szCs w:val="18"/>
          <w:u w:val="single" w:color="auto"/>
          <w:color w:val="0000EE"/>
        </w:rPr>
      </w:pPr>
      <w:hyperlink r:id="rId59">
        <w:r>
          <w:rPr>
            <w:rFonts w:ascii="Times New Roman" w:cs="Times New Roman" w:eastAsia="Times New Roman" w:hAnsi="Times New Roman"/>
            <w:sz w:val="18"/>
            <w:szCs w:val="18"/>
            <w:u w:val="single" w:color="auto"/>
            <w:color w:val="0000EE"/>
          </w:rPr>
          <w:t>2.1 of the Registrant’s Current Report on Form 8-K, filed with the SEC on March 29, 2022)</w:t>
        </w:r>
      </w:hyperlink>
    </w:p>
    <w:p>
      <w:pPr>
        <w:spacing w:after="0" w:line="9" w:lineRule="exact"/>
        <w:rPr>
          <w:sz w:val="20"/>
          <w:szCs w:val="20"/>
          <w:color w:val="auto"/>
        </w:rPr>
      </w:pPr>
    </w:p>
    <w:p>
      <w:pPr>
        <w:ind w:left="1120" w:right="100" w:hanging="746"/>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60">
        <w:r>
          <w:rPr>
            <w:rFonts w:ascii="Times New Roman" w:cs="Times New Roman" w:eastAsia="Times New Roman" w:hAnsi="Times New Roman"/>
            <w:sz w:val="18"/>
            <w:szCs w:val="18"/>
            <w:u w:val="single" w:color="auto"/>
            <w:color w:val="0000EE"/>
          </w:rPr>
          <w:t>Articles of Columbia Care Inc. (incorporated by reference to Exhibit 3.1 of the Registrant’s Registration Statement on Form 10, filed with</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the SEC on December 14, 2021)</w:t>
        </w:r>
      </w:hyperlink>
    </w:p>
    <w:p>
      <w:pPr>
        <w:ind w:left="1120" w:right="20" w:hanging="746"/>
        <w:spacing w:after="0" w:line="273"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61">
        <w:r>
          <w:rPr>
            <w:rFonts w:ascii="Times New Roman" w:cs="Times New Roman" w:eastAsia="Times New Roman" w:hAnsi="Times New Roman"/>
            <w:sz w:val="17"/>
            <w:szCs w:val="17"/>
            <w:u w:val="single" w:color="auto"/>
            <w:color w:val="0000EE"/>
          </w:rPr>
          <w:t>Warrant Agency Agreement dated September 20, 2018 between Canaccord Genuity Growth Corp. and Odyssey Trust Company</w:t>
        </w:r>
      </w:hyperlink>
      <w:r>
        <w:rPr>
          <w:rFonts w:ascii="Times New Roman" w:cs="Times New Roman" w:eastAsia="Times New Roman" w:hAnsi="Times New Roman"/>
          <w:sz w:val="17"/>
          <w:szCs w:val="17"/>
          <w:u w:val="single" w:color="auto"/>
          <w:color w:val="0000EE"/>
        </w:rPr>
        <w:t xml:space="preserve"> </w:t>
      </w:r>
      <w:hyperlink r:id="rId61">
        <w:r>
          <w:rPr>
            <w:rFonts w:ascii="Times New Roman" w:cs="Times New Roman" w:eastAsia="Times New Roman" w:hAnsi="Times New Roman"/>
            <w:sz w:val="17"/>
            <w:szCs w:val="17"/>
            <w:u w:val="single" w:color="auto"/>
            <w:color w:val="0000EE"/>
          </w:rPr>
          <w:t>(incorporated by reference to Exhibit 4.1 of the Registrant’s Registration Statement on Form 10, filed with the SEC on December 14, 2021)</w:t>
        </w:r>
      </w:hyperlink>
    </w:p>
    <w:p>
      <w:pPr>
        <w:spacing w:after="0" w:line="1" w:lineRule="exact"/>
        <w:rPr>
          <w:sz w:val="20"/>
          <w:szCs w:val="20"/>
          <w:color w:val="auto"/>
        </w:rPr>
      </w:pPr>
    </w:p>
    <w:p>
      <w:pPr>
        <w:ind w:left="1120" w:right="640" w:hanging="746"/>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62">
        <w:r>
          <w:rPr>
            <w:rFonts w:ascii="Times New Roman" w:cs="Times New Roman" w:eastAsia="Times New Roman" w:hAnsi="Times New Roman"/>
            <w:sz w:val="18"/>
            <w:szCs w:val="18"/>
            <w:u w:val="single" w:color="auto"/>
            <w:color w:val="0000EE"/>
          </w:rPr>
          <w:t>Warrant Agreement dated April 26, 2019 between Columbia Care Inc. and Canaccord Genuity Corp. (incorporated by reference to</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Exhibit 4.2 of the Registrant’s Registration Statement on Form 10, filed with the SEC on December 14, 2021)</w:t>
        </w:r>
      </w:hyperlink>
    </w:p>
    <w:p>
      <w:pPr>
        <w:ind w:left="1120" w:right="520" w:hanging="746"/>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63">
        <w:r>
          <w:rPr>
            <w:rFonts w:ascii="Times New Roman" w:cs="Times New Roman" w:eastAsia="Times New Roman" w:hAnsi="Times New Roman"/>
            <w:sz w:val="18"/>
            <w:szCs w:val="18"/>
            <w:u w:val="single" w:color="auto"/>
            <w:color w:val="0000EE"/>
          </w:rPr>
          <w:t>Trust Indenture made as of March 31, 2020 between Columbia Care Inc. and Odyssey Trust Company (incorporated by reference to</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Exhibit 4.3 of the Registrant’s Registration Statement on Form 10, filed with the SEC on December 14, 2021)</w:t>
        </w:r>
      </w:hyperlink>
    </w:p>
    <w:p>
      <w:pPr>
        <w:ind w:left="3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64">
        <w:r>
          <w:rPr>
            <w:rFonts w:ascii="Times New Roman" w:cs="Times New Roman" w:eastAsia="Times New Roman" w:hAnsi="Times New Roman"/>
            <w:sz w:val="17"/>
            <w:szCs w:val="17"/>
            <w:u w:val="single" w:color="auto"/>
            <w:color w:val="0000EE"/>
          </w:rPr>
          <w:t>Warrant Indenture dated March 31, 2020 between Columbia Care Inc. and Odyssey Trust Company (incorporated by reference to Exhibit</w:t>
        </w:r>
      </w:hyperlink>
    </w:p>
    <w:p>
      <w:pPr>
        <w:spacing w:after="0" w:line="23" w:lineRule="exact"/>
        <w:rPr>
          <w:sz w:val="20"/>
          <w:szCs w:val="20"/>
          <w:color w:val="auto"/>
        </w:rPr>
      </w:pPr>
    </w:p>
    <w:p>
      <w:pPr>
        <w:ind w:left="1120"/>
        <w:spacing w:after="0"/>
        <w:rPr>
          <w:rFonts w:ascii="Times New Roman" w:cs="Times New Roman" w:eastAsia="Times New Roman" w:hAnsi="Times New Roman"/>
          <w:sz w:val="18"/>
          <w:szCs w:val="18"/>
          <w:u w:val="single" w:color="auto"/>
          <w:color w:val="0000EE"/>
        </w:rPr>
      </w:pPr>
      <w:hyperlink r:id="rId64">
        <w:r>
          <w:rPr>
            <w:rFonts w:ascii="Times New Roman" w:cs="Times New Roman" w:eastAsia="Times New Roman" w:hAnsi="Times New Roman"/>
            <w:sz w:val="18"/>
            <w:szCs w:val="18"/>
            <w:u w:val="single" w:color="auto"/>
            <w:color w:val="0000EE"/>
          </w:rPr>
          <w:t>4.4 of the Registrant’s Registration Statement on Form 10, filed with the SEC on December 14, 2021)</w:t>
        </w:r>
      </w:hyperlink>
    </w:p>
    <w:p>
      <w:pPr>
        <w:spacing w:after="0" w:line="9" w:lineRule="exact"/>
        <w:rPr>
          <w:sz w:val="20"/>
          <w:szCs w:val="20"/>
          <w:color w:val="auto"/>
        </w:rPr>
      </w:pPr>
    </w:p>
    <w:p>
      <w:pPr>
        <w:ind w:left="1120" w:right="660" w:hanging="746"/>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65">
        <w:r>
          <w:rPr>
            <w:rFonts w:ascii="Times New Roman" w:cs="Times New Roman" w:eastAsia="Times New Roman" w:hAnsi="Times New Roman"/>
            <w:sz w:val="18"/>
            <w:szCs w:val="18"/>
            <w:u w:val="single" w:color="auto"/>
            <w:color w:val="0000EE"/>
          </w:rPr>
          <w:t>Trust Indenture made as of May 14, 2020 between Columbia Care Inc. and Odyssey Trust Company (incorporated by reference to</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Exhibit 4.5 of the Registrant’s Registration Statement on Form 10, filed with the SEC on December 14, 2021)</w:t>
        </w:r>
      </w:hyperlink>
    </w:p>
    <w:p>
      <w:pPr>
        <w:ind w:left="1120" w:hanging="746"/>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66">
        <w:r>
          <w:rPr>
            <w:rFonts w:ascii="Times New Roman" w:cs="Times New Roman" w:eastAsia="Times New Roman" w:hAnsi="Times New Roman"/>
            <w:sz w:val="18"/>
            <w:szCs w:val="18"/>
            <w:u w:val="single" w:color="auto"/>
            <w:color w:val="0000EE"/>
          </w:rPr>
          <w:t>Warrant Indenture dated May 14, 2020 between Columbia Care Inc. and Odyssey Trust Company (incorporated by reference to Exhibit 4.6</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of the Registrant’s Registration Statement on Form 10, filed with the SEC on December 14, 2021)</w:t>
        </w:r>
      </w:hyperlink>
    </w:p>
    <w:p>
      <w:pPr>
        <w:ind w:left="360"/>
        <w:spacing w:after="0"/>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67">
        <w:r>
          <w:rPr>
            <w:rFonts w:ascii="Times New Roman" w:cs="Times New Roman" w:eastAsia="Times New Roman" w:hAnsi="Times New Roman"/>
            <w:sz w:val="18"/>
            <w:szCs w:val="18"/>
            <w:u w:val="single" w:color="auto"/>
            <w:color w:val="0000EE"/>
          </w:rPr>
          <w:t>First Supplemental Indentures dated as of June 19, 2020 between Columbia Care Inc and Odyssey Trust Company (incorporated by</w:t>
        </w:r>
      </w:hyperlink>
    </w:p>
    <w:p>
      <w:pPr>
        <w:spacing w:after="0" w:line="23" w:lineRule="exact"/>
        <w:rPr>
          <w:sz w:val="20"/>
          <w:szCs w:val="20"/>
          <w:color w:val="auto"/>
        </w:rPr>
      </w:pPr>
    </w:p>
    <w:p>
      <w:pPr>
        <w:ind w:left="1120"/>
        <w:spacing w:after="0"/>
        <w:rPr>
          <w:rFonts w:ascii="Times New Roman" w:cs="Times New Roman" w:eastAsia="Times New Roman" w:hAnsi="Times New Roman"/>
          <w:sz w:val="18"/>
          <w:szCs w:val="18"/>
          <w:u w:val="single" w:color="auto"/>
          <w:color w:val="0000EE"/>
        </w:rPr>
      </w:pPr>
      <w:hyperlink r:id="rId67">
        <w:r>
          <w:rPr>
            <w:rFonts w:ascii="Times New Roman" w:cs="Times New Roman" w:eastAsia="Times New Roman" w:hAnsi="Times New Roman"/>
            <w:sz w:val="18"/>
            <w:szCs w:val="18"/>
            <w:u w:val="single" w:color="auto"/>
            <w:color w:val="0000EE"/>
          </w:rPr>
          <w:t>reference to Exhibit 4.7 of the Registrant’s Registration Statement on Form 10, filed with the SEC on December 14, 2021)</w:t>
        </w:r>
      </w:hyperlink>
    </w:p>
    <w:p>
      <w:pPr>
        <w:spacing w:after="0" w:line="9" w:lineRule="exact"/>
        <w:rPr>
          <w:sz w:val="20"/>
          <w:szCs w:val="20"/>
          <w:color w:val="auto"/>
        </w:rPr>
      </w:pPr>
    </w:p>
    <w:p>
      <w:pPr>
        <w:ind w:left="1120" w:right="120" w:hanging="746"/>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68">
        <w:r>
          <w:rPr>
            <w:rFonts w:ascii="Times New Roman" w:cs="Times New Roman" w:eastAsia="Times New Roman" w:hAnsi="Times New Roman"/>
            <w:sz w:val="18"/>
            <w:szCs w:val="18"/>
            <w:u w:val="single" w:color="auto"/>
            <w:color w:val="0000EE"/>
          </w:rPr>
          <w:t>Warrant Indenture dated July 2, 2020 between Columbia Care Inc. and Odyssey Trust Company (incorporated by reference to Exhibit 4.8</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of the Registrant’s Registration Statement on Form 10, filed with the SEC on December 14, 2021)</w:t>
        </w:r>
      </w:hyperlink>
    </w:p>
    <w:p>
      <w:pPr>
        <w:ind w:left="1120" w:right="600" w:hanging="746"/>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69">
        <w:r>
          <w:rPr>
            <w:rFonts w:ascii="Times New Roman" w:cs="Times New Roman" w:eastAsia="Times New Roman" w:hAnsi="Times New Roman"/>
            <w:sz w:val="18"/>
            <w:szCs w:val="18"/>
            <w:u w:val="single" w:color="auto"/>
            <w:color w:val="0000EE"/>
          </w:rPr>
          <w:t>Warrant Indenture dated October 29, 2020 between Columbia Care Inc. and Odyssey Trust Company (incorporated by reference to</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Exhibit 4.9 of the Registrant’s Registration Statement on Form 10, filed with the SEC on December 14, 2021)</w:t>
        </w:r>
      </w:hyperlink>
    </w:p>
    <w:p>
      <w:pPr>
        <w:ind w:left="1120" w:right="40" w:hanging="791"/>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70">
        <w:r>
          <w:rPr>
            <w:rFonts w:ascii="Times New Roman" w:cs="Times New Roman" w:eastAsia="Times New Roman" w:hAnsi="Times New Roman"/>
            <w:sz w:val="18"/>
            <w:szCs w:val="18"/>
            <w:u w:val="single" w:color="auto"/>
            <w:color w:val="0000EE"/>
          </w:rPr>
          <w:t>Second Supplemental Indenture dated June 29, 2021 between Columbia Care Inc. and Odyssey Trust Company (incorporated by reference</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to Exhibit 4.10 of the Registrant’s amended Registration Statement on Form 10, filed with the SEC on January 28, 2022)</w:t>
        </w:r>
      </w:hyperlink>
    </w:p>
    <w:p>
      <w:pPr>
        <w:ind w:left="1120" w:right="580" w:hanging="788"/>
        <w:spacing w:after="0" w:line="273"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71">
        <w:r>
          <w:rPr>
            <w:rFonts w:ascii="Times New Roman" w:cs="Times New Roman" w:eastAsia="Times New Roman" w:hAnsi="Times New Roman"/>
            <w:sz w:val="17"/>
            <w:szCs w:val="17"/>
            <w:u w:val="single" w:color="auto"/>
            <w:color w:val="0000EE"/>
          </w:rPr>
          <w:t>Third Supplemental Indenture dated February 2, 2022 between Columbia Care Inc. and Odyssey Trust Company (incorporated by</w:t>
        </w:r>
      </w:hyperlink>
      <w:r>
        <w:rPr>
          <w:rFonts w:ascii="Times New Roman" w:cs="Times New Roman" w:eastAsia="Times New Roman" w:hAnsi="Times New Roman"/>
          <w:sz w:val="17"/>
          <w:szCs w:val="17"/>
          <w:u w:val="single" w:color="auto"/>
          <w:color w:val="0000EE"/>
        </w:rPr>
        <w:t xml:space="preserve"> </w:t>
      </w:r>
      <w:hyperlink r:id="rId71">
        <w:r>
          <w:rPr>
            <w:rFonts w:ascii="Times New Roman" w:cs="Times New Roman" w:eastAsia="Times New Roman" w:hAnsi="Times New Roman"/>
            <w:sz w:val="17"/>
            <w:szCs w:val="17"/>
            <w:u w:val="single" w:color="auto"/>
            <w:color w:val="0000EE"/>
          </w:rPr>
          <w:t>reference to Exhibit 4.11 of the Registrant’s amended Registration Statement on Form 10, filed with the SEC on February 15, 2022)</w:t>
        </w:r>
      </w:hyperlink>
    </w:p>
    <w:p>
      <w:pPr>
        <w:spacing w:after="0" w:line="1" w:lineRule="exact"/>
        <w:rPr>
          <w:sz w:val="20"/>
          <w:szCs w:val="20"/>
          <w:color w:val="auto"/>
        </w:rPr>
      </w:pPr>
    </w:p>
    <w:p>
      <w:pPr>
        <w:jc w:val="right"/>
        <w:ind w:left="320" w:right="560"/>
        <w:spacing w:after="0" w:line="258"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4.12     </w:t>
      </w:r>
      <w:hyperlink r:id="rId72">
        <w:r>
          <w:rPr>
            <w:rFonts w:ascii="Times New Roman" w:cs="Times New Roman" w:eastAsia="Times New Roman" w:hAnsi="Times New Roman"/>
            <w:sz w:val="18"/>
            <w:szCs w:val="18"/>
            <w:u w:val="single" w:color="auto"/>
            <w:color w:val="0000EE"/>
          </w:rPr>
          <w:t>Fourth Supplemental Indenture dated February 3, 2022 between Columbia Care Inc. and Odyssey Trust Company (incorporated by</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reference to Exhibit 4.12 of the Registrant’s amended Registration Statement on Form 10, filed with the SEC on February 15, 2022)</w:t>
        </w:r>
      </w:hyperlink>
    </w:p>
    <w:p>
      <w:pPr>
        <w:ind w:left="32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73">
        <w:r>
          <w:rPr>
            <w:rFonts w:ascii="Times New Roman" w:cs="Times New Roman" w:eastAsia="Times New Roman" w:hAnsi="Times New Roman"/>
            <w:sz w:val="17"/>
            <w:szCs w:val="17"/>
            <w:u w:val="single" w:color="auto"/>
            <w:color w:val="0000EE"/>
          </w:rPr>
          <w:t>Form of Voting Support Agreement (incorporated by reference to Exhibit 10.1 of the Registrant’s Form 8-K, filed with the SEC on March</w:t>
        </w:r>
      </w:hyperlink>
    </w:p>
    <w:p>
      <w:pPr>
        <w:spacing w:after="0" w:line="23" w:lineRule="exact"/>
        <w:rPr>
          <w:sz w:val="20"/>
          <w:szCs w:val="20"/>
          <w:color w:val="auto"/>
        </w:rPr>
      </w:pPr>
    </w:p>
    <w:p>
      <w:pPr>
        <w:ind w:left="1120"/>
        <w:spacing w:after="0"/>
        <w:rPr>
          <w:rFonts w:ascii="Times New Roman" w:cs="Times New Roman" w:eastAsia="Times New Roman" w:hAnsi="Times New Roman"/>
          <w:sz w:val="18"/>
          <w:szCs w:val="18"/>
          <w:u w:val="single" w:color="auto"/>
          <w:color w:val="0000EE"/>
        </w:rPr>
      </w:pPr>
      <w:hyperlink r:id="rId73">
        <w:r>
          <w:rPr>
            <w:rFonts w:ascii="Times New Roman" w:cs="Times New Roman" w:eastAsia="Times New Roman" w:hAnsi="Times New Roman"/>
            <w:sz w:val="18"/>
            <w:szCs w:val="18"/>
            <w:u w:val="single" w:color="auto"/>
            <w:color w:val="0000EE"/>
          </w:rPr>
          <w:t>29, 2022)</w:t>
        </w:r>
      </w:hyperlink>
    </w:p>
    <w:p>
      <w:pPr>
        <w:spacing w:after="0" w:line="9" w:lineRule="exact"/>
        <w:rPr>
          <w:sz w:val="20"/>
          <w:szCs w:val="20"/>
          <w:color w:val="auto"/>
        </w:rPr>
      </w:pPr>
    </w:p>
    <w:p>
      <w:pPr>
        <w:ind w:left="320"/>
        <w:spacing w:after="0"/>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74">
        <w:r>
          <w:rPr>
            <w:rFonts w:ascii="Times New Roman" w:cs="Times New Roman" w:eastAsia="Times New Roman" w:hAnsi="Times New Roman"/>
            <w:sz w:val="18"/>
            <w:szCs w:val="18"/>
            <w:u w:val="single" w:color="auto"/>
            <w:color w:val="0000EE"/>
          </w:rPr>
          <w:t>Form of Lock-Up Agreement (incorporated by reference to Exhibit 10.2 of the Registrant’s Form 8-K, filed with the SEC on March 29,</w:t>
        </w:r>
      </w:hyperlink>
    </w:p>
    <w:p>
      <w:pPr>
        <w:spacing w:after="0" w:line="23" w:lineRule="exact"/>
        <w:rPr>
          <w:sz w:val="20"/>
          <w:szCs w:val="20"/>
          <w:color w:val="auto"/>
        </w:rPr>
      </w:pPr>
    </w:p>
    <w:p>
      <w:pPr>
        <w:ind w:left="1120"/>
        <w:spacing w:after="0"/>
        <w:rPr>
          <w:rFonts w:ascii="Times New Roman" w:cs="Times New Roman" w:eastAsia="Times New Roman" w:hAnsi="Times New Roman"/>
          <w:sz w:val="18"/>
          <w:szCs w:val="18"/>
          <w:u w:val="single" w:color="auto"/>
          <w:color w:val="0000EE"/>
        </w:rPr>
      </w:pPr>
      <w:hyperlink r:id="rId74">
        <w:r>
          <w:rPr>
            <w:rFonts w:ascii="Times New Roman" w:cs="Times New Roman" w:eastAsia="Times New Roman" w:hAnsi="Times New Roman"/>
            <w:sz w:val="18"/>
            <w:szCs w:val="18"/>
            <w:u w:val="single" w:color="auto"/>
            <w:color w:val="0000EE"/>
          </w:rPr>
          <w:t>2022)</w:t>
        </w:r>
      </w:hyperlink>
    </w:p>
    <w:p>
      <w:pPr>
        <w:spacing w:after="0" w:line="9" w:lineRule="exact"/>
        <w:rPr>
          <w:sz w:val="20"/>
          <w:szCs w:val="20"/>
          <w:color w:val="auto"/>
        </w:rPr>
      </w:pPr>
    </w:p>
    <w:p>
      <w:pPr>
        <w:ind w:left="1120" w:right="460" w:hanging="836"/>
        <w:spacing w:after="0" w:line="258" w:lineRule="auto"/>
        <w:tabs>
          <w:tab w:leader="none" w:pos="11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 Pursuant to Rules 13a-14(a) and 15d-14(a) under the Securities Exchange Act of 1934, as Adopted Pursuant to Section 302 of the Sarbanes-Oxley Act of 2002.</w:t>
      </w:r>
    </w:p>
    <w:p>
      <w:pPr>
        <w:ind w:left="1120" w:right="500" w:hanging="836"/>
        <w:spacing w:after="0" w:line="258" w:lineRule="auto"/>
        <w:tabs>
          <w:tab w:leader="none" w:pos="11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 Pursuant to Rules 13a-14(a) and 15d-14(a) under the Securities Exchange Act of 1934, as Adopted Pursuant to Section 302 of the Sarbanes-Oxley Act of 2002.</w:t>
      </w:r>
    </w:p>
    <w:p>
      <w:pPr>
        <w:ind w:left="1120" w:right="20" w:hanging="836"/>
        <w:spacing w:after="0" w:line="276" w:lineRule="auto"/>
        <w:tabs>
          <w:tab w:leader="none" w:pos="11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 Pursuant to 18 U.S.C. Section 1350, as Adopted Pursuant to Section 906 of the Sarbanes-Oxley Act of 2002.</w:t>
      </w:r>
    </w:p>
    <w:p>
      <w:pPr>
        <w:spacing w:after="0" w:line="1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31" w:name="page32"/>
    <w:bookmarkEnd w:id="31"/>
    <w:tbl>
      <w:tblPr>
        <w:tblLayout w:type="fixed"/>
        <w:tblInd w:w="92" w:type="dxa"/>
        <w:tblCellMar>
          <w:top w:w="0" w:type="dxa"/>
          <w:left w:w="0" w:type="dxa"/>
          <w:bottom w:w="0" w:type="dxa"/>
          <w:right w:w="0" w:type="dxa"/>
        </w:tblCellMar>
      </w:tblPr>
      <w:tr>
        <w:trPr>
          <w:trHeight w:val="207"/>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32.2‡</w:t>
            </w:r>
          </w:p>
        </w:tc>
        <w:tc>
          <w:tcPr>
            <w:tcW w:w="100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w:t>
            </w:r>
          </w:p>
        </w:tc>
      </w:tr>
      <w:tr>
        <w:trPr>
          <w:trHeight w:val="196"/>
        </w:trPr>
        <w:tc>
          <w:tcPr>
            <w:tcW w:w="102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100" w:type="dxa"/>
            <w:vAlign w:val="bottom"/>
          </w:tcPr>
          <w:p>
            <w:pPr>
              <w:spacing w:after="0"/>
              <w:rPr>
                <w:sz w:val="17"/>
                <w:szCs w:val="17"/>
                <w:color w:val="auto"/>
              </w:rPr>
            </w:pPr>
          </w:p>
        </w:tc>
      </w:tr>
      <w:tr>
        <w:trPr>
          <w:trHeight w:val="23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101.INS*</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0"/>
        </w:trPr>
        <w:tc>
          <w:tcPr>
            <w:tcW w:w="10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101.CAL*</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9"/>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101.LAB*</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9"/>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101.PRE*</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000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13" w:lineRule="exact"/>
        <w:rPr>
          <w:sz w:val="20"/>
          <w:szCs w:val="20"/>
          <w:color w:val="auto"/>
        </w:rPr>
      </w:pPr>
    </w:p>
    <w:p>
      <w:pPr>
        <w:ind w:left="532" w:hanging="532"/>
        <w:spacing w:after="0"/>
        <w:tabs>
          <w:tab w:leader="none" w:pos="5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jc w:val="both"/>
        <w:ind w:left="532" w:hanging="532"/>
        <w:spacing w:after="0" w:line="266" w:lineRule="auto"/>
        <w:tabs>
          <w:tab w:leader="none" w:pos="5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392"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338" w:right="4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400"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COLUMBIA CARE INC</w:t>
            </w:r>
          </w:p>
        </w:tc>
      </w:tr>
      <w:tr>
        <w:trPr>
          <w:trHeight w:val="45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22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/s/ Nicholas Vita</w:t>
            </w:r>
          </w:p>
        </w:tc>
      </w:tr>
      <w:tr>
        <w:trPr>
          <w:trHeight w:val="214"/>
        </w:trPr>
        <w:tc>
          <w:tcPr>
            <w:tcW w:w="3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Nicholas Vita</w:t>
            </w:r>
          </w:p>
        </w:tc>
      </w:tr>
      <w:tr>
        <w:trPr>
          <w:trHeight w:val="238"/>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45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22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/s/ Derek Watson</w:t>
            </w:r>
          </w:p>
        </w:tc>
      </w:tr>
      <w:tr>
        <w:trPr>
          <w:trHeight w:val="214"/>
        </w:trPr>
        <w:tc>
          <w:tcPr>
            <w:tcW w:w="3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Derek Watson</w:t>
            </w:r>
          </w:p>
        </w:tc>
      </w:tr>
      <w:tr>
        <w:trPr>
          <w:trHeight w:val="238"/>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648"/>
        </w:trPr>
        <w:tc>
          <w:tcPr>
            <w:tcW w:w="35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46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Nicholas Vita</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580" w:hanging="572"/>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Columbia Care Inc.;</w:t>
      </w:r>
    </w:p>
    <w:p>
      <w:pPr>
        <w:spacing w:after="0" w:line="117"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00" w:val="left"/>
          <w:tab w:leader="none" w:pos="796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6"/>
          <w:szCs w:val="16"/>
          <w:b w:val="1"/>
          <w:bCs w:val="1"/>
          <w:color w:val="auto"/>
        </w:rPr>
        <w:t>Nicholas Vita</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34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Derek Watson</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580" w:hanging="572"/>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Columbia Care Inc.;</w:t>
      </w:r>
    </w:p>
    <w:p>
      <w:pPr>
        <w:spacing w:after="0" w:line="117"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00" w:val="left"/>
          <w:tab w:leader="none" w:pos="794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2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Columbia Care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160" w:hanging="572"/>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60" w:right="480" w:hanging="572"/>
        <w:spacing w:after="0" w:line="282" w:lineRule="auto"/>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b w:val="1"/>
          <w:bCs w:val="1"/>
          <w:color w:val="auto"/>
        </w:rPr>
        <w:t>Nicholas Vita</w:t>
      </w:r>
    </w:p>
    <w:p>
      <w:pPr>
        <w:spacing w:after="0" w:line="2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34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Columbia Care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160" w:hanging="572"/>
        <w:spacing w:after="0"/>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60" w:right="480" w:hanging="572"/>
        <w:spacing w:after="0" w:line="282" w:lineRule="auto"/>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2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decimal"/>
      <w:start w:val="4"/>
    </w:lvl>
  </w:abstractNum>
  <w:abstractNum w:abstractNumId="7">
    <w:nsid w:val="431BD7B7"/>
    <w:multiLevelType w:val="hybridMultilevel"/>
    <w:lvl w:ilvl="0">
      <w:lvlJc w:val="left"/>
      <w:lvlText w:val="%1."/>
      <w:numFmt w:val="decimal"/>
      <w:start w:val="5"/>
    </w:lvl>
  </w:abstractNum>
  <w:abstractNum w:abstractNumId="8">
    <w:nsid w:val="3F2DBA31"/>
    <w:multiLevelType w:val="hybridMultilevel"/>
    <w:lvl w:ilvl="0">
      <w:lvlJc w:val="left"/>
      <w:lvlText w:val="%1."/>
      <w:numFmt w:val="decimal"/>
      <w:start w:val="6"/>
    </w:lvl>
  </w:abstractNum>
  <w:abstractNum w:abstractNumId="9">
    <w:nsid w:val="7C83E458"/>
    <w:multiLevelType w:val="hybridMultilevel"/>
    <w:lvl w:ilvl="0">
      <w:lvlJc w:val="left"/>
      <w:lvlText w:val="%1."/>
      <w:numFmt w:val="decimal"/>
      <w:start w:val="7"/>
    </w:lvl>
  </w:abstractNum>
  <w:abstractNum w:abstractNumId="10">
    <w:nsid w:val="257130A3"/>
    <w:multiLevelType w:val="hybridMultilevel"/>
    <w:lvl w:ilvl="0">
      <w:lvlJc w:val="left"/>
      <w:lvlText w:val="%1."/>
      <w:numFmt w:val="decimal"/>
      <w:start w:val="8"/>
    </w:lvl>
  </w:abstractNum>
  <w:abstractNum w:abstractNumId="11">
    <w:nsid w:val="62BBD95A"/>
    <w:multiLevelType w:val="hybridMultilevel"/>
    <w:lvl w:ilvl="0">
      <w:lvlJc w:val="left"/>
      <w:lvlText w:val="%1."/>
      <w:numFmt w:val="decimal"/>
      <w:start w:val="9"/>
    </w:lvl>
  </w:abstractNum>
  <w:abstractNum w:abstractNumId="12">
    <w:nsid w:val="436C6125"/>
    <w:multiLevelType w:val="hybridMultilevel"/>
    <w:lvl w:ilvl="0">
      <w:lvlJc w:val="left"/>
      <w:lvlText w:val="%1."/>
      <w:numFmt w:val="decimal"/>
      <w:start w:val="10"/>
    </w:lvl>
    <w:lvl w:ilvl="1">
      <w:lvlJc w:val="left"/>
      <w:lvlText w:val="•"/>
      <w:numFmt w:val="bullet"/>
      <w:start w:val="1"/>
    </w:lvl>
  </w:abstractNum>
  <w:abstractNum w:abstractNumId="13">
    <w:nsid w:val="628C895D"/>
    <w:multiLevelType w:val="hybridMultilevel"/>
    <w:lvl w:ilvl="0">
      <w:lvlJc w:val="left"/>
      <w:lvlText w:val="%1."/>
      <w:numFmt w:val="decimal"/>
      <w:start w:val="11"/>
    </w:lvl>
  </w:abstractNum>
  <w:abstractNum w:abstractNumId="14">
    <w:nsid w:val="333AB105"/>
    <w:multiLevelType w:val="hybridMultilevel"/>
    <w:lvl w:ilvl="0">
      <w:lvlJc w:val="left"/>
      <w:lvlText w:val="%1."/>
      <w:numFmt w:val="decimal"/>
      <w:start w:val="12"/>
    </w:lvl>
  </w:abstractNum>
  <w:abstractNum w:abstractNumId="15">
    <w:nsid w:val="721DA317"/>
    <w:multiLevelType w:val="hybridMultilevel"/>
    <w:lvl w:ilvl="0">
      <w:lvlJc w:val="left"/>
      <w:lvlText w:val="%1."/>
      <w:numFmt w:val="decimal"/>
      <w:start w:val="13"/>
    </w:lvl>
  </w:abstractNum>
  <w:abstractNum w:abstractNumId="16">
    <w:nsid w:val="2443A858"/>
    <w:multiLevelType w:val="hybridMultilevel"/>
    <w:lvl w:ilvl="0">
      <w:lvlJc w:val="left"/>
      <w:lvlText w:val="%1."/>
      <w:numFmt w:val="decimal"/>
      <w:start w:val="15"/>
    </w:lvl>
  </w:abstractNum>
  <w:abstractNum w:abstractNumId="17">
    <w:nsid w:val="2D1D5AE9"/>
    <w:multiLevelType w:val="hybridMultilevel"/>
    <w:lvl w:ilvl="0">
      <w:lvlJc w:val="left"/>
      <w:lvlText w:val="%1."/>
      <w:numFmt w:val="decimal"/>
      <w:start w:val="16"/>
    </w:lvl>
  </w:abstractNum>
  <w:abstractNum w:abstractNumId="18">
    <w:nsid w:val="6763845E"/>
    <w:multiLevelType w:val="hybridMultilevel"/>
    <w:lvl w:ilvl="0">
      <w:lvlJc w:val="left"/>
      <w:lvlText w:val="%1."/>
      <w:numFmt w:val="decimal"/>
      <w:start w:val="17"/>
    </w:lvl>
  </w:abstractNum>
  <w:abstractNum w:abstractNumId="19">
    <w:nsid w:val="75A2A8D4"/>
    <w:multiLevelType w:val="hybridMultilevel"/>
    <w:lvl w:ilvl="0">
      <w:lvlJc w:val="left"/>
      <w:lvlText w:val="%1."/>
      <w:numFmt w:val="decimal"/>
      <w:start w:val="18"/>
    </w:lvl>
    <w:lvl w:ilvl="1">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59" Type="http://schemas.openxmlformats.org/officeDocument/2006/relationships/hyperlink" Target="http://www.sec.gov/Archives/edgar/data/1776738/000119312522088069/d292116dex21.htm" TargetMode="External"/><Relationship Id="rId60" Type="http://schemas.openxmlformats.org/officeDocument/2006/relationships/hyperlink" Target="http://www.sec.gov/Archives/edgar/data/1776738/000119312521356939/d252333dex31.htm" TargetMode="External"/><Relationship Id="rId61" Type="http://schemas.openxmlformats.org/officeDocument/2006/relationships/hyperlink" Target="http://www.sec.gov/Archives/edgar/data/1776738/000119312521356939/d252333dex41.htm" TargetMode="External"/><Relationship Id="rId62" Type="http://schemas.openxmlformats.org/officeDocument/2006/relationships/hyperlink" Target="http://www.sec.gov/Archives/edgar/data/1776738/000119312521356939/d252333dex42.htm" TargetMode="External"/><Relationship Id="rId63" Type="http://schemas.openxmlformats.org/officeDocument/2006/relationships/hyperlink" Target="http://www.sec.gov/Archives/edgar/data/1776738/000119312521356939/d252333dex43.htm" TargetMode="External"/><Relationship Id="rId64" Type="http://schemas.openxmlformats.org/officeDocument/2006/relationships/hyperlink" Target="http://www.sec.gov/Archives/edgar/data/1776738/000119312521356939/d252333dex44.htm" TargetMode="External"/><Relationship Id="rId65" Type="http://schemas.openxmlformats.org/officeDocument/2006/relationships/hyperlink" Target="http://www.sec.gov/Archives/edgar/data/1776738/000119312521356939/d252333dex45.htm" TargetMode="External"/><Relationship Id="rId66" Type="http://schemas.openxmlformats.org/officeDocument/2006/relationships/hyperlink" Target="http://www.sec.gov/Archives/edgar/data/1776738/000119312521356939/d252333dex46.htm" TargetMode="External"/><Relationship Id="rId67" Type="http://schemas.openxmlformats.org/officeDocument/2006/relationships/hyperlink" Target="http://www.sec.gov/Archives/edgar/data/1776738/000119312521356939/d252333dex47.htm" TargetMode="External"/><Relationship Id="rId68" Type="http://schemas.openxmlformats.org/officeDocument/2006/relationships/hyperlink" Target="http://www.sec.gov/Archives/edgar/data/1776738/000119312521356939/d252333dex48.htm" TargetMode="External"/><Relationship Id="rId69" Type="http://schemas.openxmlformats.org/officeDocument/2006/relationships/hyperlink" Target="http://www.sec.gov/Archives/edgar/data/1776738/000119312521356939/d252333dex49.htm" TargetMode="External"/><Relationship Id="rId70" Type="http://schemas.openxmlformats.org/officeDocument/2006/relationships/hyperlink" Target="http://www.sec.gov/Archives/edgar/data/1776738/000119312522021793/d252333dex410.htm" TargetMode="External"/><Relationship Id="rId71" Type="http://schemas.openxmlformats.org/officeDocument/2006/relationships/hyperlink" Target="http://www.sec.gov/Archives/edgar/data/1776738/000119312522043452/d252333dex411.htm" TargetMode="External"/><Relationship Id="rId72" Type="http://schemas.openxmlformats.org/officeDocument/2006/relationships/hyperlink" Target="http://www.sec.gov/Archives/edgar/data/1776738/000119312522043452/d252333dex412.htm" TargetMode="External"/><Relationship Id="rId73" Type="http://schemas.openxmlformats.org/officeDocument/2006/relationships/hyperlink" Target="http://www.sec.gov/Archives/edgar/data/1776738/000119312522088069/d292116dex101.htm" TargetMode="External"/><Relationship Id="rId74" Type="http://schemas.openxmlformats.org/officeDocument/2006/relationships/hyperlink" Target="http://www.sec.gov/Archives/edgar/data/1776738/000119312522088069/d29211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2022-08-15T13:53:15Z</dcterms:created>
  <dcterms:modified xsi:type="dcterms:W3CDTF">2022-08-15T13:53:15Z</dcterms:modified>
</cp:coreProperties>
</file>