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20" w:right="1620" w:hanging="3799"/>
        <w:spacing w:after="0" w:line="378"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160" w:right="1600" w:hanging="4139"/>
        <w:spacing w:after="0" w:line="383" w:lineRule="auto"/>
        <w:tabs>
          <w:tab w:leader="none" w:pos="47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__to 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320040</wp:posOffset>
            </wp:positionV>
            <wp:extent cx="1997075"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1520" w:type="dxa"/>
            <w:vAlign w:val="bottom"/>
          </w:tcPr>
          <w:p>
            <w:pPr>
              <w:spacing w:after="0"/>
              <w:rPr>
                <w:sz w:val="20"/>
                <w:szCs w:val="20"/>
                <w:color w:val="auto"/>
              </w:rPr>
            </w:pPr>
          </w:p>
        </w:tc>
        <w:tc>
          <w:tcPr>
            <w:tcW w:w="4500" w:type="dxa"/>
            <w:vAlign w:val="bottom"/>
            <w:gridSpan w:val="3"/>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98-1488978</w:t>
            </w:r>
          </w:p>
        </w:tc>
      </w:tr>
      <w:tr>
        <w:trPr>
          <w:trHeight w:val="221"/>
        </w:trPr>
        <w:tc>
          <w:tcPr>
            <w:tcW w:w="5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52"/>
        </w:trPr>
        <w:tc>
          <w:tcPr>
            <w:tcW w:w="52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64"/>
        </w:trPr>
        <w:tc>
          <w:tcPr>
            <w:tcW w:w="5220" w:type="dxa"/>
            <w:vAlign w:val="bottom"/>
            <w:gridSpan w:val="4"/>
          </w:tcPr>
          <w:p>
            <w:pPr>
              <w:ind w:left="1880"/>
              <w:spacing w:after="0"/>
              <w:rPr>
                <w:sz w:val="20"/>
                <w:szCs w:val="20"/>
                <w:color w:val="auto"/>
              </w:rPr>
            </w:pPr>
            <w:r>
              <w:rPr>
                <w:rFonts w:ascii="Times New Roman" w:cs="Times New Roman" w:eastAsia="Times New Roman" w:hAnsi="Times New Roman"/>
                <w:sz w:val="18"/>
                <w:szCs w:val="18"/>
                <w:b w:val="1"/>
                <w:bCs w:val="1"/>
                <w:color w:val="auto"/>
              </w:rPr>
              <w:t>680 Fifth Ave., 24th Floor</w:t>
            </w:r>
          </w:p>
        </w:tc>
        <w:tc>
          <w:tcPr>
            <w:tcW w:w="1520" w:type="dxa"/>
            <w:vAlign w:val="bottom"/>
          </w:tcPr>
          <w:p>
            <w:pPr>
              <w:spacing w:after="0"/>
              <w:rPr>
                <w:sz w:val="24"/>
                <w:szCs w:val="24"/>
                <w:color w:val="auto"/>
              </w:rPr>
            </w:pPr>
          </w:p>
        </w:tc>
        <w:tc>
          <w:tcPr>
            <w:tcW w:w="450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8"/>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7"/>
        </w:trPr>
        <w:tc>
          <w:tcPr>
            <w:tcW w:w="5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97"/>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634-7100</w:t>
            </w:r>
          </w:p>
        </w:tc>
      </w:tr>
      <w:tr>
        <w:trPr>
          <w:trHeight w:val="135"/>
        </w:trPr>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spacing w:after="0"/>
              <w:rPr>
                <w:sz w:val="11"/>
                <w:szCs w:val="11"/>
                <w:color w:val="auto"/>
              </w:rPr>
            </w:pPr>
          </w:p>
        </w:tc>
      </w:tr>
      <w:tr>
        <w:trPr>
          <w:trHeight w:val="318"/>
        </w:trPr>
        <w:tc>
          <w:tcPr>
            <w:tcW w:w="52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23"/>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45"/>
        </w:trPr>
        <w:tc>
          <w:tcPr>
            <w:tcW w:w="4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gridSpan w:val="2"/>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bl>
    <w:p>
      <w:pPr>
        <w:spacing w:after="0" w:line="144" w:lineRule="exact"/>
        <w:rPr>
          <w:sz w:val="24"/>
          <w:szCs w:val="24"/>
          <w:color w:val="auto"/>
        </w:rPr>
      </w:pPr>
    </w:p>
    <w:p>
      <w:pPr>
        <w:jc w:val="both"/>
        <w:ind w:right="60" w:firstLine="5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60" w:firstLine="5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60" w:firstLine="599"/>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35" w:lineRule="exact"/>
        <w:rPr>
          <w:sz w:val="24"/>
          <w:szCs w:val="24"/>
          <w:color w:val="auto"/>
        </w:rPr>
      </w:pPr>
    </w:p>
    <w:p>
      <w:pPr>
        <w:jc w:val="both"/>
        <w:ind w:right="220" w:firstLine="59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1" w:lineRule="exact"/>
        <w:rPr>
          <w:sz w:val="24"/>
          <w:szCs w:val="24"/>
          <w:color w:val="auto"/>
        </w:rPr>
      </w:pPr>
    </w:p>
    <w:p>
      <w:pPr>
        <w:ind w:right="140" w:firstLine="59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May 7, 2024, there were 448,544,488 shares of common stock, no par value per share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104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1"/>
                <w:szCs w:val="21"/>
                <w:color w:val="auto"/>
              </w:rPr>
            </w:pPr>
          </w:p>
        </w:tc>
      </w:tr>
      <w:tr>
        <w:trPr>
          <w:trHeight w:val="24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20" w:type="dxa"/>
            <w:vAlign w:val="bottom"/>
            <w:tcBorders>
              <w:bottom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w w:val="99"/>
              </w:rPr>
              <w:t>Condensed Consolidated Interim Balance Sheets</w:t>
            </w:r>
          </w:p>
        </w:tc>
        <w:tc>
          <w:tcPr>
            <w:tcW w:w="20" w:type="dxa"/>
            <w:vAlign w:val="bottom"/>
            <w:tcBorders>
              <w:bottom w:val="single" w:sz="8" w:color="0000EE"/>
            </w:tcBorders>
          </w:tcPr>
          <w:p>
            <w:pPr>
              <w:spacing w:after="0"/>
              <w:rPr>
                <w:sz w:val="17"/>
                <w:szCs w:val="17"/>
                <w:color w:val="auto"/>
              </w:rPr>
            </w:pPr>
          </w:p>
        </w:tc>
        <w:tc>
          <w:tcPr>
            <w:tcW w:w="5760" w:type="dxa"/>
            <w:vAlign w:val="bottom"/>
            <w:gridSpan w:val="9"/>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Changes in Equity</w:t>
            </w:r>
          </w:p>
        </w:tc>
        <w:tc>
          <w:tcPr>
            <w:tcW w:w="32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460" w:type="dxa"/>
            <w:vAlign w:val="bottom"/>
            <w:tcBorders>
              <w:top w:val="single" w:sz="8" w:color="0000FF"/>
            </w:tcBorders>
            <w:gridSpan w:val="4"/>
          </w:tcPr>
          <w:p>
            <w:pPr>
              <w:spacing w:after="0"/>
              <w:rPr>
                <w:sz w:val="18"/>
                <w:szCs w:val="18"/>
                <w:color w:val="auto"/>
              </w:rPr>
            </w:pPr>
          </w:p>
        </w:tc>
        <w:tc>
          <w:tcPr>
            <w:tcW w:w="45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Interim Financial Statements</w:t>
            </w:r>
          </w:p>
        </w:tc>
        <w:tc>
          <w:tcPr>
            <w:tcW w:w="47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0" w:type="dxa"/>
            <w:vAlign w:val="bottom"/>
            <w:tcBorders>
              <w:bottom w:val="single" w:sz="8" w:color="0000EE"/>
            </w:tcBorders>
          </w:tcPr>
          <w:p>
            <w:pPr>
              <w:spacing w:after="0"/>
              <w:rPr>
                <w:sz w:val="18"/>
                <w:szCs w:val="18"/>
                <w:color w:val="auto"/>
              </w:rPr>
            </w:pPr>
          </w:p>
        </w:tc>
        <w:tc>
          <w:tcPr>
            <w:tcW w:w="74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regarding The Cannabist Company Holdings Inc. and its subsidiaries (collectively referred to as “The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76"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termination of the Cresco Labs Inc. transaction on the Company’s current and future operations, financial condition and prospects;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Company's corporate restructuring plan;</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marijuana remains illegal under federal law;</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anti-money laundering laws and regulations to the Company;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regulatory, or political change to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public and private capital;</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or consumer perception of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to the adult-use markets;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laws, regulations, and guidelines;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Section 280E of the Internal Revenue Code;</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state laws pertaining to the cannabis industry;</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reliance on key inputs, suppliers and skilled labor;</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forecasting the Company’s sales;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on marketing products;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cyber-attacks and security breaches;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operating loss and other tax attribute limitations;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tax laws;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the market price of the Common Shares;</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management;</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results and financial projections; and</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global financial conditions.</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2023.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CONSOLIDATED INTERIM BALANCE SHEETS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Cash</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Accounts receivable, net of allowances of $6,993 and, $6,512,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Inventory</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Assets held for sale</w:t>
      </w:r>
    </w:p>
    <w:p>
      <w:pPr>
        <w:spacing w:after="0" w:line="1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Right of use assets - operating leases, net</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Right of use assets - finance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Intangible assets, net</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Notes Receivable</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Equity</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Accounts payable</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Income tax payable</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Current portion of lease liability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Current portion of lease liability - finance leases</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Current portion of 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Liabilities held for sale</w:t>
      </w:r>
    </w:p>
    <w:p>
      <w:pPr>
        <w:spacing w:after="0" w:line="1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Long-term lease liability - operating leases</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Long-term lease liability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Derivative liability</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Stockholders' Equity:</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Common Stock, no par value, unlimited shares authorized as of March 31, 2024 and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December 31, 2023, respectively, 448,216,620 and 420,265,306 shares issued and outstanding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as of March 31,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60" w:right="2580" w:hanging="87"/>
        <w:spacing w:after="0" w:line="245" w:lineRule="auto"/>
        <w:rPr>
          <w:sz w:val="20"/>
          <w:szCs w:val="20"/>
          <w:color w:val="auto"/>
        </w:rPr>
      </w:pPr>
      <w:r>
        <w:rPr>
          <w:rFonts w:ascii="Times New Roman" w:cs="Times New Roman" w:eastAsia="Times New Roman" w:hAnsi="Times New Roman"/>
          <w:sz w:val="12"/>
          <w:szCs w:val="12"/>
          <w:color w:val="auto"/>
        </w:rPr>
        <w:t>Preferred Stock, no par value, unlimited shares authorized as of March 31, 2024 and December 31, 2023, respectively, none issued and outstanding as of March 31, 2024 and December 31, 2023</w:t>
      </w:r>
    </w:p>
    <w:p>
      <w:pPr>
        <w:spacing w:after="0" w:line="9" w:lineRule="exact"/>
        <w:rPr>
          <w:sz w:val="20"/>
          <w:szCs w:val="20"/>
          <w:color w:val="auto"/>
        </w:rPr>
      </w:pPr>
    </w:p>
    <w:p>
      <w:pPr>
        <w:ind w:left="260" w:right="2320" w:hanging="87"/>
        <w:spacing w:after="0" w:line="245" w:lineRule="auto"/>
        <w:rPr>
          <w:sz w:val="20"/>
          <w:szCs w:val="20"/>
          <w:color w:val="auto"/>
        </w:rPr>
      </w:pPr>
      <w:r>
        <w:rPr>
          <w:rFonts w:ascii="Times New Roman" w:cs="Times New Roman" w:eastAsia="Times New Roman" w:hAnsi="Times New Roman"/>
          <w:sz w:val="12"/>
          <w:szCs w:val="12"/>
          <w:color w:val="auto"/>
        </w:rPr>
        <w:t>Proportionate voting shares, no par value, unlimited shares authorized as of March 31, 2024 and December 31, 2023, respectively; 7,701,826 and 9,807,881 shares issued and outstanding as of March 31,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2"/>
          <w:szCs w:val="12"/>
          <w:color w:val="auto"/>
        </w:rPr>
        <w:t>Additional paid-in-capital</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Accumulated deficit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679"/>
        </w:trPr>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44,473</w:t>
            </w:r>
          </w:p>
        </w:tc>
        <w:tc>
          <w:tcPr>
            <w:tcW w:w="32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35,764</w:t>
            </w:r>
          </w:p>
        </w:tc>
      </w:tr>
      <w:tr>
        <w:trPr>
          <w:trHeight w:val="229"/>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10,217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15,601</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111,498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111,633</w:t>
            </w:r>
          </w:p>
        </w:tc>
      </w:tr>
      <w:tr>
        <w:trPr>
          <w:trHeight w:val="229"/>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23,599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22,777</w:t>
            </w:r>
          </w:p>
        </w:tc>
      </w:tr>
      <w:tr>
        <w:trPr>
          <w:trHeight w:val="233"/>
        </w:trPr>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1,752</w:t>
            </w:r>
          </w:p>
        </w:tc>
      </w:tr>
      <w:tr>
        <w:trPr>
          <w:trHeight w:val="223"/>
        </w:trPr>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189,887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187,527</w:t>
            </w:r>
          </w:p>
        </w:tc>
      </w:tr>
      <w:tr>
        <w:trPr>
          <w:trHeight w:val="449"/>
        </w:trPr>
        <w:tc>
          <w:tcPr>
            <w:tcW w:w="260" w:type="dxa"/>
            <w:vAlign w:val="bottom"/>
          </w:tcPr>
          <w:p>
            <w:pPr>
              <w:spacing w:after="0"/>
              <w:rPr>
                <w:sz w:val="24"/>
                <w:szCs w:val="24"/>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291,125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298,498</w:t>
            </w:r>
          </w:p>
        </w:tc>
      </w:tr>
      <w:tr>
        <w:trPr>
          <w:trHeight w:val="229"/>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179,581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181,823</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34,087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36,450</w:t>
            </w:r>
          </w:p>
        </w:tc>
      </w:tr>
      <w:tr>
        <w:trPr>
          <w:trHeight w:val="229"/>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73,177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76,767</w:t>
            </w:r>
          </w:p>
        </w:tc>
      </w:tr>
      <w:tr>
        <w:trPr>
          <w:trHeight w:val="229"/>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23,804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22,970</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6,071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3,960</w:t>
            </w:r>
          </w:p>
        </w:tc>
      </w:tr>
      <w:tr>
        <w:trPr>
          <w:trHeight w:val="233"/>
        </w:trPr>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15,099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15,116</w:t>
            </w:r>
          </w:p>
        </w:tc>
      </w:tr>
      <w:tr>
        <w:trPr>
          <w:trHeight w:val="223"/>
        </w:trPr>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812,831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823,111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95"/>
        </w:trPr>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36,575</w:t>
            </w:r>
          </w:p>
        </w:tc>
        <w:tc>
          <w:tcPr>
            <w:tcW w:w="32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29,797</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51,289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58,659</w:t>
            </w:r>
          </w:p>
        </w:tc>
      </w:tr>
      <w:tr>
        <w:trPr>
          <w:trHeight w:val="229"/>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56,255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47,358</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9,616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9,711</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7,362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7,339</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4,882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5,905</w:t>
            </w:r>
          </w:p>
        </w:tc>
      </w:tr>
      <w:tr>
        <w:trPr>
          <w:trHeight w:val="233"/>
        </w:trPr>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1,275</w:t>
            </w:r>
          </w:p>
        </w:tc>
      </w:tr>
      <w:tr>
        <w:trPr>
          <w:trHeight w:val="223"/>
        </w:trPr>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165,979</w:t>
            </w:r>
          </w:p>
        </w:tc>
        <w:tc>
          <w:tcPr>
            <w:tcW w:w="32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160,044</w:t>
            </w:r>
          </w:p>
        </w:tc>
      </w:tr>
      <w:tr>
        <w:trPr>
          <w:trHeight w:val="449"/>
        </w:trPr>
        <w:tc>
          <w:tcPr>
            <w:tcW w:w="2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304,637</w:t>
            </w: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297,478</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180,351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182,001</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42,105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43,890</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2,466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119</w:t>
            </w:r>
          </w:p>
        </w:tc>
      </w:tr>
      <w:tr>
        <w:trPr>
          <w:trHeight w:val="233"/>
        </w:trPr>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74,385</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74,227</w:t>
            </w:r>
          </w:p>
        </w:tc>
      </w:tr>
      <w:tr>
        <w:trPr>
          <w:trHeight w:val="223"/>
        </w:trPr>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769,923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757,759</w:t>
            </w:r>
          </w:p>
        </w:tc>
      </w:tr>
      <w:tr>
        <w:trPr>
          <w:trHeight w:val="881"/>
        </w:trPr>
        <w:tc>
          <w:tcPr>
            <w:tcW w:w="260" w:type="dxa"/>
            <w:vAlign w:val="bottom"/>
          </w:tcPr>
          <w:p>
            <w:pPr>
              <w:spacing w:after="0"/>
              <w:rPr>
                <w:sz w:val="24"/>
                <w:szCs w:val="24"/>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432"/>
        </w:trPr>
        <w:tc>
          <w:tcPr>
            <w:tcW w:w="260" w:type="dxa"/>
            <w:vAlign w:val="bottom"/>
          </w:tcPr>
          <w:p>
            <w:pPr>
              <w:spacing w:after="0"/>
              <w:rPr>
                <w:sz w:val="24"/>
                <w:szCs w:val="24"/>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432"/>
        </w:trPr>
        <w:tc>
          <w:tcPr>
            <w:tcW w:w="260" w:type="dxa"/>
            <w:vAlign w:val="bottom"/>
          </w:tcPr>
          <w:p>
            <w:pPr>
              <w:spacing w:after="0"/>
              <w:rPr>
                <w:sz w:val="24"/>
                <w:szCs w:val="24"/>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1,159,336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1,146,154</w:t>
            </w:r>
          </w:p>
        </w:tc>
      </w:tr>
      <w:tr>
        <w:trPr>
          <w:trHeight w:val="230"/>
        </w:trPr>
        <w:tc>
          <w:tcPr>
            <w:tcW w:w="26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(1,115,413 )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(1,079,282 )</w:t>
            </w:r>
          </w:p>
        </w:tc>
      </w:tr>
    </w:tbl>
    <w:p>
      <w:pPr>
        <w:spacing w:after="0" w:line="1" w:lineRule="exact"/>
        <w:rPr>
          <w:sz w:val="20"/>
          <w:szCs w:val="20"/>
          <w:color w:val="auto"/>
        </w:rPr>
      </w:pPr>
    </w:p>
    <w:p>
      <w:pPr>
        <w:sectPr>
          <w:pgSz w:w="11900" w:h="16838" w:orient="portrait"/>
          <w:cols w:equalWidth="0" w:num="2">
            <w:col w:w="6960" w:space="720"/>
            <w:col w:w="35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Equity attributable to The Cannabist Company Holdings Inc.</w:t>
            </w:r>
          </w:p>
        </w:tc>
        <w:tc>
          <w:tcPr>
            <w:tcW w:w="66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vMerge w:val="restart"/>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43,923</w:t>
            </w:r>
          </w:p>
        </w:tc>
        <w:tc>
          <w:tcPr>
            <w:tcW w:w="14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66,872</w:t>
            </w:r>
          </w:p>
        </w:tc>
        <w:tc>
          <w:tcPr>
            <w:tcW w:w="0" w:type="dxa"/>
            <w:vAlign w:val="bottom"/>
          </w:tcPr>
          <w:p>
            <w:pPr>
              <w:spacing w:after="0"/>
              <w:rPr>
                <w:sz w:val="1"/>
                <w:szCs w:val="1"/>
                <w:color w:val="auto"/>
              </w:rPr>
            </w:pPr>
          </w:p>
        </w:tc>
      </w:tr>
      <w:tr>
        <w:trPr>
          <w:trHeight w:val="71"/>
        </w:trPr>
        <w:tc>
          <w:tcPr>
            <w:tcW w:w="7680" w:type="dxa"/>
            <w:vAlign w:val="bottom"/>
            <w:tcBorders>
              <w:bottom w:val="single" w:sz="8" w:color="CFF0FC"/>
            </w:tcBorders>
            <w:shd w:val="clear" w:color="auto" w:fill="CFF0FC"/>
          </w:tcPr>
          <w:p>
            <w:pPr>
              <w:spacing w:after="0"/>
              <w:rPr>
                <w:sz w:val="6"/>
                <w:szCs w:val="6"/>
                <w:color w:val="auto"/>
              </w:rPr>
            </w:pPr>
          </w:p>
        </w:tc>
        <w:tc>
          <w:tcPr>
            <w:tcW w:w="660" w:type="dxa"/>
            <w:vAlign w:val="bottom"/>
            <w:tcBorders>
              <w:bottom w:val="single" w:sz="8" w:color="auto"/>
            </w:tcBorders>
            <w:shd w:val="clear" w:color="auto" w:fill="CFF0FC"/>
          </w:tcPr>
          <w:p>
            <w:pPr>
              <w:spacing w:after="0"/>
              <w:rPr>
                <w:sz w:val="6"/>
                <w:szCs w:val="6"/>
                <w:color w:val="auto"/>
              </w:rPr>
            </w:pPr>
          </w:p>
        </w:tc>
        <w:tc>
          <w:tcPr>
            <w:tcW w:w="1080" w:type="dxa"/>
            <w:vAlign w:val="bottom"/>
            <w:tcBorders>
              <w:bottom w:val="single" w:sz="8" w:color="auto"/>
            </w:tcBorders>
            <w:vMerge w:val="continue"/>
            <w:shd w:val="clear" w:color="auto" w:fill="CFF0FC"/>
          </w:tcPr>
          <w:p>
            <w:pPr>
              <w:spacing w:after="0"/>
              <w:rPr>
                <w:sz w:val="6"/>
                <w:szCs w:val="6"/>
                <w:color w:val="auto"/>
              </w:rPr>
            </w:pPr>
          </w:p>
        </w:tc>
        <w:tc>
          <w:tcPr>
            <w:tcW w:w="140" w:type="dxa"/>
            <w:vAlign w:val="bottom"/>
            <w:tcBorders>
              <w:bottom w:val="single" w:sz="8" w:color="CFF0FC"/>
            </w:tcBorders>
            <w:shd w:val="clear" w:color="auto" w:fill="CFF0FC"/>
          </w:tcPr>
          <w:p>
            <w:pPr>
              <w:spacing w:after="0"/>
              <w:rPr>
                <w:sz w:val="6"/>
                <w:szCs w:val="6"/>
                <w:color w:val="auto"/>
              </w:rPr>
            </w:pPr>
          </w:p>
        </w:tc>
        <w:tc>
          <w:tcPr>
            <w:tcW w:w="620" w:type="dxa"/>
            <w:vAlign w:val="bottom"/>
            <w:tcBorders>
              <w:bottom w:val="single" w:sz="8" w:color="auto"/>
            </w:tcBorders>
            <w:shd w:val="clear" w:color="auto" w:fill="CFF0FC"/>
          </w:tcPr>
          <w:p>
            <w:pPr>
              <w:spacing w:after="0"/>
              <w:rPr>
                <w:sz w:val="6"/>
                <w:szCs w:val="6"/>
                <w:color w:val="auto"/>
              </w:rPr>
            </w:pPr>
          </w:p>
        </w:tc>
        <w:tc>
          <w:tcPr>
            <w:tcW w:w="1060" w:type="dxa"/>
            <w:vAlign w:val="bottom"/>
            <w:tcBorders>
              <w:bottom w:val="single" w:sz="8" w:color="auto"/>
            </w:tcBorders>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Non-controlling interest</w:t>
            </w:r>
          </w:p>
        </w:tc>
        <w:tc>
          <w:tcPr>
            <w:tcW w:w="660" w:type="dxa"/>
            <w:vAlign w:val="bottom"/>
          </w:tcPr>
          <w:p>
            <w:pPr>
              <w:spacing w:after="0"/>
              <w:rPr>
                <w:sz w:val="13"/>
                <w:szCs w:val="13"/>
                <w:color w:val="auto"/>
              </w:rPr>
            </w:pPr>
          </w:p>
        </w:tc>
        <w:tc>
          <w:tcPr>
            <w:tcW w:w="108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(1,015 )</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(1,520 )</w:t>
            </w:r>
          </w:p>
        </w:tc>
        <w:tc>
          <w:tcPr>
            <w:tcW w:w="0" w:type="dxa"/>
            <w:vAlign w:val="bottom"/>
          </w:tcPr>
          <w:p>
            <w:pPr>
              <w:spacing w:after="0"/>
              <w:rPr>
                <w:sz w:val="1"/>
                <w:szCs w:val="1"/>
                <w:color w:val="auto"/>
              </w:rPr>
            </w:pPr>
          </w:p>
        </w:tc>
      </w:tr>
      <w:tr>
        <w:trPr>
          <w:trHeight w:val="71"/>
        </w:trPr>
        <w:tc>
          <w:tcPr>
            <w:tcW w:w="76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Total equity</w:t>
            </w:r>
          </w:p>
        </w:tc>
        <w:tc>
          <w:tcPr>
            <w:tcW w:w="66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42,908</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65,352</w:t>
            </w:r>
          </w:p>
        </w:tc>
        <w:tc>
          <w:tcPr>
            <w:tcW w:w="0" w:type="dxa"/>
            <w:vAlign w:val="bottom"/>
          </w:tcPr>
          <w:p>
            <w:pPr>
              <w:spacing w:after="0"/>
              <w:rPr>
                <w:sz w:val="1"/>
                <w:szCs w:val="1"/>
                <w:color w:val="auto"/>
              </w:rPr>
            </w:pPr>
          </w:p>
        </w:tc>
      </w:tr>
      <w:tr>
        <w:trPr>
          <w:trHeight w:val="71"/>
        </w:trPr>
        <w:tc>
          <w:tcPr>
            <w:tcW w:w="7680" w:type="dxa"/>
            <w:vAlign w:val="bottom"/>
            <w:tcBorders>
              <w:bottom w:val="single" w:sz="8" w:color="CFF0FC"/>
            </w:tcBorders>
            <w:shd w:val="clear" w:color="auto" w:fill="CFF0FC"/>
          </w:tcPr>
          <w:p>
            <w:pPr>
              <w:spacing w:after="0"/>
              <w:rPr>
                <w:sz w:val="6"/>
                <w:szCs w:val="6"/>
                <w:color w:val="auto"/>
              </w:rPr>
            </w:pPr>
          </w:p>
        </w:tc>
        <w:tc>
          <w:tcPr>
            <w:tcW w:w="660" w:type="dxa"/>
            <w:vAlign w:val="bottom"/>
            <w:tcBorders>
              <w:bottom w:val="single" w:sz="8" w:color="auto"/>
            </w:tcBorders>
            <w:shd w:val="clear" w:color="auto" w:fill="CFF0FC"/>
          </w:tcPr>
          <w:p>
            <w:pPr>
              <w:spacing w:after="0"/>
              <w:rPr>
                <w:sz w:val="6"/>
                <w:szCs w:val="6"/>
                <w:color w:val="auto"/>
              </w:rPr>
            </w:pPr>
          </w:p>
        </w:tc>
        <w:tc>
          <w:tcPr>
            <w:tcW w:w="1080" w:type="dxa"/>
            <w:vAlign w:val="bottom"/>
            <w:tcBorders>
              <w:bottom w:val="single" w:sz="8" w:color="auto"/>
            </w:tcBorders>
            <w:vMerge w:val="continue"/>
            <w:shd w:val="clear" w:color="auto" w:fill="CFF0FC"/>
          </w:tcPr>
          <w:p>
            <w:pPr>
              <w:spacing w:after="0"/>
              <w:rPr>
                <w:sz w:val="6"/>
                <w:szCs w:val="6"/>
                <w:color w:val="auto"/>
              </w:rPr>
            </w:pPr>
          </w:p>
        </w:tc>
        <w:tc>
          <w:tcPr>
            <w:tcW w:w="140" w:type="dxa"/>
            <w:vAlign w:val="bottom"/>
            <w:tcBorders>
              <w:bottom w:val="single" w:sz="8" w:color="CFF0FC"/>
            </w:tcBorders>
            <w:shd w:val="clear" w:color="auto" w:fill="CFF0FC"/>
          </w:tcPr>
          <w:p>
            <w:pPr>
              <w:spacing w:after="0"/>
              <w:rPr>
                <w:sz w:val="6"/>
                <w:szCs w:val="6"/>
                <w:color w:val="auto"/>
              </w:rPr>
            </w:pPr>
          </w:p>
        </w:tc>
        <w:tc>
          <w:tcPr>
            <w:tcW w:w="620" w:type="dxa"/>
            <w:vAlign w:val="bottom"/>
            <w:tcBorders>
              <w:bottom w:val="single" w:sz="8" w:color="auto"/>
            </w:tcBorders>
            <w:shd w:val="clear" w:color="auto" w:fill="CFF0FC"/>
          </w:tcPr>
          <w:p>
            <w:pPr>
              <w:spacing w:after="0"/>
              <w:rPr>
                <w:sz w:val="6"/>
                <w:szCs w:val="6"/>
                <w:color w:val="auto"/>
              </w:rPr>
            </w:pPr>
          </w:p>
        </w:tc>
        <w:tc>
          <w:tcPr>
            <w:tcW w:w="1060" w:type="dxa"/>
            <w:vAlign w:val="bottom"/>
            <w:tcBorders>
              <w:bottom w:val="single" w:sz="8" w:color="auto"/>
            </w:tcBorders>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66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color w:val="auto"/>
              </w:rPr>
              <w:t>812,831</w:t>
            </w:r>
          </w:p>
        </w:tc>
        <w:tc>
          <w:tcPr>
            <w:tcW w:w="7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823,111</w:t>
            </w:r>
          </w:p>
        </w:tc>
        <w:tc>
          <w:tcPr>
            <w:tcW w:w="0" w:type="dxa"/>
            <w:vAlign w:val="bottom"/>
          </w:tcPr>
          <w:p>
            <w:pPr>
              <w:spacing w:after="0"/>
              <w:rPr>
                <w:sz w:val="1"/>
                <w:szCs w:val="1"/>
                <w:color w:val="auto"/>
              </w:rPr>
            </w:pPr>
          </w:p>
        </w:tc>
      </w:tr>
      <w:tr>
        <w:trPr>
          <w:trHeight w:val="71"/>
        </w:trPr>
        <w:tc>
          <w:tcPr>
            <w:tcW w:w="7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-488315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-179705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20" w:type="dxa"/>
            <w:vAlign w:val="bottom"/>
            <w:tcBorders>
              <w:bottom w:val="single" w:sz="8" w:color="auto"/>
            </w:tcBorders>
          </w:tcPr>
          <w:p>
            <w:pPr>
              <w:spacing w:after="0"/>
              <w:rPr>
                <w:sz w:val="19"/>
                <w:szCs w:val="19"/>
                <w:color w:val="auto"/>
              </w:rPr>
            </w:pPr>
          </w:p>
        </w:tc>
      </w:tr>
      <w:tr>
        <w:trPr>
          <w:trHeight w:val="223"/>
        </w:trPr>
        <w:tc>
          <w:tcPr>
            <w:tcW w:w="6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30"/>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122,611</w:t>
            </w:r>
          </w:p>
        </w:tc>
        <w:tc>
          <w:tcPr>
            <w:tcW w:w="7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124,535</w:t>
            </w:r>
          </w:p>
        </w:tc>
      </w:tr>
      <w:tr>
        <w:trPr>
          <w:trHeight w:val="223"/>
        </w:trPr>
        <w:tc>
          <w:tcPr>
            <w:tcW w:w="6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(80,074 )</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(77,454 )</w:t>
            </w:r>
          </w:p>
        </w:tc>
      </w:tr>
      <w:tr>
        <w:trPr>
          <w:trHeight w:val="230"/>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42,537</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47,081</w:t>
            </w:r>
          </w:p>
        </w:tc>
      </w:tr>
      <w:tr>
        <w:trPr>
          <w:trHeight w:val="22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(53,273 )</w:t>
            </w: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(55,350 )</w:t>
            </w:r>
          </w:p>
        </w:tc>
      </w:tr>
      <w:tr>
        <w:trPr>
          <w:trHeight w:val="22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(10,736 )</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(8,269 )</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360" w:type="dxa"/>
            <w:vAlign w:val="bottom"/>
            <w:shd w:val="clear" w:color="auto" w:fill="CFF0FC"/>
          </w:tcPr>
          <w:p>
            <w:pPr>
              <w:spacing w:after="0"/>
              <w:rPr>
                <w:sz w:val="20"/>
                <w:szCs w:val="20"/>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(940 )</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(1,098 )</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(9,034 )</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(12,573 )</w:t>
            </w:r>
          </w:p>
        </w:tc>
      </w:tr>
      <w:tr>
        <w:trPr>
          <w:trHeight w:val="233"/>
        </w:trPr>
        <w:tc>
          <w:tcPr>
            <w:tcW w:w="6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shd w:val="clear" w:color="auto" w:fill="CFF0FC"/>
          </w:tcPr>
          <w:p>
            <w:pPr>
              <w:spacing w:after="0"/>
              <w:rPr>
                <w:sz w:val="20"/>
                <w:szCs w:val="20"/>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(4,990 )</w:t>
            </w:r>
          </w:p>
        </w:tc>
        <w:tc>
          <w:tcPr>
            <w:tcW w:w="1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(3,943 )</w:t>
            </w:r>
          </w:p>
        </w:tc>
      </w:tr>
      <w:tr>
        <w:trPr>
          <w:trHeight w:val="22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(14,964 )</w:t>
            </w: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(17,614 )</w:t>
            </w:r>
          </w:p>
        </w:tc>
      </w:tr>
      <w:tr>
        <w:trPr>
          <w:trHeight w:val="22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(25,700 )</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(25,883 )</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(8,868 )</w:t>
            </w: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(10,689 )</w:t>
            </w:r>
          </w:p>
        </w:tc>
      </w:tr>
      <w:tr>
        <w:trPr>
          <w:trHeight w:val="22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(34,568 )</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(36,572 )</w:t>
            </w:r>
          </w:p>
        </w:tc>
      </w:tr>
      <w:tr>
        <w:trPr>
          <w:trHeight w:val="22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505</w:t>
            </w: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768</w:t>
            </w:r>
          </w:p>
        </w:tc>
      </w:tr>
      <w:tr>
        <w:trPr>
          <w:trHeight w:val="263"/>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(35,073 )</w:t>
            </w:r>
          </w:p>
        </w:tc>
        <w:tc>
          <w:tcPr>
            <w:tcW w:w="7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(37,340 )</w:t>
            </w:r>
          </w:p>
        </w:tc>
      </w:tr>
      <w:tr>
        <w:trPr>
          <w:trHeight w:val="217"/>
        </w:trPr>
        <w:tc>
          <w:tcPr>
            <w:tcW w:w="62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r>
      <w:tr>
        <w:trPr>
          <w:trHeight w:val="22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earnings per share - basic and diluted</w:t>
            </w: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445,633,865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401,438,546</w:t>
            </w: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attributable to shares (basic and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(0.08 )</w:t>
            </w:r>
          </w:p>
        </w:tc>
        <w:tc>
          <w:tcPr>
            <w:tcW w:w="76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-2395855</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-1358900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-450215</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-433070</wp:posOffset>
            </wp:positionV>
            <wp:extent cx="111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b w:val="1"/>
          <w:bCs w:val="1"/>
          <w:color w:val="auto"/>
        </w:rPr>
        <w:t>THE CANNABIST COMPANY HOLDINGS INC.</w:t>
      </w:r>
    </w:p>
    <w:p>
      <w:pPr>
        <w:jc w:val="center"/>
        <w:spacing w:after="0" w:line="219" w:lineRule="auto"/>
        <w:rPr>
          <w:sz w:val="20"/>
          <w:szCs w:val="20"/>
          <w:color w:val="auto"/>
        </w:rPr>
      </w:pPr>
      <w:r>
        <w:rPr>
          <w:rFonts w:ascii="Times New Roman" w:cs="Times New Roman" w:eastAsia="Times New Roman" w:hAnsi="Times New Roman"/>
          <w:sz w:val="13"/>
          <w:szCs w:val="13"/>
          <w:color w:val="auto"/>
        </w:rPr>
        <w:t>CONDENSED CONSOLIDATED INTERIM STATEMENTS OF CHANGES IN EQUITY</w:t>
      </w:r>
    </w:p>
    <w:p>
      <w:pPr>
        <w:jc w:val="center"/>
        <w:spacing w:after="0" w:line="216" w:lineRule="auto"/>
        <w:rPr>
          <w:sz w:val="20"/>
          <w:szCs w:val="20"/>
          <w:color w:val="auto"/>
        </w:rPr>
      </w:pPr>
      <w:r>
        <w:rPr>
          <w:rFonts w:ascii="Times New Roman" w:cs="Times New Roman" w:eastAsia="Times New Roman" w:hAnsi="Times New Roman"/>
          <w:sz w:val="13"/>
          <w:szCs w:val="13"/>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(Expressed in thousands of U.S. dollars, except for number of shares)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Total The Cannabist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Company Holdings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Proportionate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2460" w:type="dxa"/>
            <w:vAlign w:val="bottom"/>
          </w:tcPr>
          <w:p>
            <w:pPr>
              <w:spacing w:after="0"/>
              <w:rPr>
                <w:sz w:val="19"/>
                <w:szCs w:val="19"/>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Voting Shares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9"/>
                <w:szCs w:val="19"/>
                <w:color w:val="auto"/>
              </w:rPr>
            </w:pPr>
          </w:p>
        </w:tc>
        <w:tc>
          <w:tcPr>
            <w:tcW w:w="168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21"/>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391,238,484</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10,009,819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1,117,287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(904,003 )</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213,284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(6,381 )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206,903</w:t>
            </w:r>
          </w:p>
        </w:tc>
      </w:tr>
      <w:tr>
        <w:trPr>
          <w:trHeight w:val="238"/>
        </w:trPr>
        <w:tc>
          <w:tcPr>
            <w:tcW w:w="2460" w:type="dxa"/>
            <w:vAlign w:val="bottom"/>
            <w:shd w:val="clear" w:color="auto" w:fill="CFF0FC"/>
          </w:tcPr>
          <w:p>
            <w:pPr>
              <w:ind w:left="20"/>
              <w:spacing w:after="0" w:line="238"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(1)</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2,116,944</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6,611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6,611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6,611</w:t>
            </w: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54,158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(54,158 )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4,383</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(37,340 )</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(36,572 )</w:t>
            </w:r>
          </w:p>
        </w:tc>
      </w:tr>
      <w:tr>
        <w:trPr>
          <w:trHeight w:val="26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393,409,586</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9,955,661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1,123,898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(941,343 )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182,555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(1,230 )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181,325</w:t>
            </w:r>
          </w:p>
        </w:tc>
      </w:tr>
      <w:tr>
        <w:trPr>
          <w:trHeight w:val="592"/>
        </w:trPr>
        <w:tc>
          <w:tcPr>
            <w:tcW w:w="246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80" w:type="dxa"/>
            <w:vAlign w:val="bottom"/>
            <w:tcBorders>
              <w:top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Total The Cannabist</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Company Holdings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Proportionate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2460" w:type="dxa"/>
            <w:vAlign w:val="bottom"/>
          </w:tcPr>
          <w:p>
            <w:pPr>
              <w:spacing w:after="0"/>
              <w:rPr>
                <w:sz w:val="19"/>
                <w:szCs w:val="19"/>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Voting Shares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9"/>
                <w:szCs w:val="19"/>
                <w:color w:val="auto"/>
              </w:rPr>
            </w:pPr>
          </w:p>
        </w:tc>
        <w:tc>
          <w:tcPr>
            <w:tcW w:w="168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30"/>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420,265,306</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9,807,881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1,146,154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(1,079,282 )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66,872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(1,520 )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65,352</w:t>
            </w:r>
          </w:p>
        </w:tc>
      </w:tr>
      <w:tr>
        <w:trPr>
          <w:trHeight w:val="229"/>
        </w:trPr>
        <w:tc>
          <w:tcPr>
            <w:tcW w:w="24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(1)</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3,182</w:t>
            </w:r>
          </w:p>
        </w:tc>
      </w:tr>
      <w:tr>
        <w:trPr>
          <w:trHeight w:val="22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25,845,259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2,106,055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(2,106,055 )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(1,058 )</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(1,058 )</w:t>
            </w: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(35,073 )</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(34,568 )</w:t>
            </w:r>
          </w:p>
        </w:tc>
      </w:tr>
      <w:tr>
        <w:trPr>
          <w:trHeight w:val="263"/>
        </w:trPr>
        <w:tc>
          <w:tcPr>
            <w:tcW w:w="2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448,216,620</w:t>
            </w:r>
          </w:p>
        </w:tc>
        <w:tc>
          <w:tcPr>
            <w:tcW w:w="1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1,159,336</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(1,115,413 )</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43,923</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(1,015 )</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-2005330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-1988185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-2005330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-1988185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-2005330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-1988185</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-2005330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-1988185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-2005330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-1988185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-2005330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-1988185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amounts shown are net of any shares withheld by the Company to satisfy certain tax withholdings in connection with vesting of equity-based awards.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7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69"/>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(34,568 )</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(36,572 )</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76"/>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13,964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15,063</w:t>
            </w:r>
          </w:p>
        </w:tc>
      </w:tr>
      <w:tr>
        <w:trPr>
          <w:trHeight w:val="17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3,182</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6,515</w:t>
            </w:r>
          </w:p>
        </w:tc>
      </w:tr>
      <w:tr>
        <w:trPr>
          <w:trHeight w:val="175"/>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amortization expense</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2,291</w:t>
            </w:r>
          </w:p>
        </w:tc>
      </w:tr>
      <w:tr>
        <w:trPr>
          <w:trHeight w:val="17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on deconsolidation of subsidiary</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2,473</w:t>
            </w:r>
          </w:p>
        </w:tc>
      </w:tr>
      <w:tr>
        <w:trPr>
          <w:trHeight w:val="175"/>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obsolete inventory and other assets</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r>
      <w:tr>
        <w:trPr>
          <w:trHeight w:val="17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2,347</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r>
      <w:tr>
        <w:trPr>
          <w:trHeight w:val="176"/>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taxes</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766</w:t>
            </w:r>
          </w:p>
        </w:tc>
      </w:tr>
      <w:tr>
        <w:trPr>
          <w:trHeight w:val="175"/>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r>
      <w:tr>
        <w:trPr>
          <w:trHeight w:val="176"/>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1,012</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(2,322 )</w:t>
            </w:r>
          </w:p>
        </w:tc>
      </w:tr>
      <w:tr>
        <w:trPr>
          <w:trHeight w:val="176"/>
        </w:trPr>
        <w:tc>
          <w:tcPr>
            <w:tcW w:w="7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Inventory</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(5,297 )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(6,315 )</w:t>
            </w:r>
          </w:p>
        </w:tc>
      </w:tr>
      <w:tr>
        <w:trPr>
          <w:trHeight w:val="175"/>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(823 )</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(2,442 )</w:t>
            </w:r>
          </w:p>
        </w:tc>
      </w:tr>
      <w:tr>
        <w:trPr>
          <w:trHeight w:val="176"/>
        </w:trPr>
        <w:tc>
          <w:tcPr>
            <w:tcW w:w="7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6,126</w:t>
            </w:r>
          </w:p>
        </w:tc>
      </w:tr>
      <w:tr>
        <w:trPr>
          <w:trHeight w:val="176"/>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7,351</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8,134</w:t>
            </w:r>
          </w:p>
        </w:tc>
      </w:tr>
      <w:tr>
        <w:trPr>
          <w:trHeight w:val="175"/>
        </w:trPr>
        <w:tc>
          <w:tcPr>
            <w:tcW w:w="7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(7,391 )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(4,874 )</w:t>
            </w:r>
          </w:p>
        </w:tc>
      </w:tr>
      <w:tr>
        <w:trPr>
          <w:trHeight w:val="176"/>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taxes payable</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8,898</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9,194</w:t>
            </w:r>
          </w:p>
        </w:tc>
      </w:tr>
      <w:tr>
        <w:trPr>
          <w:trHeight w:val="175"/>
        </w:trPr>
        <w:tc>
          <w:tcPr>
            <w:tcW w:w="78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(1,587 )</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(2,221 )</w:t>
            </w:r>
          </w:p>
        </w:tc>
      </w:tr>
      <w:tr>
        <w:trPr>
          <w:trHeight w:val="169"/>
        </w:trPr>
        <w:tc>
          <w:tcPr>
            <w:tcW w:w="7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(6,211 )</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(3,405 )</w:t>
            </w: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(965 )</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(5,724 )</w:t>
            </w:r>
          </w:p>
        </w:tc>
      </w:tr>
      <w:tr>
        <w:trPr>
          <w:trHeight w:val="175"/>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sale of license</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deconsolidation of MO entity</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3,040</w:t>
            </w:r>
          </w:p>
        </w:tc>
      </w:tr>
      <w:tr>
        <w:trPr>
          <w:trHeight w:val="176"/>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proceeds from sale of UT business</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2,999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paid on deposits, net</w:t>
            </w:r>
          </w:p>
        </w:tc>
        <w:tc>
          <w:tcPr>
            <w:tcW w:w="18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r>
      <w:tr>
        <w:trPr>
          <w:trHeight w:val="169"/>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2,403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(2,552 )</w:t>
            </w:r>
          </w:p>
        </w:tc>
      </w:tr>
      <w:tr>
        <w:trPr>
          <w:trHeight w:val="169"/>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75"/>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convertible debt</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15,600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(802 )</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lease liabilities</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(1,588 )</w:t>
            </w:r>
          </w:p>
        </w:tc>
      </w:tr>
      <w:tr>
        <w:trPr>
          <w:trHeight w:val="175"/>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Repayment of sellers note</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(375 )</w:t>
            </w:r>
          </w:p>
        </w:tc>
      </w:tr>
      <w:tr>
        <w:trPr>
          <w:trHeight w:val="176"/>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 of debt</w:t>
            </w:r>
          </w:p>
        </w:tc>
        <w:tc>
          <w:tcPr>
            <w:tcW w:w="180" w:type="dxa"/>
            <w:vAlign w:val="bottom"/>
          </w:tcPr>
          <w:p>
            <w:pPr>
              <w:spacing w:after="0"/>
              <w:rPr>
                <w:sz w:val="15"/>
                <w:szCs w:val="15"/>
                <w:color w:val="auto"/>
              </w:rPr>
            </w:pP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r>
      <w:tr>
        <w:trPr>
          <w:trHeight w:val="175"/>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Repayment of mortgage notes</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Taxes paid on equity based compensation</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r>
      <w:tr>
        <w:trPr>
          <w:trHeight w:val="169"/>
        </w:trPr>
        <w:tc>
          <w:tcPr>
            <w:tcW w:w="7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12,517</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(2,037 )</w:t>
            </w:r>
          </w:p>
        </w:tc>
      </w:tr>
      <w:tr>
        <w:trPr>
          <w:trHeight w:val="169"/>
        </w:trPr>
        <w:tc>
          <w:tcPr>
            <w:tcW w:w="7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8,709</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(7,994 )</w:t>
            </w: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the period</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39,337</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49,488</w:t>
            </w:r>
          </w:p>
        </w:tc>
      </w:tr>
      <w:tr>
        <w:trPr>
          <w:trHeight w:val="209"/>
        </w:trPr>
        <w:tc>
          <w:tcPr>
            <w:tcW w:w="78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Cash and restricted cash at end of period</w:t>
            </w:r>
          </w:p>
        </w:tc>
        <w:tc>
          <w:tcPr>
            <w:tcW w:w="180" w:type="dxa"/>
            <w:vAlign w:val="bottom"/>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48,046</w:t>
            </w:r>
          </w:p>
        </w:tc>
        <w:tc>
          <w:tcPr>
            <w:tcW w:w="320" w:type="dxa"/>
            <w:vAlign w:val="bottom"/>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41,494</w:t>
            </w:r>
          </w:p>
        </w:tc>
      </w:tr>
      <w:tr>
        <w:trPr>
          <w:trHeight w:val="156"/>
        </w:trPr>
        <w:tc>
          <w:tcPr>
            <w:tcW w:w="78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r>
      <w:tr>
        <w:trPr>
          <w:trHeight w:val="17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44,473</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40,159</w:t>
            </w: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3,573</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1,335</w:t>
            </w:r>
          </w:p>
        </w:tc>
      </w:tr>
      <w:tr>
        <w:trPr>
          <w:trHeight w:val="209"/>
        </w:trPr>
        <w:tc>
          <w:tcPr>
            <w:tcW w:w="78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Cash and restricted cash, end of period</w:t>
            </w:r>
          </w:p>
        </w:tc>
        <w:tc>
          <w:tcPr>
            <w:tcW w:w="180" w:type="dxa"/>
            <w:vAlign w:val="bottom"/>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48,046</w:t>
            </w:r>
          </w:p>
        </w:tc>
        <w:tc>
          <w:tcPr>
            <w:tcW w:w="320" w:type="dxa"/>
            <w:vAlign w:val="bottom"/>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41,494</w:t>
            </w:r>
          </w:p>
        </w:tc>
      </w:tr>
      <w:tr>
        <w:trPr>
          <w:trHeight w:val="156"/>
        </w:trPr>
        <w:tc>
          <w:tcPr>
            <w:tcW w:w="78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75"/>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6,776</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5,716</w:t>
            </w:r>
          </w:p>
        </w:tc>
      </w:tr>
      <w:tr>
        <w:trPr>
          <w:trHeight w:val="175"/>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940</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1,081</w:t>
            </w:r>
          </w:p>
        </w:tc>
      </w:tr>
      <w:tr>
        <w:trPr>
          <w:trHeight w:val="175"/>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1,762</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1,588</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interest on other obligations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13,414</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12,607</w:t>
            </w: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729</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 liabilities arising from the recognition of finance right-of-use assets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arising from the recognition of operating right-of-use assets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1,678</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3,264</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7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fixed asset additions within accounts payable and accrued expenses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478</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Discount on issuance of convertible debt</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(5,150 )</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 in debt from debt to equity conversion</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Increase in equity from debt to equity conversion</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held for sale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(1,652 )</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1,274</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-4568190</wp:posOffset>
            </wp:positionV>
            <wp:extent cx="93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-3903980</wp:posOffset>
            </wp:positionV>
            <wp:extent cx="1193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93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-2750820</wp:posOffset>
            </wp:positionV>
            <wp:extent cx="93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-2287905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-2270760</wp:posOffset>
            </wp:positionV>
            <wp:extent cx="93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-1807845</wp:posOffset>
            </wp:positionV>
            <wp:extent cx="93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-1790700</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ind w:right="4440"/>
        <w:spacing w:after="0" w:line="250" w:lineRule="auto"/>
        <w:rPr>
          <w:sz w:val="20"/>
          <w:szCs w:val="20"/>
          <w:color w:val="auto"/>
        </w:rPr>
      </w:pPr>
      <w:r>
        <w:rPr>
          <w:rFonts w:ascii="Times New Roman" w:cs="Times New Roman" w:eastAsia="Times New Roman" w:hAnsi="Times New Roman"/>
          <w:sz w:val="18"/>
          <w:szCs w:val="18"/>
          <w:color w:val="auto"/>
        </w:rPr>
        <w:t>NOTES TO THE CONDENSED CONSOLIDATED INTERIM FINANCIAL STATEMENTS FOR THE THREE MONTHS ENDED MARCH 31, 2024, AND 2023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OF THE COMPANY</w:t>
      </w:r>
    </w:p>
    <w:p>
      <w:pPr>
        <w:spacing w:after="0" w:line="161" w:lineRule="exact"/>
        <w:rPr>
          <w:rFonts w:ascii="Times New Roman" w:cs="Times New Roman" w:eastAsia="Times New Roman" w:hAnsi="Times New Roman"/>
          <w:sz w:val="18"/>
          <w:szCs w:val="18"/>
          <w:b w:val="1"/>
          <w:bCs w:val="1"/>
          <w:color w:val="auto"/>
        </w:rPr>
      </w:pPr>
    </w:p>
    <w:p>
      <w:pPr>
        <w:jc w:val="both"/>
        <w:ind w:left="3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Cannabist Company Holdings Inc. (“the Company”, “the Parent”, or "The Cannabist Company"), formerly known as Columbia Care Inc.,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15" w:lineRule="exact"/>
        <w:rPr>
          <w:rFonts w:ascii="Times New Roman" w:cs="Times New Roman" w:eastAsia="Times New Roman" w:hAnsi="Times New Roman"/>
          <w:sz w:val="18"/>
          <w:szCs w:val="18"/>
          <w:b w:val="1"/>
          <w:bCs w:val="1"/>
          <w:color w:val="auto"/>
        </w:rPr>
      </w:pPr>
    </w:p>
    <w:p>
      <w:pPr>
        <w:jc w:val="both"/>
        <w:ind w:left="3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The Company’s Common Shares are also listed on the Frankfurt Stock Exchange under the symbol “3LP”.</w:t>
      </w:r>
    </w:p>
    <w:p>
      <w:pPr>
        <w:spacing w:after="0" w:line="200" w:lineRule="exact"/>
        <w:rPr>
          <w:rFonts w:ascii="Times New Roman" w:cs="Times New Roman" w:eastAsia="Times New Roman" w:hAnsi="Times New Roman"/>
          <w:sz w:val="18"/>
          <w:szCs w:val="18"/>
          <w:b w:val="1"/>
          <w:bCs w:val="1"/>
          <w:color w:val="auto"/>
        </w:rPr>
      </w:pPr>
    </w:p>
    <w:p>
      <w:pPr>
        <w:spacing w:after="0" w:line="266" w:lineRule="exact"/>
        <w:rPr>
          <w:rFonts w:ascii="Times New Roman" w:cs="Times New Roman" w:eastAsia="Times New Roman" w:hAnsi="Times New Roman"/>
          <w:sz w:val="18"/>
          <w:szCs w:val="18"/>
          <w:b w:val="1"/>
          <w:bCs w:val="1"/>
          <w:color w:val="auto"/>
        </w:rPr>
      </w:pPr>
    </w:p>
    <w:p>
      <w:pPr>
        <w:ind w:left="380" w:right="6160" w:hanging="372"/>
        <w:spacing w:after="0" w:line="424" w:lineRule="auto"/>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preparation</w:t>
      </w:r>
    </w:p>
    <w:p>
      <w:pPr>
        <w:spacing w:after="0" w:line="1" w:lineRule="exact"/>
        <w:rPr>
          <w:rFonts w:ascii="Times New Roman" w:cs="Times New Roman" w:eastAsia="Times New Roman" w:hAnsi="Times New Roman"/>
          <w:sz w:val="18"/>
          <w:szCs w:val="18"/>
          <w:b w:val="1"/>
          <w:bCs w:val="1"/>
          <w:color w:val="auto"/>
        </w:rPr>
      </w:pPr>
    </w:p>
    <w:p>
      <w:pPr>
        <w:jc w:val="both"/>
        <w:ind w:lef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94" w:lineRule="exact"/>
        <w:rPr>
          <w:rFonts w:ascii="Times New Roman" w:cs="Times New Roman" w:eastAsia="Times New Roman" w:hAnsi="Times New Roman"/>
          <w:sz w:val="18"/>
          <w:szCs w:val="18"/>
          <w:b w:val="1"/>
          <w:bCs w:val="1"/>
          <w:color w:val="auto"/>
        </w:rPr>
      </w:pPr>
    </w:p>
    <w:p>
      <w:pPr>
        <w:jc w:val="both"/>
        <w:ind w:left="3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months ended March 31, 2024 are not necessarily indicative of the results that may be expected for the current year ending December 31, 2024. The financial data presented herein should be read in conjunction with the audited consolidated financial statements and accompanying notes as of and for the years ended December 31, 2023, and 2022 included in the Annual Report on Form 10-K for the year ended December 31, 2023 (the “2023 Form 10-K”).</w:t>
      </w:r>
    </w:p>
    <w:p>
      <w:pPr>
        <w:spacing w:after="0" w:line="121" w:lineRule="exact"/>
        <w:rPr>
          <w:rFonts w:ascii="Times New Roman" w:cs="Times New Roman" w:eastAsia="Times New Roman" w:hAnsi="Times New Roman"/>
          <w:sz w:val="18"/>
          <w:szCs w:val="18"/>
          <w:b w:val="1"/>
          <w:bCs w:val="1"/>
          <w:color w:val="auto"/>
        </w:rPr>
      </w:pPr>
    </w:p>
    <w:p>
      <w:pPr>
        <w:jc w:val="both"/>
        <w:ind w:lef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these unaudited condensed consolidated interim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108" w:lineRule="exact"/>
        <w:rPr>
          <w:rFonts w:ascii="Times New Roman" w:cs="Times New Roman" w:eastAsia="Times New Roman" w:hAnsi="Times New Roman"/>
          <w:sz w:val="18"/>
          <w:szCs w:val="18"/>
          <w:b w:val="1"/>
          <w:bCs w:val="1"/>
          <w:color w:val="auto"/>
        </w:rPr>
      </w:pPr>
    </w:p>
    <w:p>
      <w:pPr>
        <w:ind w:left="3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80" w:lineRule="exact"/>
        <w:rPr>
          <w:rFonts w:ascii="Times New Roman" w:cs="Times New Roman" w:eastAsia="Times New Roman" w:hAnsi="Times New Roman"/>
          <w:sz w:val="18"/>
          <w:szCs w:val="18"/>
          <w:b w:val="1"/>
          <w:bCs w:val="1"/>
          <w:color w:val="auto"/>
        </w:rPr>
      </w:pPr>
    </w:p>
    <w:p>
      <w:pPr>
        <w:ind w:lef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consolidated interim financial statements are presented in United States dollars except as otherwise indicated. All references to C$, CAD$ and CDN$ are to Canadian dollars.</w:t>
      </w:r>
    </w:p>
    <w:p>
      <w:pPr>
        <w:spacing w:after="0" w:line="9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161" w:lineRule="exact"/>
        <w:rPr>
          <w:rFonts w:ascii="Times New Roman" w:cs="Times New Roman" w:eastAsia="Times New Roman" w:hAnsi="Times New Roman"/>
          <w:sz w:val="18"/>
          <w:szCs w:val="18"/>
          <w:b w:val="1"/>
          <w:bCs w:val="1"/>
          <w:color w:val="auto"/>
        </w:rPr>
      </w:pPr>
    </w:p>
    <w:p>
      <w:pPr>
        <w:ind w:lef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significant accounting policies are described in Note 2 to the Company’s 2023 Form 10-K, filed with the SEC, on March 13, 2024. There have been no material changes to the Company’s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revenues are disaggregated as follows:</w:t>
      </w:r>
    </w:p>
    <w:p>
      <w:pPr>
        <w:spacing w:after="0" w:line="174" w:lineRule="exact"/>
        <w:rPr>
          <w:sz w:val="20"/>
          <w:szCs w:val="20"/>
          <w:color w:val="auto"/>
        </w:rPr>
      </w:pPr>
    </w:p>
    <w:tbl>
      <w:tblPr>
        <w:tblLayout w:type="fixed"/>
        <w:tblInd w:w="148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4"/>
          </w:tcPr>
          <w:p>
            <w:pPr>
              <w:jc w:val="right"/>
              <w:ind w:right="15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3"/>
        </w:trPr>
        <w:tc>
          <w:tcPr>
            <w:tcW w:w="3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3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Dispensary</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107,238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109,156</w:t>
            </w:r>
          </w:p>
        </w:tc>
      </w:tr>
      <w:tr>
        <w:trPr>
          <w:trHeight w:val="22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Cultivation and wholesale</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15,362</w:t>
            </w:r>
          </w:p>
        </w:tc>
      </w:tr>
      <w:tr>
        <w:trPr>
          <w:trHeight w:val="236"/>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20"/>
        </w:trPr>
        <w:tc>
          <w:tcPr>
            <w:tcW w:w="37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122,611</w:t>
            </w:r>
          </w:p>
        </w:tc>
        <w:tc>
          <w:tcPr>
            <w:tcW w:w="5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124,535</w:t>
            </w:r>
          </w:p>
        </w:tc>
      </w:tr>
      <w:tr>
        <w:trPr>
          <w:trHeight w:val="20"/>
        </w:trPr>
        <w:tc>
          <w:tcPr>
            <w:tcW w:w="3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-179070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March 31, 2023 the Company netted discounts of $36,379 and $33,225 respectively, against the revenues. Discounts are provided by the Company during promotional days or weekends. Discounts are also provided to employees, seniors and other categories of customers and may include price reductions and coupons.</w:t>
      </w:r>
    </w:p>
    <w:p>
      <w:pPr>
        <w:spacing w:after="0" w:line="1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tab/>
        <w:t>INVENTORY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inventory are shown in the table below:</w:t>
      </w:r>
    </w:p>
    <w:p>
      <w:pPr>
        <w:spacing w:after="0" w:line="174" w:lineRule="exact"/>
        <w:rPr>
          <w:sz w:val="20"/>
          <w:szCs w:val="20"/>
          <w:color w:val="auto"/>
        </w:rPr>
      </w:pPr>
    </w:p>
    <w:tbl>
      <w:tblPr>
        <w:tblLayout w:type="fixed"/>
        <w:tblInd w:w="132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Accessories and supplies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1,158</w:t>
            </w:r>
          </w:p>
        </w:tc>
      </w:tr>
      <w:tr>
        <w:trPr>
          <w:trHeight w:val="22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 - cannabis in cures and final vault</w:t>
            </w: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86,396</w:t>
            </w:r>
          </w:p>
        </w:tc>
      </w:tr>
      <w:tr>
        <w:trPr>
          <w:trHeight w:val="23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 - dried cannabis, concentrate and edible products</w:t>
            </w:r>
          </w:p>
        </w:tc>
        <w:tc>
          <w:tcPr>
            <w:tcW w:w="2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20,892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24,079</w:t>
            </w:r>
          </w:p>
        </w:tc>
      </w:tr>
      <w:tr>
        <w:trPr>
          <w:trHeight w:val="226"/>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111,498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111,633</w:t>
            </w:r>
          </w:p>
        </w:tc>
      </w:tr>
      <w:tr>
        <w:trPr>
          <w:trHeight w:val="20"/>
        </w:trPr>
        <w:tc>
          <w:tcPr>
            <w:tcW w:w="5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-179070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The inventory values are net of inventory write-downs as a result of obsolescence or unmarketability charged to cost of sales. As a result of certain restructuring efforts there was a $5,430 and $601 write-down during the three months ended March 31, 2024 and March 31, 2023 respectively.</w:t>
      </w:r>
    </w:p>
    <w:p>
      <w:pPr>
        <w:spacing w:after="0" w:line="200" w:lineRule="exact"/>
        <w:rPr>
          <w:sz w:val="20"/>
          <w:szCs w:val="20"/>
          <w:color w:val="auto"/>
        </w:rPr>
      </w:pPr>
    </w:p>
    <w:p>
      <w:pPr>
        <w:spacing w:after="0" w:line="282"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AND LONG-TERM DEBT</w:t>
      </w:r>
    </w:p>
    <w:p>
      <w:pPr>
        <w:spacing w:after="0" w:line="16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long-term obligations, net, are shown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80" w:type="dxa"/>
            <w:vAlign w:val="bottom"/>
            <w:shd w:val="clear" w:color="auto" w:fill="CFF0FC"/>
          </w:tcPr>
          <w:p>
            <w:pPr>
              <w:spacing w:after="0"/>
              <w:rPr>
                <w:sz w:val="19"/>
                <w:szCs w:val="19"/>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80" w:type="dxa"/>
            <w:vAlign w:val="bottom"/>
          </w:tcPr>
          <w:p>
            <w:pPr>
              <w:spacing w:after="0"/>
              <w:rPr>
                <w:sz w:val="19"/>
                <w:szCs w:val="19"/>
                <w:color w:val="auto"/>
              </w:rPr>
            </w:pPr>
          </w:p>
        </w:tc>
      </w:tr>
      <w:tr>
        <w:trPr>
          <w:trHeight w:val="239"/>
        </w:trPr>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1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80" w:type="dxa"/>
            <w:vAlign w:val="bottom"/>
          </w:tcPr>
          <w:p>
            <w:pPr>
              <w:spacing w:after="0"/>
              <w:rPr>
                <w:sz w:val="19"/>
                <w:szCs w:val="19"/>
                <w:color w:val="auto"/>
              </w:rPr>
            </w:pPr>
          </w:p>
        </w:tc>
      </w:tr>
      <w:tr>
        <w:trPr>
          <w:trHeight w:val="239"/>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1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43,356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80" w:type="dxa"/>
            <w:vAlign w:val="bottom"/>
            <w:shd w:val="clear" w:color="auto" w:fill="CFF0FC"/>
          </w:tcPr>
          <w:p>
            <w:pPr>
              <w:spacing w:after="0"/>
              <w:rPr>
                <w:sz w:val="20"/>
                <w:szCs w:val="20"/>
                <w:color w:val="auto"/>
              </w:rPr>
            </w:pPr>
          </w:p>
        </w:tc>
      </w:tr>
      <w:tr>
        <w:trPr>
          <w:trHeight w:val="223"/>
        </w:trPr>
        <w:tc>
          <w:tcPr>
            <w:tcW w:w="54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Acquisition related promissory notes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FF0FC"/>
            </w:tcBorders>
          </w:tcPr>
          <w:p>
            <w:pPr>
              <w:spacing w:after="0"/>
              <w:rPr>
                <w:sz w:val="19"/>
                <w:szCs w:val="19"/>
                <w:color w:val="auto"/>
              </w:rPr>
            </w:pPr>
          </w:p>
        </w:tc>
      </w:tr>
      <w:tr>
        <w:trPr>
          <w:trHeight w:val="230"/>
        </w:trPr>
        <w:tc>
          <w:tcPr>
            <w:tcW w:w="360" w:type="dxa"/>
            <w:vAlign w:val="bottom"/>
            <w:shd w:val="clear" w:color="auto" w:fill="CFF0FC"/>
          </w:tcPr>
          <w:p>
            <w:pPr>
              <w:spacing w:after="0"/>
              <w:rPr>
                <w:sz w:val="19"/>
                <w:szCs w:val="19"/>
                <w:color w:val="auto"/>
              </w:rPr>
            </w:pPr>
          </w:p>
        </w:tc>
        <w:tc>
          <w:tcPr>
            <w:tcW w:w="5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327,959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317,728</w:t>
            </w:r>
          </w:p>
        </w:tc>
        <w:tc>
          <w:tcPr>
            <w:tcW w:w="80" w:type="dxa"/>
            <w:vAlign w:val="bottom"/>
            <w:shd w:val="clear" w:color="auto" w:fill="CFF0FC"/>
          </w:tcPr>
          <w:p>
            <w:pPr>
              <w:spacing w:after="0"/>
              <w:rPr>
                <w:sz w:val="19"/>
                <w:szCs w:val="19"/>
                <w:color w:val="auto"/>
              </w:rPr>
            </w:pPr>
          </w:p>
        </w:tc>
      </w:tr>
      <w:tr>
        <w:trPr>
          <w:trHeight w:val="220"/>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Unamortized debt discount</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(10,743 )</w:t>
            </w:r>
          </w:p>
        </w:tc>
        <w:tc>
          <w:tcPr>
            <w:tcW w:w="10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(6,598 )</w:t>
            </w:r>
          </w:p>
        </w:tc>
      </w:tr>
      <w:tr>
        <w:trPr>
          <w:trHeight w:val="239"/>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Unamortized deferred financing costs</w:t>
            </w: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(7,697 )</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(7,747 )</w:t>
            </w:r>
          </w:p>
        </w:tc>
      </w:tr>
      <w:tr>
        <w:trPr>
          <w:trHeight w:val="213"/>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309,519</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303,383</w:t>
            </w:r>
          </w:p>
        </w:tc>
        <w:tc>
          <w:tcPr>
            <w:tcW w:w="80" w:type="dxa"/>
            <w:vAlign w:val="bottom"/>
          </w:tcPr>
          <w:p>
            <w:pPr>
              <w:spacing w:after="0"/>
              <w:rPr>
                <w:sz w:val="18"/>
                <w:szCs w:val="18"/>
                <w:color w:val="auto"/>
              </w:rPr>
            </w:pPr>
          </w:p>
        </w:tc>
      </w:tr>
      <w:tr>
        <w:trPr>
          <w:trHeight w:val="233"/>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 net*</w:t>
            </w: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(4,882 )</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(5,905 )</w:t>
            </w:r>
          </w:p>
        </w:tc>
      </w:tr>
      <w:tr>
        <w:trPr>
          <w:trHeight w:val="223"/>
        </w:trPr>
        <w:tc>
          <w:tcPr>
            <w:tcW w:w="54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304,637</w:t>
            </w: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297,478</w:t>
            </w:r>
          </w:p>
        </w:tc>
        <w:tc>
          <w:tcPr>
            <w:tcW w:w="80" w:type="dxa"/>
            <w:vAlign w:val="bottom"/>
            <w:tcBorders>
              <w:top w:val="single" w:sz="8" w:color="CFF0FC"/>
            </w:tcBorders>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-925195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-179070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jc w:val="both"/>
        <w:ind w:left="380" w:right="20"/>
        <w:spacing w:after="0" w:line="282" w:lineRule="auto"/>
        <w:rPr>
          <w:sz w:val="20"/>
          <w:szCs w:val="20"/>
          <w:color w:val="auto"/>
        </w:rPr>
      </w:pPr>
      <w:r>
        <w:rPr>
          <w:rFonts w:ascii="Times New Roman" w:cs="Times New Roman" w:eastAsia="Times New Roman" w:hAnsi="Times New Roman"/>
          <w:sz w:val="18"/>
          <w:szCs w:val="18"/>
          <w:color w:val="auto"/>
        </w:rPr>
        <w:t>*The current portion of the debt includes scheduled payments on the mortgage notes, acquisition related promissory notes and acquisition related notes payable, net of corresponding portions of the unamortized debt discount and unamortized deferred financing costs.</w:t>
      </w:r>
    </w:p>
    <w:p>
      <w:pPr>
        <w:spacing w:after="0" w:line="162"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and was not in default of any provisions under any of its debt arrangements as of March 31, 2024.</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described in Note 4 under the sub-heading “Term debt” of the Financial Statements incorporated by reference in the Company’s Form 10-K for the year ended December 31, 2023, on October 23, 2023, the Company retired $25 million of its 13% Notes due May 2024 (the “2024 Notes”) through a proportional redemption process.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2024 Notes require interest-only payments through May 14, 2024, at a rate of 13.0% per annum, payable semi-annually on May 31 and November 30, which commenced on November 30, 2020. The 2024 Notes are due in full on May 14, 2024. The Company incurred financing costs of $3,373 in connection with the issuance of these 2024 Notes. The 2024 Notes contain customary terms and conditions, representations and warranties, and events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are senior secured obligations of the Company and were issued at 80.0% of face value. The 2027 Notes accrue interest in arrears which is payable semi-annually and mature on March 19, 2027. In connection with the offering of the 2027 Notes, the Company exchanged $5,000 of the Company’s existing 6.0% 2025 Convertible Notes.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amount of the 2027 Convertible Notes and the conversion price are denominated in U.S. dollars. As the functional currency of the Company is Canadian dollars, the amount of the liability to be settled depends on the applicable foreign exchange rate on the date of settlement. The 2027 Convertible Notes therefore represent an obligation to issue a fixed number of shares for a variable amount of liability. Due to this conversion feature within the 2027 Convertible Notes, the Company is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$74,500.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w:t>
      </w:r>
    </w:p>
    <w:p>
      <w:pPr>
        <w:spacing w:after="0" w:line="1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5"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22, 2024, the Company entered into the Exchange Agreement with certain Holders of the Company’s 6.0% senior secured 2025 Convertible Notes, pursuant to which the Company agreed to the Repurchase of up to $25 million principal amount of the 2025 Convertible Notes in exchange for Common Shares (the “January 2024 Debt Exchange”).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333" w:lineRule="exact"/>
        <w:rPr>
          <w:sz w:val="20"/>
          <w:szCs w:val="20"/>
          <w:color w:val="auto"/>
        </w:rPr>
      </w:pPr>
    </w:p>
    <w:p>
      <w:pPr>
        <w:jc w:val="both"/>
        <w:ind w:left="640" w:right="20" w:hanging="503"/>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Notes in consideration of Common Shares issued at a price per Common Share equal to the greater of C$0.41 per Common Share and the 12.5% discount to the 5-day volume weighted average price of the Common Shares on Cboe prior to receipt of a Transfer notice;</w:t>
      </w:r>
    </w:p>
    <w:p>
      <w:pPr>
        <w:spacing w:after="0" w:line="67" w:lineRule="exact"/>
        <w:rPr>
          <w:rFonts w:ascii="Times New Roman" w:cs="Times New Roman" w:eastAsia="Times New Roman" w:hAnsi="Times New Roman"/>
          <w:sz w:val="18"/>
          <w:szCs w:val="18"/>
          <w:color w:val="auto"/>
        </w:rPr>
      </w:pPr>
    </w:p>
    <w:p>
      <w:pPr>
        <w:jc w:val="both"/>
        <w:ind w:left="640" w:hanging="503"/>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67" w:lineRule="exact"/>
        <w:rPr>
          <w:rFonts w:ascii="Times New Roman" w:cs="Times New Roman" w:eastAsia="Times New Roman" w:hAnsi="Times New Roman"/>
          <w:sz w:val="18"/>
          <w:szCs w:val="18"/>
          <w:color w:val="auto"/>
        </w:rPr>
      </w:pPr>
    </w:p>
    <w:p>
      <w:pPr>
        <w:jc w:val="both"/>
        <w:ind w:left="640" w:hanging="503"/>
        <w:spacing w:after="0" w:line="25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2024, transfer in three separate equal tranches, an aggregate of $15 million principal amount of 2025 Convertible Notes in consideration of Common Shares issued at a price per Common Share equal to the greater of C$0.57 per Common Share and the 12.5% discount to the 5-day volume weighted average price of the Common Shares on Cboe prior to receipt of a Transfer notice, in each case, subject to adjustment in certain instances, on or prior to June 30,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conditions are fulfilled and the Holders fail to Transfer their 2025 Convertible Notes in accordance with the terms of the Exchange Agreement, the Company has the right, but not the obligation, to require the Holders to Transfer some or all of the portion of the $25 million principal amount of 2025 Convertible Notes still held by the Holders. Assuming all of the conditions are fulfilled, and the entire $25 million principal amount of 2025 Convertible Notes are Transferred for Common Shares issued at the minimum prices set out in the Exchange Agreement, a maximum of 68,564,698 Common Shares would be issued in connection with the Repurchase. Through March 31, 2024, $10 million of the potential $25 million exchange has been completed.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$20,000 mortgage on real property in New York and carries interest at a variable rate per annum equal to the Wall Street Prime Rate (“Index”) plus 2.25%. The debt is repayable in 59 monthly installments and a final balloon payment due on January 1, 2027, which is estimated at $18,133 as of September 30, 2023. In connection with this mortgage, the Company incurred financing costs of $655.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$16,500 mortgage on real property in New Jersey and carries interest at a variable rate per annum equal to the Index plus 2.25%. The debt is repayable in 59 monthly installments and a final balloon payment due on July 15, 2027, which is estimated at $15,734 as of September 30, 2023. In connection with this mortgage, the Company incurred financing costs of $209.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117" w:lineRule="exact"/>
        <w:rPr>
          <w:sz w:val="20"/>
          <w:szCs w:val="20"/>
          <w:color w:val="auto"/>
        </w:rPr>
      </w:pPr>
    </w:p>
    <w:p>
      <w:pPr>
        <w:jc w:val="both"/>
        <w:ind w:left="640" w:hanging="503"/>
        <w:spacing w:after="0" w:line="266" w:lineRule="auto"/>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1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5" w:right="339" w:bottom="1440" w:gutter="0" w:footer="0" w:header="0"/>
        </w:sectPr>
      </w:pPr>
    </w:p>
    <w:bookmarkStart w:id="11" w:name="page12"/>
    <w:bookmarkEnd w:id="11"/>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second agreement provides for $1,800 mortgage on real property in Delaware and carries interest at a variable rate per annum equal to the Index plus 2.25%. The debt is repayable in 59 monthly installments and matures in August 2028. In connection with this mortgage</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incurred financing costs of $77 and netted $1,723.</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interest and amortization expense on the Company’s debt obligations during the three months ended March 31, 2024 and 2023 are as follows:</w:t>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3"/>
        </w:trPr>
        <w:tc>
          <w:tcPr>
            <w:tcW w:w="5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on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7,315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10,395</w:t>
            </w:r>
          </w:p>
        </w:tc>
      </w:tr>
      <w:tr>
        <w:trPr>
          <w:trHeight w:val="22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1,376</w:t>
            </w:r>
          </w:p>
        </w:tc>
      </w:tr>
      <w:tr>
        <w:trPr>
          <w:trHeight w:val="23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debt premium</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2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941</w:t>
            </w:r>
          </w:p>
        </w:tc>
      </w:tr>
      <w:tr>
        <w:trPr>
          <w:trHeight w:val="23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interest (expense) income, net</w:t>
            </w: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expense,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12,573</w:t>
            </w:r>
          </w:p>
        </w:tc>
      </w:tr>
      <w:tr>
        <w:trPr>
          <w:trHeight w:val="20"/>
        </w:trPr>
        <w:tc>
          <w:tcPr>
            <w:tcW w:w="5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-179070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9.06%.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property and equipment and related depreciation expense are summarized in the tables below:</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and buildings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c>
          <w:tcPr>
            <w:tcW w:w="2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c>
          <w:tcPr>
            <w:tcW w:w="80" w:type="dxa"/>
            <w:vAlign w:val="bottom"/>
            <w:shd w:val="clear" w:color="auto" w:fill="CFF0FC"/>
          </w:tcPr>
          <w:p>
            <w:pPr>
              <w:spacing w:after="0"/>
              <w:rPr>
                <w:sz w:val="19"/>
                <w:szCs w:val="19"/>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10,981</w:t>
            </w:r>
          </w:p>
        </w:tc>
        <w:tc>
          <w:tcPr>
            <w:tcW w:w="8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Equipment</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43,123</w:t>
            </w:r>
          </w:p>
        </w:tc>
        <w:tc>
          <w:tcPr>
            <w:tcW w:w="80" w:type="dxa"/>
            <w:vAlign w:val="bottom"/>
            <w:shd w:val="clear" w:color="auto" w:fill="CFF0FC"/>
          </w:tcPr>
          <w:p>
            <w:pPr>
              <w:spacing w:after="0"/>
              <w:rPr>
                <w:sz w:val="20"/>
                <w:szCs w:val="20"/>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Computers and software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236,976</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207,846</w:t>
            </w:r>
          </w:p>
        </w:tc>
        <w:tc>
          <w:tcPr>
            <w:tcW w:w="80" w:type="dxa"/>
            <w:vAlign w:val="bottom"/>
            <w:shd w:val="clear" w:color="auto" w:fill="CFF0FC"/>
          </w:tcPr>
          <w:p>
            <w:pPr>
              <w:spacing w:after="0"/>
              <w:rPr>
                <w:sz w:val="20"/>
                <w:szCs w:val="20"/>
                <w:color w:val="auto"/>
              </w:rPr>
            </w:pPr>
          </w:p>
        </w:tc>
      </w:tr>
      <w:tr>
        <w:trPr>
          <w:trHeight w:val="22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33,429</w:t>
            </w:r>
          </w:p>
        </w:tc>
        <w:tc>
          <w:tcPr>
            <w:tcW w:w="80" w:type="dxa"/>
            <w:vAlign w:val="bottom"/>
          </w:tcPr>
          <w:p>
            <w:pPr>
              <w:spacing w:after="0"/>
              <w:rPr>
                <w:sz w:val="19"/>
                <w:szCs w:val="19"/>
                <w:color w:val="auto"/>
              </w:rPr>
            </w:pPr>
          </w:p>
        </w:tc>
      </w:tr>
      <w:tr>
        <w:trPr>
          <w:trHeight w:val="226"/>
        </w:trPr>
        <w:tc>
          <w:tcPr>
            <w:tcW w:w="5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gross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415,654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414,689</w:t>
            </w:r>
          </w:p>
        </w:tc>
        <w:tc>
          <w:tcPr>
            <w:tcW w:w="80" w:type="dxa"/>
            <w:vAlign w:val="bottom"/>
            <w:shd w:val="clear" w:color="auto" w:fill="CFF0FC"/>
          </w:tcPr>
          <w:p>
            <w:pPr>
              <w:spacing w:after="0"/>
              <w:rPr>
                <w:sz w:val="19"/>
                <w:szCs w:val="19"/>
                <w:color w:val="auto"/>
              </w:rPr>
            </w:pPr>
          </w:p>
        </w:tc>
      </w:tr>
      <w:tr>
        <w:trPr>
          <w:trHeight w:val="227"/>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(124,529 )</w:t>
            </w:r>
          </w:p>
        </w:tc>
        <w:tc>
          <w:tcPr>
            <w:tcW w:w="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(116,191 )</w:t>
            </w:r>
          </w:p>
        </w:tc>
      </w:tr>
      <w:tr>
        <w:trPr>
          <w:trHeight w:val="266"/>
        </w:trPr>
        <w:tc>
          <w:tcPr>
            <w:tcW w:w="5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291,125</w:t>
            </w:r>
          </w:p>
        </w:tc>
        <w:tc>
          <w:tcPr>
            <w:tcW w:w="2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298,498</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8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3"/>
        </w:trPr>
        <w:tc>
          <w:tcPr>
            <w:tcW w:w="5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depreciation expense for three months ended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8,338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7,853</w:t>
            </w:r>
          </w:p>
        </w:tc>
        <w:tc>
          <w:tcPr>
            <w:tcW w:w="100" w:type="dxa"/>
            <w:vAlign w:val="bottom"/>
            <w:shd w:val="clear" w:color="auto" w:fill="CFF0FC"/>
          </w:tcPr>
          <w:p>
            <w:pPr>
              <w:spacing w:after="0"/>
              <w:rPr>
                <w:sz w:val="19"/>
                <w:szCs w:val="19"/>
                <w:color w:val="auto"/>
              </w:rPr>
            </w:pPr>
          </w:p>
        </w:tc>
      </w:tr>
      <w:tr>
        <w:trPr>
          <w:trHeight w:val="22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Included in: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of sales related to inventory production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5,201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shd w:val="clear" w:color="auto" w:fill="CFF0FC"/>
          </w:tcPr>
          <w:p>
            <w:pPr>
              <w:spacing w:after="0"/>
              <w:rPr>
                <w:sz w:val="20"/>
                <w:szCs w:val="20"/>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prepaid expenses and other current assets are summarized in the table below:</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5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9,899</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8,486</w:t>
            </w:r>
          </w:p>
        </w:tc>
      </w:tr>
      <w:tr>
        <w:trPr>
          <w:trHeight w:val="22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 term deposits</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1,148</w:t>
            </w:r>
          </w:p>
        </w:tc>
      </w:tr>
      <w:tr>
        <w:trPr>
          <w:trHeight w:val="23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11,937</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12,023</w:t>
            </w:r>
          </w:p>
        </w:tc>
      </w:tr>
      <w:tr>
        <w:trPr>
          <w:trHeight w:val="22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and sales tax receivable</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w:t>
            </w:r>
          </w:p>
        </w:tc>
      </w:tr>
      <w:tr>
        <w:trPr>
          <w:trHeight w:val="23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taxes</w:t>
            </w: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753</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23,599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22,777</w:t>
            </w: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240" w:type="dxa"/>
            <w:vAlign w:val="bottom"/>
          </w:tcPr>
          <w:p>
            <w:pPr>
              <w:spacing w:after="0"/>
              <w:rPr>
                <w:sz w:val="24"/>
                <w:szCs w:val="24"/>
                <w:color w:val="auto"/>
              </w:rPr>
            </w:pPr>
          </w:p>
        </w:tc>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Details of the Company’s other non-current assets are summarized in the table below:</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24"/>
                <w:szCs w:val="24"/>
                <w:color w:val="auto"/>
              </w:rPr>
            </w:pPr>
          </w:p>
        </w:tc>
        <w:tc>
          <w:tcPr>
            <w:tcW w:w="15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deposits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8,686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8,686</w:t>
            </w:r>
          </w:p>
        </w:tc>
      </w:tr>
      <w:tr>
        <w:trPr>
          <w:trHeight w:val="220"/>
        </w:trPr>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1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w:t>
            </w:r>
          </w:p>
        </w:tc>
      </w:tr>
      <w:tr>
        <w:trPr>
          <w:trHeight w:val="239"/>
        </w:trPr>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3,573</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3,573</w:t>
            </w:r>
          </w:p>
        </w:tc>
      </w:tr>
      <w:tr>
        <w:trPr>
          <w:trHeight w:val="223"/>
        </w:trPr>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7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2,065</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2,082</w:t>
            </w:r>
          </w:p>
        </w:tc>
      </w:tr>
      <w:tr>
        <w:trPr>
          <w:trHeight w:val="263"/>
        </w:trPr>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15,099</w:t>
            </w:r>
          </w:p>
        </w:tc>
        <w:tc>
          <w:tcPr>
            <w:tcW w:w="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15,116</w:t>
            </w:r>
          </w:p>
        </w:tc>
      </w:tr>
      <w:tr>
        <w:trPr>
          <w:trHeight w:val="352"/>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-256540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-239395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-410845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Company’s accrued expenses and other current liabilities are summarized in the table below:</w:t>
      </w:r>
    </w:p>
    <w:p>
      <w:pPr>
        <w:spacing w:after="0" w:line="174"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5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 property and other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12,067</w:t>
            </w:r>
          </w:p>
        </w:tc>
      </w:tr>
      <w:tr>
        <w:trPr>
          <w:trHeight w:val="220"/>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6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26,323</w:t>
            </w:r>
          </w:p>
        </w:tc>
      </w:tr>
      <w:tr>
        <w:trPr>
          <w:trHeight w:val="23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Payroll liabilities</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10,994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13,260</w:t>
            </w:r>
          </w:p>
        </w:tc>
      </w:tr>
      <w:tr>
        <w:trPr>
          <w:trHeight w:val="223"/>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8,349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7,009</w:t>
            </w:r>
          </w:p>
        </w:tc>
      </w:tr>
      <w:tr>
        <w:trPr>
          <w:trHeight w:val="26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51,289</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58,659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-179070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As of March 31, 2024, other accrued expenses include approximately $14,529 relating to a combination of indemnification claims, notices and demand letters received by the Company, including, without limitation, potential disputes arising out of the Green Leaf Transaction, together with a general accrual for estimated fees anticipated to close these matters. The outcome of any of these matters cannot yet be determined with any certainty and the Company will continue to rigorously defend any claims made against it.</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SHAREHOLDERS’ EQUITY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had the following activity during the three months ended March 31, 2024:</w:t>
      </w:r>
    </w:p>
    <w:p>
      <w:pPr>
        <w:spacing w:after="0" w:line="333" w:lineRule="exact"/>
        <w:rPr>
          <w:sz w:val="20"/>
          <w:szCs w:val="20"/>
          <w:color w:val="auto"/>
        </w:rPr>
      </w:pPr>
    </w:p>
    <w:p>
      <w:pPr>
        <w:ind w:left="1020" w:hanging="503"/>
        <w:spacing w:after="0"/>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25,845,259 Common Shares in connection with the January 2024 Debt Exchange (as defined below and further detailed in Note 4).</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2024 and December 31, 2023, outstanding equity-classified warrants to purchase Common Shares consisted of the following:</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0"/>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Issued and</w:t>
            </w:r>
          </w:p>
        </w:tc>
        <w:tc>
          <w:tcPr>
            <w:tcW w:w="140" w:type="dxa"/>
            <w:vAlign w:val="bottom"/>
          </w:tcPr>
          <w:p>
            <w:pPr>
              <w:spacing w:after="0"/>
              <w:rPr>
                <w:sz w:val="17"/>
                <w:szCs w:val="17"/>
                <w:color w:val="auto"/>
              </w:rPr>
            </w:pPr>
          </w:p>
        </w:tc>
        <w:tc>
          <w:tcPr>
            <w:tcW w:w="174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Issued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25"/>
        </w:trPr>
        <w:tc>
          <w:tcPr>
            <w:tcW w:w="1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60" w:type="dxa"/>
            <w:vAlign w:val="bottom"/>
          </w:tcPr>
          <w:p>
            <w:pPr>
              <w:spacing w:after="0"/>
              <w:rPr>
                <w:sz w:val="19"/>
                <w:szCs w:val="19"/>
                <w:color w:val="auto"/>
              </w:rPr>
            </w:pPr>
          </w:p>
        </w:tc>
        <w:tc>
          <w:tcPr>
            <w:tcW w:w="15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40" w:type="dxa"/>
            <w:vAlign w:val="bottom"/>
          </w:tcPr>
          <w:p>
            <w:pPr>
              <w:spacing w:after="0"/>
              <w:rPr>
                <w:sz w:val="19"/>
                <w:szCs w:val="19"/>
                <w:color w:val="auto"/>
              </w:rPr>
            </w:pPr>
          </w:p>
        </w:tc>
        <w:tc>
          <w:tcPr>
            <w:tcW w:w="174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(Canadian Dollars)</w:t>
            </w:r>
          </w:p>
        </w:tc>
      </w:tr>
      <w:tr>
        <w:trPr>
          <w:trHeight w:val="230"/>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21,2026</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11,122,105</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1.96</w:t>
            </w:r>
          </w:p>
        </w:tc>
        <w:tc>
          <w:tcPr>
            <w:tcW w:w="15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11,122,105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r>
      <w:tr>
        <w:trPr>
          <w:trHeight w:val="220"/>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1, 2025</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648,783</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8.12</w:t>
            </w:r>
          </w:p>
        </w:tc>
        <w:tc>
          <w:tcPr>
            <w:tcW w:w="1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648,783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8.12</w:t>
            </w:r>
          </w:p>
        </w:tc>
      </w:tr>
      <w:tr>
        <w:trPr>
          <w:trHeight w:val="239"/>
        </w:trPr>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April 26, 2024</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5,394,945</w:t>
            </w:r>
          </w:p>
        </w:tc>
        <w:tc>
          <w:tcPr>
            <w:tcW w:w="1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10.35</w:t>
            </w:r>
          </w:p>
        </w:tc>
        <w:tc>
          <w:tcPr>
            <w:tcW w:w="15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5,394,945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10.35</w:t>
            </w:r>
          </w:p>
        </w:tc>
      </w:tr>
      <w:tr>
        <w:trPr>
          <w:trHeight w:val="223"/>
        </w:trPr>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17,165,833</w:t>
            </w:r>
          </w:p>
        </w:tc>
        <w:tc>
          <w:tcPr>
            <w:tcW w:w="1880" w:type="dxa"/>
            <w:vAlign w:val="bottom"/>
            <w:gridSpan w:val="2"/>
          </w:tcPr>
          <w:p>
            <w:pPr>
              <w:jc w:val="right"/>
              <w:ind w:right="15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17,165,833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r>
      <w:tr>
        <w:trPr>
          <w:trHeight w:val="20"/>
        </w:trPr>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18"/>
          <w:szCs w:val="18"/>
          <w:color w:val="auto"/>
        </w:rPr>
        <w:t>Warrant activity for the three months ended March 31, 2024 and 2023 are summarized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9"/>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76"/>
        </w:trPr>
        <w:tc>
          <w:tcPr>
            <w:tcW w:w="466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(Canadian Dollars)</w:t>
            </w: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20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11,482,766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7.22</w:t>
            </w: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6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w:t>
            </w:r>
          </w:p>
        </w:tc>
        <w:tc>
          <w:tcPr>
            <w:tcW w:w="16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(1,723,250 )</w:t>
            </w:r>
          </w:p>
        </w:tc>
        <w:tc>
          <w:tcPr>
            <w:tcW w:w="1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3.10</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20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9,759,516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7.95</w:t>
            </w: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17,165,833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6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w:t>
            </w:r>
          </w:p>
        </w:tc>
        <w:tc>
          <w:tcPr>
            <w:tcW w:w="16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20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17,165,833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4.83</w:t>
            </w: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LOSS PER SHARE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attributable to the Company was calculated as follows:</w:t>
      </w:r>
    </w:p>
    <w:p>
      <w:pPr>
        <w:spacing w:after="0" w:line="174" w:lineRule="exact"/>
        <w:rPr>
          <w:sz w:val="20"/>
          <w:szCs w:val="20"/>
          <w:color w:val="auto"/>
        </w:rPr>
      </w:pPr>
    </w:p>
    <w:tbl>
      <w:tblPr>
        <w:tblLayout w:type="fixed"/>
        <w:tblInd w:w="130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3"/>
        </w:trPr>
        <w:tc>
          <w:tcPr>
            <w:tcW w:w="5800" w:type="dxa"/>
            <w:vAlign w:val="bottom"/>
          </w:tcPr>
          <w:p>
            <w:pPr>
              <w:spacing w:after="0"/>
              <w:rPr>
                <w:sz w:val="19"/>
                <w:szCs w:val="19"/>
                <w:color w:val="auto"/>
              </w:rPr>
            </w:pP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19"/>
                <w:szCs w:val="19"/>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(34,568 )</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(36,572 )</w:t>
            </w:r>
          </w:p>
        </w:tc>
        <w:tc>
          <w:tcPr>
            <w:tcW w:w="12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3"/>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(35,073 )</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(37,340 )</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445,633,865</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401,438,546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(0.08 )</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-796290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-796290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-179705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-179705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Certain share-based equity awards were excluded from the computation of dilutive loss per share because inclusion of these awards would have had an anti-dilutive effect.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62"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06"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left="380" w:right="5400" w:hanging="372"/>
        <w:spacing w:after="0" w:line="417" w:lineRule="auto"/>
        <w:tabs>
          <w:tab w:leader="none" w:pos="32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FAIR VALUE MEASUREMENTS </w:t>
      </w:r>
      <w:r>
        <w:rPr>
          <w:rFonts w:ascii="Times New Roman" w:cs="Times New Roman" w:eastAsia="Times New Roman" w:hAnsi="Times New Roman"/>
          <w:sz w:val="18"/>
          <w:szCs w:val="18"/>
          <w:i w:val="1"/>
          <w:iCs w:val="1"/>
          <w:u w:val="single" w:color="auto"/>
          <w:color w:val="auto"/>
        </w:rPr>
        <w:t>Fair Value Measurements</w:t>
      </w: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financial instruments that are measured at fair value on a recurring basis: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(2,466 )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(2,466 )</w:t>
            </w:r>
          </w:p>
        </w:tc>
      </w:tr>
      <w:tr>
        <w:trPr>
          <w:trHeight w:val="259"/>
        </w:trPr>
        <w:tc>
          <w:tcPr>
            <w:tcW w:w="46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(2,466 )</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(2,466 )</w:t>
            </w:r>
          </w:p>
        </w:tc>
      </w:tr>
      <w:tr>
        <w:trPr>
          <w:trHeight w:val="217"/>
        </w:trPr>
        <w:tc>
          <w:tcPr>
            <w:tcW w:w="46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60"/>
        </w:trPr>
        <w:tc>
          <w:tcPr>
            <w:tcW w:w="46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-642620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-625475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-642620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-625475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-642620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-625475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period included in these financial statements, there were no transfers of amounts between levels.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valuation techniques and key inputs used in the fair value measurement of Level 3 financial instruments: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2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Financial asset/financial</w:t>
            </w:r>
          </w:p>
        </w:tc>
        <w:tc>
          <w:tcPr>
            <w:tcW w:w="19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21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Relationship of unobservable</w:t>
            </w:r>
          </w:p>
        </w:tc>
        <w:tc>
          <w:tcPr>
            <w:tcW w:w="0" w:type="dxa"/>
            <w:vAlign w:val="bottom"/>
          </w:tcPr>
          <w:p>
            <w:pPr>
              <w:spacing w:after="0"/>
              <w:rPr>
                <w:sz w:val="1"/>
                <w:szCs w:val="1"/>
                <w:color w:val="auto"/>
              </w:rPr>
            </w:pPr>
          </w:p>
        </w:tc>
      </w:tr>
      <w:tr>
        <w:trPr>
          <w:trHeight w:val="104"/>
        </w:trPr>
        <w:tc>
          <w:tcPr>
            <w:tcW w:w="224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liability</w:t>
            </w:r>
          </w:p>
        </w:tc>
        <w:tc>
          <w:tcPr>
            <w:tcW w:w="1960" w:type="dxa"/>
            <w:vAlign w:val="bottom"/>
            <w:vMerge w:val="continue"/>
          </w:tcPr>
          <w:p>
            <w:pPr>
              <w:spacing w:after="0"/>
              <w:rPr>
                <w:sz w:val="9"/>
                <w:szCs w:val="9"/>
                <w:color w:val="auto"/>
              </w:rPr>
            </w:pPr>
          </w:p>
        </w:tc>
        <w:tc>
          <w:tcPr>
            <w:tcW w:w="210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to fair value</w:t>
            </w:r>
          </w:p>
        </w:tc>
        <w:tc>
          <w:tcPr>
            <w:tcW w:w="0" w:type="dxa"/>
            <w:vAlign w:val="bottom"/>
          </w:tcPr>
          <w:p>
            <w:pPr>
              <w:spacing w:after="0"/>
              <w:rPr>
                <w:sz w:val="1"/>
                <w:szCs w:val="1"/>
                <w:color w:val="auto"/>
              </w:rPr>
            </w:pPr>
          </w:p>
        </w:tc>
      </w:tr>
      <w:tr>
        <w:trPr>
          <w:trHeight w:val="118"/>
        </w:trPr>
        <w:tc>
          <w:tcPr>
            <w:tcW w:w="22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Derivative liability</w:t>
            </w:r>
          </w:p>
        </w:tc>
        <w:tc>
          <w:tcPr>
            <w:tcW w:w="1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Market approach</w:t>
            </w:r>
          </w:p>
        </w:tc>
        <w:tc>
          <w:tcPr>
            <w:tcW w:w="2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Conversion Period</w:t>
            </w: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or decrease in conversion</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period will result in an increase or</w:t>
            </w: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 in fair value</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restricted cash, accounts receivable, and other current assets, accounts payable, accrued expenses, and other current liabilities, current portion of long-term debt and lease liability as of March 31, 2024 and December 31, 2023 approximate their fair values because of the short-term nature of these items and are not included in the table above. The Company’s other long-term liabilities and long-term debt approximate fair value due to the market rate of interest used on initial recognition.</w:t>
      </w:r>
    </w:p>
    <w:p>
      <w:pPr>
        <w:spacing w:after="0" w:line="112"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March 31, 2024 and December 31, 2023. These estimates require management's judgment and may not be indicative of the future fair values of the assets and liabilities.</w:t>
      </w:r>
    </w:p>
    <w:p>
      <w:pPr>
        <w:spacing w:after="0" w:line="200" w:lineRule="exact"/>
        <w:rPr>
          <w:sz w:val="20"/>
          <w:szCs w:val="20"/>
          <w:color w:val="auto"/>
        </w:rPr>
      </w:pPr>
    </w:p>
    <w:p>
      <w:pPr>
        <w:spacing w:after="0" w:line="300" w:lineRule="exact"/>
        <w:rPr>
          <w:sz w:val="20"/>
          <w:szCs w:val="20"/>
          <w:color w:val="auto"/>
        </w:rPr>
      </w:pPr>
    </w:p>
    <w:p>
      <w:pPr>
        <w:ind w:left="380" w:right="6840" w:hanging="372"/>
        <w:spacing w:after="0" w:line="426" w:lineRule="auto"/>
        <w:tabs>
          <w:tab w:leader="none" w:pos="32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Goodwill and intangible assets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19,274</w:t>
            </w:r>
          </w:p>
        </w:tc>
        <w:tc>
          <w:tcPr>
            <w:tcW w:w="1240" w:type="dxa"/>
            <w:vAlign w:val="bottom"/>
          </w:tcPr>
          <w:p>
            <w:pPr>
              <w:spacing w:after="0"/>
              <w:rPr>
                <w:sz w:val="19"/>
                <w:szCs w:val="19"/>
                <w:color w:val="auto"/>
              </w:rPr>
            </w:pPr>
          </w:p>
        </w:tc>
      </w:tr>
      <w:tr>
        <w:trPr>
          <w:trHeight w:val="226"/>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impairment on goodwill</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(19,274 )</w:t>
            </w:r>
          </w:p>
        </w:tc>
        <w:tc>
          <w:tcPr>
            <w:tcW w:w="1240" w:type="dxa"/>
            <w:vAlign w:val="bottom"/>
          </w:tcPr>
          <w:p>
            <w:pPr>
              <w:spacing w:after="0"/>
              <w:rPr>
                <w:sz w:val="19"/>
                <w:szCs w:val="19"/>
                <w:color w:val="auto"/>
              </w:rPr>
            </w:pPr>
          </w:p>
        </w:tc>
      </w:tr>
      <w:tr>
        <w:trPr>
          <w:trHeight w:val="266"/>
        </w:trPr>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goodwill, net</w:t>
            </w:r>
          </w:p>
        </w:tc>
        <w:tc>
          <w:tcPr>
            <w:tcW w:w="15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56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23"/>
                <w:szCs w:val="23"/>
                <w:color w:val="auto"/>
              </w:rPr>
            </w:pP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108,371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108,700</w:t>
            </w:r>
          </w:p>
        </w:tc>
        <w:tc>
          <w:tcPr>
            <w:tcW w:w="1240" w:type="dxa"/>
            <w:vAlign w:val="bottom"/>
          </w:tcPr>
          <w:p>
            <w:pPr>
              <w:spacing w:after="0"/>
              <w:rPr>
                <w:sz w:val="19"/>
                <w:szCs w:val="19"/>
                <w:color w:val="auto"/>
              </w:rPr>
            </w:pPr>
          </w:p>
        </w:tc>
      </w:tr>
      <w:tr>
        <w:trPr>
          <w:trHeight w:val="220"/>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Trademarks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45,936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45,936</w:t>
            </w:r>
          </w:p>
        </w:tc>
        <w:tc>
          <w:tcPr>
            <w:tcW w:w="124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15,263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15,263</w:t>
            </w:r>
          </w:p>
        </w:tc>
        <w:tc>
          <w:tcPr>
            <w:tcW w:w="124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169,570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169,899</w:t>
            </w:r>
          </w:p>
        </w:tc>
        <w:tc>
          <w:tcPr>
            <w:tcW w:w="1240" w:type="dxa"/>
            <w:vAlign w:val="bottom"/>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(96,393 )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(93,132 )</w:t>
            </w:r>
          </w:p>
        </w:tc>
        <w:tc>
          <w:tcPr>
            <w:tcW w:w="1240" w:type="dxa"/>
            <w:vAlign w:val="bottom"/>
          </w:tcPr>
          <w:p>
            <w:pPr>
              <w:spacing w:after="0"/>
              <w:rPr>
                <w:sz w:val="20"/>
                <w:szCs w:val="20"/>
                <w:color w:val="auto"/>
              </w:rPr>
            </w:pPr>
          </w:p>
        </w:tc>
      </w:tr>
      <w:tr>
        <w:trPr>
          <w:trHeight w:val="226"/>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7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73,177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76,767</w:t>
            </w:r>
          </w:p>
        </w:tc>
        <w:tc>
          <w:tcPr>
            <w:tcW w:w="12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45"/>
        </w:trPr>
        <w:tc>
          <w:tcPr>
            <w:tcW w:w="8280" w:type="dxa"/>
            <w:vAlign w:val="bottom"/>
            <w:gridSpan w:val="8"/>
          </w:tcPr>
          <w:p>
            <w:pPr>
              <w:jc w:val="right"/>
              <w:ind w:right="1080"/>
              <w:spacing w:after="0"/>
              <w:rPr>
                <w:sz w:val="20"/>
                <w:szCs w:val="20"/>
                <w:color w:val="auto"/>
              </w:rPr>
            </w:pPr>
            <w:r>
              <w:rPr>
                <w:rFonts w:ascii="Times New Roman" w:cs="Times New Roman" w:eastAsia="Times New Roman" w:hAnsi="Times New Roman"/>
                <w:sz w:val="18"/>
                <w:szCs w:val="18"/>
                <w:color w:val="auto"/>
              </w:rPr>
              <w:t>The amortization expense for the three months ended March 31, 2024 and 2023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expenses</w:t>
            </w:r>
          </w:p>
        </w:tc>
        <w:tc>
          <w:tcPr>
            <w:tcW w:w="15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4,803</w:t>
            </w:r>
          </w:p>
        </w:tc>
        <w:tc>
          <w:tcPr>
            <w:tcW w:w="1240" w:type="dxa"/>
            <w:vAlign w:val="bottom"/>
          </w:tcPr>
          <w:p>
            <w:pPr>
              <w:spacing w:after="0"/>
              <w:rPr>
                <w:sz w:val="19"/>
                <w:szCs w:val="19"/>
                <w:color w:val="auto"/>
              </w:rPr>
            </w:pPr>
          </w:p>
        </w:tc>
      </w:tr>
      <w:tr>
        <w:trPr>
          <w:trHeight w:val="864"/>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-2914015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-2896870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-2305050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-2005330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15. SELLING, GENERAL AND ADMINISTRATIVE EXPENSES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are summarized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Borders>
              <w:bottom w:val="single" w:sz="8" w:color="auto"/>
            </w:tcBorders>
          </w:tcPr>
          <w:p>
            <w:pPr>
              <w:spacing w:after="0"/>
              <w:rPr>
                <w:sz w:val="19"/>
                <w:szCs w:val="19"/>
                <w:color w:val="auto"/>
              </w:rPr>
            </w:pPr>
          </w:p>
        </w:tc>
      </w:tr>
      <w:tr>
        <w:trPr>
          <w:trHeight w:val="223"/>
        </w:trPr>
        <w:tc>
          <w:tcPr>
            <w:tcW w:w="618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3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25,774</w:t>
            </w:r>
          </w:p>
        </w:tc>
        <w:tc>
          <w:tcPr>
            <w:tcW w:w="820" w:type="dxa"/>
            <w:vAlign w:val="bottom"/>
            <w:gridSpan w:val="2"/>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28,566</w:t>
            </w: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3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2,556</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2,853</w:t>
            </w: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7,080</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8,589</w:t>
            </w: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Operating facilities costs</w:t>
            </w:r>
          </w:p>
        </w:tc>
        <w:tc>
          <w:tcPr>
            <w:tcW w:w="3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11,080</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10,284</w:t>
            </w: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office and general expenses</w:t>
            </w:r>
          </w:p>
        </w:tc>
        <w:tc>
          <w:tcPr>
            <w:tcW w:w="3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5,372</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2,213</w:t>
            </w: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Advertising and promotion</w:t>
            </w:r>
          </w:p>
        </w:tc>
        <w:tc>
          <w:tcPr>
            <w:tcW w:w="3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1,005</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1,939</w:t>
            </w:r>
          </w:p>
        </w:tc>
      </w:tr>
      <w:tr>
        <w:trPr>
          <w:trHeight w:val="23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fees and expenses</w:t>
            </w:r>
          </w:p>
        </w:tc>
        <w:tc>
          <w:tcPr>
            <w:tcW w:w="3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906</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selling, general and administrative expenses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53,273</w:t>
            </w:r>
          </w:p>
        </w:tc>
        <w:tc>
          <w:tcPr>
            <w:tcW w:w="82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55,350</w:t>
            </w:r>
          </w:p>
        </w:tc>
      </w:tr>
      <w:tr>
        <w:trPr>
          <w:trHeight w:val="20"/>
        </w:trPr>
        <w:tc>
          <w:tcPr>
            <w:tcW w:w="6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-179070</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 EXPENSE, NET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expense, net is summarized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8"/>
                <w:szCs w:val="18"/>
                <w:color w:val="auto"/>
              </w:rPr>
            </w:pPr>
          </w:p>
        </w:tc>
      </w:tr>
      <w:tr>
        <w:trPr>
          <w:trHeight w:val="243"/>
        </w:trPr>
        <w:tc>
          <w:tcPr>
            <w:tcW w:w="6180" w:type="dxa"/>
            <w:vAlign w:val="bottom"/>
          </w:tcPr>
          <w:p>
            <w:pPr>
              <w:spacing w:after="0"/>
              <w:rPr>
                <w:sz w:val="21"/>
                <w:szCs w:val="21"/>
                <w:color w:val="auto"/>
              </w:rPr>
            </w:pPr>
          </w:p>
        </w:tc>
        <w:tc>
          <w:tcPr>
            <w:tcW w:w="134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21"/>
                <w:szCs w:val="21"/>
                <w:color w:val="auto"/>
              </w:rPr>
            </w:pPr>
          </w:p>
        </w:tc>
        <w:tc>
          <w:tcPr>
            <w:tcW w:w="13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the derivative liability</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2,347</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Loss on deconsolidation</w:t>
            </w:r>
          </w:p>
        </w:tc>
        <w:tc>
          <w:tcPr>
            <w:tcW w:w="3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2,473</w:t>
            </w: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3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2,576</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3,178</w:t>
            </w: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of group</w:t>
            </w:r>
          </w:p>
        </w:tc>
        <w:tc>
          <w:tcPr>
            <w:tcW w:w="3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(600 )</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Rental income</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(842 )</w:t>
            </w:r>
          </w:p>
        </w:tc>
      </w:tr>
      <w:tr>
        <w:trPr>
          <w:trHeight w:val="26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(income) expense, net</w:t>
            </w: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4,990</w:t>
            </w:r>
          </w:p>
        </w:tc>
        <w:tc>
          <w:tcPr>
            <w:tcW w:w="14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97"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During 2022, the Company implemented three separate rounds of restructuring initiatives. The first round of restructuring initiatives, Round 1, began in May 2022, with the decision to close the Company’s Europe-based operations. The third and final round of 2022, Round 3, began in early November 2022 and involved headcount and canopy reduction.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$2,576 and $3,178 in restructuring expense. As of March 31, 2024.</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balance outstanding on the Company’s restructuring reserve was $4,922.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DIVESTITURE</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Utah Business Divestiture</w:t>
      </w:r>
    </w:p>
    <w:p>
      <w:pPr>
        <w:spacing w:after="0" w:line="146"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was divested for gross proceeds of approximately $6.5 million, with approximately $3.9 million due on closing of the transaction, and a $2.6 million Seller note payable to the Company not later than July 2025. The sale of the Utah assets was completed on March 7, 2024.</w:t>
      </w:r>
    </w:p>
    <w:p>
      <w:pPr>
        <w:spacing w:after="0" w:line="112"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As of March 31, 2024, no assets or liabilities of the disposed-of business remained on our consolidated balance sheets. The table below summarizes the operating results of Columbia Care UT, LLC for the three months ended March 31, 2024, and 2023:</w:t>
      </w:r>
    </w:p>
    <w:p>
      <w:pPr>
        <w:spacing w:after="0" w:line="178"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1150" w:type="dxa"/>
        <w:tblCellMar>
          <w:top w:w="0" w:type="dxa"/>
          <w:left w:w="0" w:type="dxa"/>
          <w:bottom w:w="0" w:type="dxa"/>
          <w:right w:w="0" w:type="dxa"/>
        </w:tblCellMar>
      </w:tblPr>
      <w:tr>
        <w:trPr>
          <w:trHeight w:val="236"/>
        </w:trPr>
        <w:tc>
          <w:tcPr>
            <w:tcW w:w="486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60" w:type="dxa"/>
            <w:vAlign w:val="bottom"/>
            <w:tcBorders>
              <w:top w:val="single" w:sz="8" w:color="auto"/>
              <w:bottom w:val="single" w:sz="8" w:color="auto"/>
              <w:right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right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3"/>
        </w:trPr>
        <w:tc>
          <w:tcPr>
            <w:tcW w:w="4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20" w:type="dxa"/>
            <w:vAlign w:val="bottom"/>
            <w:tcBorders>
              <w:bottom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943</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1,199</w:t>
            </w:r>
          </w:p>
        </w:tc>
      </w:tr>
      <w:tr>
        <w:trPr>
          <w:trHeight w:val="223"/>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20" w:type="dxa"/>
            <w:vAlign w:val="bottom"/>
            <w:tcBorders>
              <w:bottom w:val="single" w:sz="8" w:color="auto"/>
            </w:tcBorders>
          </w:tcPr>
          <w:p>
            <w:pPr>
              <w:jc w:val="right"/>
              <w:ind w:right="14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822</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62"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On May 6, 2024, the Company resolved a previously disclosed lawsuit relating to the Green Leaf Transaction, as further described in relevant detail in Part II – Other Information, Item 1. Legal Proceedings below.</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(“MD&amp;A”) of the financial condition and results of operations of The Cannabist Company Holdings Inc. (“The Cannabist Company”, the “Company”, “us”, “our” or “we”) is supplemental to, and should be read in conjunction with, The Cannabist Company's unaudited condensed consolidated interim financial statements and the accompanying notes for the three months ended March 31, 2024 and 2023.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2023 Form 10-K filed with the SEC on March 13, 2024 and subsequent securities filings.</w:t>
      </w:r>
    </w:p>
    <w:p>
      <w:pPr>
        <w:spacing w:after="0" w:line="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Cannabist Company's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CANNABIST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CANNABIST COMPANY OBJECTIVES AND FACTORS AFFECTING OUR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of the largest fully integrated operators in the cannabis industry, our strategy to grow our business is comprised of the following key components:</w:t>
      </w:r>
    </w:p>
    <w:p>
      <w:pPr>
        <w:spacing w:after="0" w:line="158" w:lineRule="exact"/>
        <w:rPr>
          <w:sz w:val="20"/>
          <w:szCs w:val="20"/>
          <w:color w:val="auto"/>
        </w:rPr>
      </w:pPr>
    </w:p>
    <w:p>
      <w:pPr>
        <w:ind w:left="1140" w:hanging="75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development within and outside our current markets</w:t>
      </w:r>
    </w:p>
    <w:p>
      <w:pPr>
        <w:spacing w:after="0" w:line="144"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and customer-centric, leveraging health and wellness focus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Consistency and quality of proprietary product portfolio, including branded consumer products</w:t>
      </w:r>
    </w:p>
    <w:p>
      <w:pPr>
        <w:spacing w:after="0" w:line="15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data-driven innovation</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performance and future success are dependent on several factors. These factors are also subject to inherent risks and challenges, some of which are discussed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Branding</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 national branding strategy across each of the jurisdictions in which we operate. Maintaining and growing our brand appeal is critical to our continued success. Effective September 2023, the Company changed its name from “Columbia Care Inc.” to “The Cannabist Company Holdings Inc.” reflecting the Company's "Cannabist" national retail brand that was established in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the local and federal laws in the jurisdictions in which we operate. We hold all required licenses for the production and distribution of our products in the jurisdictions in which we operate and continuously monitor changes in laws, regulations, treaties and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Innovation and Consumer Trends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Growth and Profitability Strategies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successful history of growing revenue and we believe we have a strong strategy aimed at increasing profitability. Our future depends, in part, on our ability to implement our strategy including (i) product innovations; (ii) penetration of current and new markets; (iii) growth of wholesale revenue through third party retailers and distributors; (iv) future development of e-commerce and home delivery distribution capabilities; (v) expansion of our cultivation and manufacturing capacity; and (vi) controlling costs. Our ability to implement this strategy depends, among other things, on our ability to develop new products that appeal to consumers, maintain and expand brand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loyalty, maintain and improve product quality and brand recognition, maintain and improve competitive position in our current markets, and identify and successfully enter and market products in new geographic areas and segments.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information derived from our unaudited condensed consolidated interim financial statements and the respective accompanying notes prepared in accordance with U.S. GAAP.</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4"/>
                <w:szCs w:val="14"/>
                <w:color w:val="auto"/>
              </w:rPr>
            </w:pPr>
          </w:p>
        </w:tc>
        <w:tc>
          <w:tcPr>
            <w:tcW w:w="1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4"/>
                <w:szCs w:val="14"/>
                <w:color w:val="auto"/>
              </w:rPr>
            </w:pPr>
          </w:p>
        </w:tc>
        <w:tc>
          <w:tcPr>
            <w:tcW w:w="14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4"/>
                <w:szCs w:val="14"/>
                <w:color w:val="auto"/>
              </w:rPr>
            </w:pPr>
          </w:p>
        </w:tc>
        <w:tc>
          <w:tcPr>
            <w:tcW w:w="14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$122,611</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$124,535</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related to inventory production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(80,074)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(77,454)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$42,537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$47,081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(55,350)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9"/>
        </w:trPr>
        <w:tc>
          <w:tcPr>
            <w:tcW w:w="50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(10,736)</w:t>
            </w:r>
          </w:p>
        </w:tc>
        <w:tc>
          <w:tcPr>
            <w:tcW w:w="140" w:type="dxa"/>
            <w:vAlign w:val="bottom"/>
            <w:tcBorders>
              <w:top w:val="single" w:sz="8" w:color="CFF0FC"/>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140" w:type="dxa"/>
            <w:vAlign w:val="bottom"/>
            <w:tcBorders>
              <w:top w:val="single" w:sz="8" w:color="CFF0FC"/>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40" w:type="dxa"/>
            <w:vAlign w:val="bottom"/>
            <w:tcBorders>
              <w:top w:val="single" w:sz="8" w:color="CFF0FC"/>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(17,614)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1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(10,689)</w:t>
            </w:r>
          </w:p>
        </w:tc>
        <w:tc>
          <w:tcPr>
            <w:tcW w:w="1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(36,572)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The Cannabist Company Holdings Inc.</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$(37,340)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08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Loss per share attributable to The Cannabist Company Holdings Inc.—based and</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40" w:type="dxa"/>
            <w:vAlign w:val="bottom"/>
            <w:vMerge w:val="restart"/>
            <w:shd w:val="clear" w:color="auto" w:fill="CFF0FC"/>
          </w:tcPr>
          <w:p>
            <w:pPr>
              <w:spacing w:after="0"/>
              <w:rPr>
                <w:sz w:val="10"/>
                <w:szCs w:val="1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4"/>
        </w:trPr>
        <w:tc>
          <w:tcPr>
            <w:tcW w:w="5080" w:type="dxa"/>
            <w:vAlign w:val="bottom"/>
            <w:tcBorders>
              <w:bottom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diluted</w:t>
            </w:r>
          </w:p>
        </w:tc>
        <w:tc>
          <w:tcPr>
            <w:tcW w:w="140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1400" w:type="dxa"/>
            <w:vAlign w:val="bottom"/>
            <w:tcBorders>
              <w:bottom w:val="single" w:sz="8" w:color="auto"/>
            </w:tcBorders>
            <w:vMerge w:val="continue"/>
            <w:shd w:val="clear" w:color="auto" w:fill="CFF0FC"/>
          </w:tcPr>
          <w:p>
            <w:pPr>
              <w:spacing w:after="0"/>
              <w:rPr>
                <w:sz w:val="16"/>
                <w:szCs w:val="16"/>
                <w:color w:val="auto"/>
              </w:rPr>
            </w:pPr>
          </w:p>
        </w:tc>
        <w:tc>
          <w:tcPr>
            <w:tcW w:w="1540" w:type="dxa"/>
            <w:vAlign w:val="bottom"/>
            <w:tcBorders>
              <w:bottom w:val="single" w:sz="8" w:color="CFF0FC"/>
            </w:tcBorders>
            <w:gridSpan w:val="2"/>
            <w:vMerge w:val="continue"/>
            <w:shd w:val="clear" w:color="auto" w:fill="CFF0FC"/>
          </w:tcPr>
          <w:p>
            <w:pPr>
              <w:spacing w:after="0"/>
              <w:rPr>
                <w:sz w:val="16"/>
                <w:szCs w:val="16"/>
                <w:color w:val="auto"/>
              </w:rPr>
            </w:pPr>
          </w:p>
        </w:tc>
        <w:tc>
          <w:tcPr>
            <w:tcW w:w="1540" w:type="dxa"/>
            <w:vAlign w:val="bottom"/>
            <w:tcBorders>
              <w:bottom w:val="single" w:sz="8" w:color="CFF0FC"/>
            </w:tcBorders>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number of shares outstanding—basic and diluted</w:t>
            </w: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445,633,865</w:t>
            </w:r>
          </w:p>
        </w:tc>
        <w:tc>
          <w:tcPr>
            <w:tcW w:w="15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401,438,546</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-1062355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-1062355</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-1062355</wp:posOffset>
            </wp:positionV>
            <wp:extent cx="94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-719455</wp:posOffset>
            </wp:positionV>
            <wp:extent cx="939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-719455</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-719455</wp:posOffset>
            </wp:positionV>
            <wp:extent cx="946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-487680</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-487680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-487680</wp:posOffset>
            </wp:positionV>
            <wp:extent cx="946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-162560</wp:posOffset>
            </wp:positionV>
            <wp:extent cx="93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-144780</wp:posOffset>
            </wp:positionV>
            <wp:extent cx="93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-162560</wp:posOffset>
            </wp:positionV>
            <wp:extent cx="93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-144780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Balance Sheet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99060</wp:posOffset>
            </wp:positionV>
            <wp:extent cx="93980" cy="1879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812,831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823,111</w:t>
            </w:r>
          </w:p>
        </w:tc>
      </w:tr>
      <w:tr>
        <w:trPr>
          <w:trHeight w:val="22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769,923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757,759</w:t>
            </w:r>
          </w:p>
        </w:tc>
      </w:tr>
      <w:tr>
        <w:trPr>
          <w:trHeight w:val="23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603,944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597,715</w:t>
            </w: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65,352</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7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122,611</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124,535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(1,924 )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(80,074 )</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(77,454 )</w:t>
            </w: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(2,620 )</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42,537</w:t>
            </w:r>
          </w:p>
        </w:tc>
        <w:tc>
          <w:tcPr>
            <w:tcW w:w="2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(4,544 )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(53,273 )</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(55,350 )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33"/>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(10,736 )</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(8,269 )</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(2,467 )</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(14,964 )</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(17,614 )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33"/>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(25,700 )</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(25,883 )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(8,868 )</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(10,689 )</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33"/>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(34,568 )</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(36,572 )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33"/>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attributable to The Cannabist Company Holdings Inc.</w:t>
            </w: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(35,073 )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(37,340 )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-1662430</wp:posOffset>
            </wp:positionV>
            <wp:extent cx="570039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-1370965</wp:posOffset>
            </wp:positionV>
            <wp:extent cx="570039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-1071245</wp:posOffset>
            </wp:positionV>
            <wp:extent cx="570039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-770890</wp:posOffset>
            </wp:positionV>
            <wp:extent cx="570039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-471170</wp:posOffset>
            </wp:positionV>
            <wp:extent cx="570039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570039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revenue of $1,924 for the three months ended March 31, 2024, as compared to the prior year period, was driven by the net decline in revenue of $3,217 in our existing retail and wholesale operations and a decline of $476 from the sale or closure of certain operations. This was partly offset by the expansion of new retail facilities which contributed to a revenue growth of $1,769 during the three months ended March 31, 2024, as compared to the prior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cost of sales of $2,620 for the three months ended March 31, 2024, as compared to the prior year period, was driven by a cost of sales increase of $2,616 in our existing retail and wholesale operations, including from inventory impairment, and by $601 from the expansion of new retail facilities. This was partly offset by a decline of $598 from the sale or closure of certain operations during the three months ended March 31, 2024, as compared to the prior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gross profit of $4,544 for the three months ended March 31, 2024, as compared to the prior year period, was directly attributable to the decline in revenues and increased cost of sales as described above. The decline in gross margin (percent) was primarily driven by production facilities poised for future economies of scale and price compression.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of $2,077 in operating expenses for the three months ended March 31, 2024, as compared to the prior year period, was primarily attributable to a decrease in salary and benefits expenses of $2,792, depreciation and amortization of $1,509, professional fees of $297, advertisement and promotion expenses of $934, and operating office and general expenses of $500. This was partially offset by an increase in operating office and general expenses of $3,159 and operating facilities costs of $796.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expense, net of $2,650 for the three months ended March 31, 2024, as compared to the prior year period, was primarily due to a decrease in interest expense on debt of $3,080, loss on deconsolidation from the sale or closure of certain operations of $2,473, restructuring expense of $602, amortization of debt discount of $162, amortization of debt issuance costs of $298, and interest expense on leases of $158. This was partially offset by an increase in the change in fair value of the derivative liability of $2,317, a loss on disposal of group of $811, a decrease in rental income earned of $785, and a decrease in other income of $209.</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$8,868 for the three months ended March 31, 2024, as compared to an income tax expense of $10,689 for the three months ended March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for the period to EBITDA and Adjusted EBITDA for the three months ended March 31, 2024, and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5"/>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3"/>
        </w:trPr>
        <w:tc>
          <w:tcPr>
            <w:tcW w:w="7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0" w:type="dxa"/>
            <w:vAlign w:val="bottom"/>
          </w:tcPr>
          <w:p>
            <w:pPr>
              <w:spacing w:after="0"/>
              <w:rPr>
                <w:sz w:val="19"/>
                <w:szCs w:val="19"/>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(34,568 )</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(36,572 )</w:t>
            </w:r>
          </w:p>
        </w:tc>
        <w:tc>
          <w:tcPr>
            <w:tcW w:w="40" w:type="dxa"/>
            <w:vAlign w:val="bottom"/>
          </w:tcPr>
          <w:p>
            <w:pPr>
              <w:spacing w:after="0"/>
              <w:rPr>
                <w:sz w:val="19"/>
                <w:szCs w:val="19"/>
                <w:color w:val="auto"/>
              </w:rPr>
            </w:pPr>
          </w:p>
        </w:tc>
      </w:tr>
      <w:tr>
        <w:trPr>
          <w:trHeight w:val="22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w:t>
            </w:r>
          </w:p>
        </w:tc>
        <w:tc>
          <w:tcPr>
            <w:tcW w:w="16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8,868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10,689</w:t>
            </w:r>
          </w:p>
        </w:tc>
        <w:tc>
          <w:tcPr>
            <w:tcW w:w="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13,964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15,063</w:t>
            </w:r>
          </w:p>
        </w:tc>
        <w:tc>
          <w:tcPr>
            <w:tcW w:w="40" w:type="dxa"/>
            <w:vAlign w:val="bottom"/>
          </w:tcPr>
          <w:p>
            <w:pPr>
              <w:spacing w:after="0"/>
              <w:rPr>
                <w:sz w:val="20"/>
                <w:szCs w:val="20"/>
                <w:color w:val="auto"/>
              </w:rPr>
            </w:pPr>
          </w:p>
        </w:tc>
      </w:tr>
      <w:tr>
        <w:trPr>
          <w:trHeight w:val="22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 and debt amortization</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12,480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13,671</w:t>
            </w:r>
          </w:p>
        </w:tc>
        <w:tc>
          <w:tcPr>
            <w:tcW w:w="40" w:type="dxa"/>
            <w:vAlign w:val="bottom"/>
          </w:tcPr>
          <w:p>
            <w:pPr>
              <w:spacing w:after="0"/>
              <w:rPr>
                <w:sz w:val="19"/>
                <w:szCs w:val="19"/>
                <w:color w:val="auto"/>
              </w:rPr>
            </w:pP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EBITDA (Non-GAAP measure)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744</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2,851</w:t>
            </w:r>
          </w:p>
        </w:tc>
        <w:tc>
          <w:tcPr>
            <w:tcW w:w="40" w:type="dxa"/>
            <w:vAlign w:val="bottom"/>
          </w:tcPr>
          <w:p>
            <w:pPr>
              <w:spacing w:after="0"/>
              <w:rPr>
                <w:sz w:val="19"/>
                <w:szCs w:val="19"/>
                <w:color w:val="auto"/>
              </w:rPr>
            </w:pP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3,182</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6,515</w:t>
            </w:r>
          </w:p>
        </w:tc>
        <w:tc>
          <w:tcPr>
            <w:tcW w:w="40" w:type="dxa"/>
            <w:vAlign w:val="bottom"/>
          </w:tcPr>
          <w:p>
            <w:pPr>
              <w:spacing w:after="0"/>
              <w:rPr>
                <w:sz w:val="20"/>
                <w:szCs w:val="20"/>
                <w:color w:val="auto"/>
              </w:rPr>
            </w:pPr>
          </w:p>
        </w:tc>
      </w:tr>
      <w:tr>
        <w:trPr>
          <w:trHeight w:val="202"/>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and other non-core costs, including costs associated with the Cresco Labs Inc. transaction,</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litigation expenses and other costs related to restructuring</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1,317</w:t>
            </w:r>
          </w:p>
        </w:tc>
        <w:tc>
          <w:tcPr>
            <w:tcW w:w="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Fair-value changes on derivative liabilities</w:t>
            </w: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0"/>
                <w:szCs w:val="20"/>
                <w:color w:val="auto"/>
              </w:rPr>
            </w:pPr>
          </w:p>
        </w:tc>
      </w:tr>
      <w:tr>
        <w:trPr>
          <w:trHeight w:val="22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for acquisition and other non-core costs</w:t>
            </w:r>
          </w:p>
        </w:tc>
        <w:tc>
          <w:tcPr>
            <w:tcW w:w="16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6,245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expense</w:t>
            </w: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3,178</w:t>
            </w:r>
          </w:p>
        </w:tc>
        <w:tc>
          <w:tcPr>
            <w:tcW w:w="40" w:type="dxa"/>
            <w:vAlign w:val="bottom"/>
          </w:tcPr>
          <w:p>
            <w:pPr>
              <w:spacing w:after="0"/>
              <w:rPr>
                <w:sz w:val="20"/>
                <w:szCs w:val="20"/>
                <w:color w:val="auto"/>
              </w:rPr>
            </w:pPr>
          </w:p>
        </w:tc>
      </w:tr>
      <w:tr>
        <w:trPr>
          <w:trHeight w:val="223"/>
        </w:trPr>
        <w:tc>
          <w:tcPr>
            <w:tcW w:w="76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Loss on deconsolidation</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2,473</w:t>
            </w:r>
          </w:p>
        </w:tc>
        <w:tc>
          <w:tcPr>
            <w:tcW w:w="40" w:type="dxa"/>
            <w:vAlign w:val="bottom"/>
          </w:tcPr>
          <w:p>
            <w:pPr>
              <w:spacing w:after="0"/>
              <w:rPr>
                <w:sz w:val="19"/>
                <w:szCs w:val="19"/>
                <w:color w:val="auto"/>
              </w:rPr>
            </w:pP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15,304</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16,364</w:t>
            </w:r>
          </w:p>
        </w:tc>
        <w:tc>
          <w:tcPr>
            <w:tcW w:w="40" w:type="dxa"/>
            <w:vAlign w:val="bottom"/>
          </w:tcPr>
          <w:p>
            <w:pPr>
              <w:spacing w:after="0"/>
              <w:rPr>
                <w:sz w:val="22"/>
                <w:szCs w:val="22"/>
                <w:color w:val="auto"/>
              </w:rPr>
            </w:pP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122,611</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124,535</w:t>
            </w:r>
          </w:p>
        </w:tc>
        <w:tc>
          <w:tcPr>
            <w:tcW w:w="40" w:type="dxa"/>
            <w:vAlign w:val="bottom"/>
          </w:tcPr>
          <w:p>
            <w:pPr>
              <w:spacing w:after="0"/>
              <w:rPr>
                <w:sz w:val="17"/>
                <w:szCs w:val="17"/>
                <w:color w:val="auto"/>
              </w:rPr>
            </w:pPr>
          </w:p>
        </w:tc>
      </w:tr>
      <w:tr>
        <w:trPr>
          <w:trHeight w:val="23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15,304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16,364</w:t>
            </w:r>
          </w:p>
        </w:tc>
        <w:tc>
          <w:tcPr>
            <w:tcW w:w="40" w:type="dxa"/>
            <w:vAlign w:val="bottom"/>
          </w:tcPr>
          <w:p>
            <w:pPr>
              <w:spacing w:after="0"/>
              <w:rPr>
                <w:sz w:val="20"/>
                <w:szCs w:val="20"/>
                <w:color w:val="auto"/>
              </w:rPr>
            </w:pP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 (Non-GAAP measure)</w:t>
            </w:r>
          </w:p>
        </w:tc>
        <w:tc>
          <w:tcPr>
            <w:tcW w:w="16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12.5 %</w:t>
            </w: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3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122,611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124,535</w:t>
            </w:r>
          </w:p>
        </w:tc>
        <w:tc>
          <w:tcPr>
            <w:tcW w:w="40" w:type="dxa"/>
            <w:vAlign w:val="bottom"/>
          </w:tcPr>
          <w:p>
            <w:pPr>
              <w:spacing w:after="0"/>
              <w:rPr>
                <w:sz w:val="20"/>
                <w:szCs w:val="20"/>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47,081</w:t>
            </w:r>
          </w:p>
        </w:tc>
        <w:tc>
          <w:tcPr>
            <w:tcW w:w="40" w:type="dxa"/>
            <w:vAlign w:val="bottom"/>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34.7 %</w:t>
            </w: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-2198370</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-887095</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-869950</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-1041400</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02056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20560" cy="14541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Adjusted EBITDA for the three months ended March 31, 2024, as compared to the prior year period, was primarily driven by declines in gross profit in the ongoing wholesale and retail operations and through restructuring and disposal activity, partially offset by improved leverage of revenues across selling, general, and administrative expenses such as facility costs, salary costs, and benefit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on a local, state and federal level.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are currently meeting our obligations and are earning revenues from our operations. However, we have sustained losses since inception and may require additional capital in the future. We estimate that based on our current business operations and working capital, we will continue to meet our obligations in the short term. As we continue to focus on profitability, we endeavor to remain opportunistic on growth through expansion or acquisition, therefore our cash flow requirements and obligations could materially change. As of March 31, 2024, we did not have any significant external capital requirements.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 Transactions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2023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18, 2023, the Company entered into subscription agreements with the September 2023 Investors for the purchase and sale of 22,244,210 September 2023 Units at a price of C$1.52 per September 2023 Unit pursuant to a private placement, for aggregate gross proceeds of approximately C$33.8 million or approximately $25 million. Each September 2023 Unit consists of one Common Share (or Common Share equivalent) and one half of one September 2023 Warrant that entitles the holder to acquire one Common Share at a price of C$1.96 per Common Share, a 29% premium to issue, for a period of three years following the closing of the Initial Tranche.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Tranche consisted of an aggregate of 21,887,240 Common Shares, 11,122,105 September 2023 Warrants and 356,970 September 2023 Pre-Funded Warrants that provide the holder the right to purchase one Common Share at an exercise price of C$0.0001 per Common Share. The September 2023 Offering closed on September 21,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proceeds from the September 2023 Offering to reduce its outstanding indebtedness.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September 2023 Investors had the option to purchase $25 million in additional September 2023 Units at a price equal to the Issue Price, upon written notice to the Company at any time up to November 2, 2023, which was not exercised. In connection with the September 2023 Offering, the Company and the September 2023 Investors entered into a customary registration rights agreement, pursuant to which the Company filed a registration statement on Form S-1 on October 17, 2023 to register the resale of the Common Shares underlying the September 2023 Units. The September 2023 Units were subject to limited lock-up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January 22, 2024, the Company entered into an exchange agreement (the “Exchange Agreement”) with certain holders (the “Holders”) of the Company’s 6.0% senior secured 2025 Convertible Notes, pursuant to which the Company agreed to repurchase (the “Repurchase”) of up to $25 million principal amount of the 2025 Convertible Notes in exchange for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333" w:lineRule="exact"/>
        <w:rPr>
          <w:sz w:val="20"/>
          <w:szCs w:val="20"/>
          <w:color w:val="auto"/>
        </w:rPr>
      </w:pPr>
    </w:p>
    <w:p>
      <w:pPr>
        <w:ind w:left="1020" w:right="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2024 Convertible Notes in consideration of Common Shares issued at a price per Common Share equal to the greater of C$0.41 per Common Share and the 12.5% discount to the 5-day volume weighted average price of the Common Shares (the “Initial Exchange Price”) on Cboe prior to receipt of a Transfer notice;</w:t>
      </w:r>
    </w:p>
    <w:p>
      <w:pPr>
        <w:spacing w:after="0" w:line="28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Cboe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2024, transfer in three separate equal tranches, an aggregate of $15 million principal amount of 2025 Convertible Notes in consideration of Common Shares issued at a price per Common Share equal to the greater of C$0.57 per Common Share and the 12.5% discount to the 5-day volume weighted average price of the Common Shares on Cboe prior to receipt of a Transfer notice, in each case, subject to adjustment in certain instances, on or prior to June 30, 2024.</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event the conditions are fulfilled and the Holders fail to Transfer their 2025 Convertible Notes in accordance with the terms of the Exchange Agreement, the Company has the right, but not the obligation, to require the Holders to Transfer some or all of the portion of the $25 million principal amount of 2025 Convertible Notes still held by the Holders. Assuming all of the conditions are fulfilled, and the entire $25 million principal amount of 2025 Convertible Notes are Transferred for Common Shares issued at the minimum prices set out in the Exchange Agreement, a maximum of 68,564,698 Common Shares would be issued in connection with the Repurchase. Through March 31, 2024, $10 million of the potential $25 million exchange has been completed.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are senior secured obligations of the Company and were issued at 80.0% of face value. The 2027 Notes accrue interest in arrears which is payable semi-annually and mature on March 19, 2027. In connection with the offering of the 2027 Notes, the Company exchanged $5,000 of the Company’s existing 6.0% 2025 Convertible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the 2027 Notes represent an obligation to issue a fixed number of shares for a fixed amount of liability. In accordance with ASC 480 – Distinguishing Liabilities from Equity, a conversion feature within a financial instrument to issue a variable number of equity units fails to meet the definition of equity. Accordingly, such a conversion feature must be accounted for as an embedded derivative liability and measured at fair value with changes in fair value recognized in the consolidated statements of operations. Upon initial recognition, the Company recorded a derivative liability of $2,362 within other long-term liabilities in the consolidated balance sheets and a corresponding debt premium and debt issuance costs of $5,952, reflected as a reduction to the carrying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333" w:lineRule="exact"/>
        <w:rPr>
          <w:sz w:val="20"/>
          <w:szCs w:val="20"/>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agreement provides for a $6,250 mortgage on real property in Maryland and carries interest at a variable rate per annum equal to the Index plus 2.25%. The debt is repayable in 59 monthly installments and a final balloon payment due on September 1, 2028, which is estimated at $5,937 as of March 31, 2024. In connection with this mortgage, the Company incurred financing costs of $195 and netted $2,903 after the repayment of a prior outstanding mortgage on the property</w:t>
      </w:r>
      <w:r>
        <w:rPr>
          <w:rFonts w:ascii="Times New Roman" w:cs="Times New Roman" w:eastAsia="Times New Roman" w:hAnsi="Times New Roman"/>
          <w:sz w:val="18"/>
          <w:szCs w:val="18"/>
          <w:color w:val="231F20"/>
        </w:rPr>
        <w:t>.</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provides for $1,800 mortgage on real property in Delaware and carries interest at a variable rate per annum equal to the Index plus 2.25%. The debt is repayable in 59 monthly installments and a final balloon payment due on September 1, 2028, which is estimated at $1,710 as of March 31, 2024. In connection with this mortgage, the Company incurred financing costs of $77 and netted $1,723.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sources and uses of cash for each of the periods presented:</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18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9"/>
                <w:szCs w:val="19"/>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8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(6,211 )</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(3,405 )</w:t>
            </w:r>
          </w:p>
        </w:tc>
      </w:tr>
      <w:tr>
        <w:trPr>
          <w:trHeight w:val="22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(2,552 )</w:t>
            </w: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12,517</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(2,037 )</w:t>
            </w:r>
          </w:p>
        </w:tc>
      </w:tr>
      <w:tr>
        <w:trPr>
          <w:trHeight w:val="23"/>
        </w:trPr>
        <w:tc>
          <w:tcPr>
            <w:tcW w:w="61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2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(7,994 )</w:t>
            </w:r>
          </w:p>
        </w:tc>
      </w:tr>
      <w:tr>
        <w:trPr>
          <w:trHeight w:val="20"/>
        </w:trPr>
        <w:tc>
          <w:tcPr>
            <w:tcW w:w="6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-179705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$6,211 of cash, primarily resulting from a net loss of $34,568, deferred taxes of $834, and other expenses of $92; this was partially offset by depreciation and amortization of $13,964, equity-based compensation expense of $3,182, loss on deconsolidation of subsidiary of $211, debt amortization expense of $1,857, provision for obsolete inventory and other assets of $5,430, change in fair value of derivative liability of $2,347, and net changes in operating assets and liabilities of $2,292. The net change in operating assets and liabilities was primarily due to a decrease in accounts receivable of $1,012, other assets of $129, increase in accounts payable of $7,351, and income tax payable of $8,898; this was offset by an increase in inventory of $5,297, prepaid and other expenses of $823, a decrease in accrued expenses and other current liabilities of $7,391, and other long-term liabilities of $1,587.</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operating activities used $3,405 of cash, primarily resulting from a net loss of $36,572, and net changes in operating assets and liabilities of $5,280; this was partially offset by depreciation and amortization of $15,063, equity-based compensation expense of $6,515, loss on deconsolidation of subsidiary of $2,473, and debt amortization expense of $2,291.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investing activities provided $2,403 of cash mainly due to the proceeds from the sale of the UT business of $2,999 and proceeds from sale of license of $329. This was partially offset by purchases of property and equipment of $965.</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investing activities used $2,552 of cash pursuant to purchases of property and equipment of $5,724. This was partially offset by proceeds from the deconsolidation of the Company's Missouri entity of $3,040 and cash received from deposits of $132.</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financing activities provided $12,517 of cash, mainly due to proceeds from issuance of convertible debt of $15,600. This was partially offset by payment of lease liabilities of $1,762, payment of debt issuance costs of $802, repayment of sellers note of $375, and repayment of mortgage notes of $144.</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financing activities used $2,037 of cash, mainly due to the payment of lease liabilities of $1,588 and repayment of a seller's note of $375.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March 31, 2024 and the effects that such obligations are expected to have on our liquidity and cash flows in future periods: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00"/>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Less than 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5 and</w:t>
            </w:r>
          </w:p>
        </w:tc>
      </w:tr>
      <w:tr>
        <w:trPr>
          <w:trHeight w:val="225"/>
        </w:trPr>
        <w:tc>
          <w:tcPr>
            <w:tcW w:w="3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beyond</w:t>
            </w:r>
          </w:p>
        </w:tc>
        <w:tc>
          <w:tcPr>
            <w:tcW w:w="220" w:type="dxa"/>
            <w:vAlign w:val="bottom"/>
          </w:tcPr>
          <w:p>
            <w:pPr>
              <w:spacing w:after="0"/>
              <w:rPr>
                <w:sz w:val="19"/>
                <w:szCs w:val="19"/>
                <w:color w:val="auto"/>
              </w:rPr>
            </w:pPr>
          </w:p>
        </w:tc>
      </w:tr>
      <w:tr>
        <w:trPr>
          <w:trHeight w:val="22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commitments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383,400</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33,042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30,414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29,984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27,813</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234,394</w:t>
            </w:r>
          </w:p>
        </w:tc>
        <w:tc>
          <w:tcPr>
            <w:tcW w:w="220" w:type="dxa"/>
            <w:vAlign w:val="bottom"/>
            <w:shd w:val="clear" w:color="auto" w:fill="CFF0FC"/>
          </w:tcPr>
          <w:p>
            <w:pPr>
              <w:spacing w:after="0"/>
              <w:rPr>
                <w:sz w:val="19"/>
                <w:szCs w:val="19"/>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Sale-Leaseback commitments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220" w:type="dxa"/>
            <w:vAlign w:val="bottom"/>
          </w:tcPr>
          <w:p>
            <w:pPr>
              <w:spacing w:after="0"/>
              <w:rPr>
                <w:sz w:val="19"/>
                <w:szCs w:val="19"/>
                <w:color w:val="auto"/>
              </w:rPr>
            </w:pP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on 2024 Notes and 2026 Notes</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39,689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debt (principal)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on convertible debt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notes (principal)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notes (interest)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 promissory note (principal)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Closing promissory note (interest)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996,697</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71,455</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129,920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258,286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87,508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47,606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401,922</w:t>
            </w:r>
          </w:p>
        </w:tc>
        <w:tc>
          <w:tcPr>
            <w:tcW w:w="2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above table excludes purchase orders for inventory in the normal course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Judgements estimates and assumptions with the most significant effect on the amounts recognized in the consolidated financial statements are described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The Cannabist Company classifies its derivative liability as fair value through profit and loss (FVTPL).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fair value contained within the hierarchy are:</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and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Our risk exposures and the impact on our financial instruments is summarized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March 31, 2024 and December 31, 2023,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credit to our customers in the normal course of business and have established credit evaluation and monitoring processes to mitigate credit risk but have limited risk as the majority of our sales are transacted with cash. Through our Cannabist Company National Credit program, we provide credit to customers in certain markets in which we operate.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incurred significant cumulative net losses and we have not generated positive cash flows from our operations. We have therefore depended on financing from sale of our equity and from debt financing to fund our operations. Overall, we do not expect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 w:name="page25"/>
    <w:bookmarkEnd w:id="24"/>
    <w:p>
      <w:pPr>
        <w:ind w:right="80"/>
        <w:spacing w:after="0" w:line="414" w:lineRule="auto"/>
        <w:rPr>
          <w:sz w:val="20"/>
          <w:szCs w:val="20"/>
          <w:color w:val="auto"/>
        </w:rPr>
      </w:pPr>
      <w:r>
        <w:rPr>
          <w:rFonts w:ascii="Times New Roman" w:cs="Times New Roman" w:eastAsia="Times New Roman" w:hAnsi="Times New Roman"/>
          <w:sz w:val="18"/>
          <w:szCs w:val="18"/>
          <w:color w:val="auto"/>
        </w:rPr>
        <w:t xml:space="preserve">net cash contribution from our operations and investments to be positive in the near term, and we therefore expect to rely on financing from equity or debt. </w:t>
      </w:r>
      <w:r>
        <w:rPr>
          <w:rFonts w:ascii="Times New Roman" w:cs="Times New Roman" w:eastAsia="Times New Roman" w:hAnsi="Times New Roman"/>
          <w:sz w:val="18"/>
          <w:szCs w:val="18"/>
          <w:i w:val="1"/>
          <w:iCs w:val="1"/>
          <w:color w:val="auto"/>
        </w:rPr>
        <w:t>Market Risk</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thousands of U.S. dollars. We may enter into financial transactions denominated in other currencies, which would result in your operations and financial position becoming subject to currency transaction and translation risks.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we had no hedging agreements in place with respect to foreign exchange rates. We have not entered into any agreements or purchased any instruments to hedge possible currency risks at this time.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material changes to the market risks as disclosed in the Company’s 2023 Form 10-K. See also Financial Risk Management in Part I, Item 2 of this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under the Securities Exchange Act of 1934, as amended) during the quarter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2024, the Company resolved a lawsuit in Maryland state court, as previously disclosed in the Company’s Form 10-K for the year ended December 31, 2023 relating to the Company’s acquisition of Green Leaf Medical (the “Green Leaf Transaction”), a privately held, multi-state operator. As a part of that resolution, and in conjunction with the exchange of mutual releases of all claims relating to the Green Leaf Transaction, the Company will issue 4,848,019 common shares to the former Green Leaf shareholders. The common shares will be issued pursuant to Rule 506(b) of the Securities Act of 1933, as amended. The Company will be relying on Rule 506(b) because the issuances are not being made by general solicitation or advertising and the issuances are only being made to accredited investors.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except as noted below, there have been no material changes in our risk factors from those disclosed in Part I, Item 1A, of the Company’s 2023 Form 10-K, which is incorporated by reference herein.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Legal Proceedings”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 Legal Proceedings” above.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Plans of Directors and Executive Officers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ended March 31, 2024,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gridSpan w:val="12"/>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9900" w:type="dxa"/>
            <w:vAlign w:val="bottom"/>
            <w:tcBorders>
              <w:bottom w:val="single" w:sz="8" w:color="0000FF"/>
            </w:tcBorders>
            <w:gridSpan w:val="15"/>
          </w:tcPr>
          <w:p>
            <w:pPr>
              <w:spacing w:after="0" w:line="17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Arrangement Agreement, dated March 23, 2022, between Cresco Labs Inc. and Columbia Care Inc. (incorporated by reference to Exhibit</w:t>
              </w:r>
            </w:hyperlink>
          </w:p>
        </w:tc>
        <w:tc>
          <w:tcPr>
            <w:tcW w:w="20" w:type="dxa"/>
            <w:vAlign w:val="bottom"/>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of the Registrant’s Current Report on Form 8-K, filed with the SEC on March 29, 2022)</w:t>
              </w:r>
            </w:hyperlink>
          </w:p>
        </w:tc>
        <w:tc>
          <w:tcPr>
            <w:tcW w:w="20" w:type="dxa"/>
            <w:vAlign w:val="bottom"/>
            <w:tcBorders>
              <w:bottom w:val="single" w:sz="8" w:color="0000EE"/>
            </w:tcBorders>
          </w:tcPr>
          <w:p>
            <w:pPr>
              <w:spacing w:after="0"/>
              <w:rPr>
                <w:sz w:val="17"/>
                <w:szCs w:val="17"/>
                <w:color w:val="auto"/>
              </w:rPr>
            </w:pPr>
          </w:p>
        </w:tc>
        <w:tc>
          <w:tcPr>
            <w:tcW w:w="3300" w:type="dxa"/>
            <w:vAlign w:val="bottom"/>
            <w:gridSpan w:val="10"/>
          </w:tcPr>
          <w:p>
            <w:pPr>
              <w:spacing w:after="0"/>
              <w:rPr>
                <w:sz w:val="17"/>
                <w:szCs w:val="17"/>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Amending Agreement, dated February 27, 2023, between Cresco Labs Inc. and Columbia Care Inc. (incorporated by reference to Exhibit</w:t>
              </w:r>
            </w:hyperlink>
          </w:p>
        </w:tc>
        <w:tc>
          <w:tcPr>
            <w:tcW w:w="2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Registrant’s Current Report on Form 8-K, filed with the SEC on February 28, 2023)</w:t>
              </w:r>
            </w:hyperlink>
          </w:p>
        </w:tc>
        <w:tc>
          <w:tcPr>
            <w:tcW w:w="3100" w:type="dxa"/>
            <w:vAlign w:val="bottom"/>
            <w:gridSpan w:val="9"/>
          </w:tcPr>
          <w:p>
            <w:pPr>
              <w:spacing w:after="0"/>
              <w:rPr>
                <w:sz w:val="17"/>
                <w:szCs w:val="17"/>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7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Articles, dated April 26, 2019 (incorporated by reference to Exhibit 3.1 of the Registrant’s Form 8-K, filed with the SEC on September</w:t>
              </w:r>
            </w:hyperlink>
          </w:p>
        </w:tc>
        <w:tc>
          <w:tcPr>
            <w:tcW w:w="140" w:type="dxa"/>
            <w:vAlign w:val="bottom"/>
            <w:gridSpan w:val="2"/>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FF"/>
                <w:w w:val="95"/>
              </w:rPr>
            </w:pPr>
            <w:hyperlink r:id="rId171">
              <w:r>
                <w:rPr>
                  <w:rFonts w:ascii="Times New Roman" w:cs="Times New Roman" w:eastAsia="Times New Roman" w:hAnsi="Times New Roman"/>
                  <w:sz w:val="18"/>
                  <w:szCs w:val="18"/>
                  <w:color w:val="0000FF"/>
                  <w:w w:val="95"/>
                </w:rPr>
                <w:t>22, 2023)</w:t>
              </w:r>
            </w:hyperlink>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9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Certificate of Change of Name, dated September 19, 2023 (incorporated by reference to Exhibit 3.2 of the Registrant’s Form 8-K, filed</w:t>
              </w:r>
            </w:hyperlink>
          </w:p>
        </w:tc>
        <w:tc>
          <w:tcPr>
            <w:tcW w:w="160" w:type="dxa"/>
            <w:vAlign w:val="bottom"/>
            <w:gridSpan w:val="3"/>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with the SEC on September 22, 2023)</w:t>
              </w:r>
            </w:hyperlink>
          </w:p>
        </w:tc>
        <w:tc>
          <w:tcPr>
            <w:tcW w:w="20" w:type="dxa"/>
            <w:vAlign w:val="bottom"/>
            <w:tcBorders>
              <w:bottom w:val="single" w:sz="8" w:color="0000EE"/>
            </w:tcBorders>
          </w:tcPr>
          <w:p>
            <w:pPr>
              <w:spacing w:after="0"/>
              <w:rPr>
                <w:sz w:val="17"/>
                <w:szCs w:val="17"/>
                <w:color w:val="auto"/>
              </w:rPr>
            </w:pPr>
          </w:p>
        </w:tc>
        <w:tc>
          <w:tcPr>
            <w:tcW w:w="7160" w:type="dxa"/>
            <w:vAlign w:val="bottom"/>
            <w:gridSpan w:val="12"/>
          </w:tcPr>
          <w:p>
            <w:pPr>
              <w:spacing w:after="0"/>
              <w:rPr>
                <w:sz w:val="17"/>
                <w:szCs w:val="17"/>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93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Warrant Agency Agreement dated September 20, 2018 between Canaccord Genuity Growth Corp. and Odyssey Trust Company</w:t>
              </w:r>
            </w:hyperlink>
          </w:p>
        </w:tc>
        <w:tc>
          <w:tcPr>
            <w:tcW w:w="620" w:type="dxa"/>
            <w:vAlign w:val="bottom"/>
            <w:gridSpan w:val="7"/>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(incorporated by reference to Exhibit 4.1 of the Registrant’s Registration Statement on Form 10, filed with the SEC on December 14,</w:t>
              </w:r>
            </w:hyperlink>
          </w:p>
        </w:tc>
        <w:tc>
          <w:tcPr>
            <w:tcW w:w="30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line="196" w:lineRule="exact"/>
              <w:rPr>
                <w:rFonts w:ascii="Times New Roman" w:cs="Times New Roman" w:eastAsia="Times New Roman" w:hAnsi="Times New Roman"/>
                <w:sz w:val="18"/>
                <w:szCs w:val="18"/>
                <w:color w:val="0000FF"/>
                <w:w w:val="95"/>
              </w:rPr>
            </w:pPr>
            <w:hyperlink r:id="rId173">
              <w:r>
                <w:rPr>
                  <w:rFonts w:ascii="Times New Roman" w:cs="Times New Roman" w:eastAsia="Times New Roman" w:hAnsi="Times New Roman"/>
                  <w:sz w:val="18"/>
                  <w:szCs w:val="18"/>
                  <w:color w:val="0000FF"/>
                  <w:w w:val="95"/>
                </w:rPr>
                <w:t>2021)</w:t>
              </w:r>
            </w:hyperlink>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80" w:type="dxa"/>
            <w:vAlign w:val="bottom"/>
            <w:gridSpan w:val="7"/>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0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94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Warrant Agreement dated April 26, 2019 between Columbia Care Inc. and Canaccord Genuity Corp. (incorporated by reference to</w:t>
              </w:r>
            </w:hyperlink>
          </w:p>
        </w:tc>
        <w:tc>
          <w:tcPr>
            <w:tcW w:w="440" w:type="dxa"/>
            <w:vAlign w:val="bottom"/>
            <w:gridSpan w:val="6"/>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6"/>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Exhibit 4.2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900" w:type="dxa"/>
            <w:vAlign w:val="bottom"/>
            <w:gridSpan w:val="8"/>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95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Trust Indenture made as of March 31, 2020 between Columbia Care Inc. and Odyssey Trust Company (incorporated by reference to</w:t>
              </w:r>
            </w:hyperlink>
          </w:p>
        </w:tc>
        <w:tc>
          <w:tcPr>
            <w:tcW w:w="340" w:type="dxa"/>
            <w:vAlign w:val="bottom"/>
            <w:gridSpan w:val="5"/>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6"/>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Exhibit 4.3 of the Registrant’s Registration Statement on Form 10, filed with the SEC on December 14, 2021)</w:t>
              </w:r>
            </w:hyperlink>
          </w:p>
        </w:tc>
      </w:tr>
      <w:tr>
        <w:trPr>
          <w:trHeight w:val="466"/>
        </w:trPr>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tcBorders>
              <w:top w:val="single" w:sz="8" w:color="0000FF"/>
            </w:tcBorders>
            <w:gridSpan w:val="5"/>
          </w:tcPr>
          <w:p>
            <w:pPr>
              <w:ind w:left="42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tbl>
      <w:tblPr>
        <w:tblLayout w:type="fixed"/>
        <w:tblInd w:w="220" w:type="dxa"/>
        <w:tblCellMar>
          <w:top w:w="0" w:type="dxa"/>
          <w:left w:w="0" w:type="dxa"/>
          <w:bottom w:w="0" w:type="dxa"/>
          <w:right w:w="0" w:type="dxa"/>
        </w:tblCellMar>
      </w:tblPr>
      <w:tr>
        <w:trPr>
          <w:trHeight w:val="207"/>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4.4</w:t>
            </w:r>
          </w:p>
        </w:tc>
        <w:tc>
          <w:tcPr>
            <w:tcW w:w="9880" w:type="dxa"/>
            <w:vAlign w:val="bottom"/>
            <w:gridSpan w:val="15"/>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Warrant Indenture dated March 31, 2020 between Columbia Care Inc. and Odyssey Trust Company (incorporated by reference to Exhibit</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4.5</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Trust Indenture made as of May 14, 2020 between Columbia Care Inc. and Odyssey Trust Company (incorporated by reference to</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Exhibit 4.5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4.6</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Warrant Indenture dated May 14, 2020 between Columbia Care Inc. and Odyssey Trust Company (incorporated by reference to Exhibit</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4.7</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First Supplemental Indentures dated as of June 19, 2020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reference to Exhibit 4.7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4.8</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Warrant Indenture dated July 2, 2020 between Columbia Care Inc. and Odyssey Trust Company (incorporated by reference to Exhibit</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4.9</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Warrant Indenture dated October 29, 2020 between Columbia Care Inc. and Odyssey Trust Company (incorporated by reference to</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Exhibit 4.9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4.10</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Second Supplemental Indenture dated June 29, 2021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reference to Exhibit 4.10 of the Registrant’s amended Registration Statement on Form 10, filed with the SEC on January 28,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4.11</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Third Supplemental Indenture dated February 2, 2022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reference to Exhibit 4.11 of the Registrant’s amended Registration Statement on Form 10, filed with the SEC on February 15,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4.12</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Fourth Supplemental Indenture dated February 3, 2022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reference to Exhibit 4.12 of the Registrant’s amended Registration Statement on Form 10, filed with the SEC on February 15,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4.13</w:t>
            </w:r>
          </w:p>
        </w:tc>
        <w:tc>
          <w:tcPr>
            <w:tcW w:w="9880" w:type="dxa"/>
            <w:vAlign w:val="bottom"/>
            <w:gridSpan w:val="15"/>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Fifth Supplemental Indenture dated May 5, 2022 between Columbia Care Inc. and Odyssey Trust Company (incorporated by reference to</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Exhibit 4.13 of the Registrant’s Form 8-K, filed with the SEC on May 11,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4.14</w:t>
            </w:r>
          </w:p>
        </w:tc>
        <w:tc>
          <w:tcPr>
            <w:tcW w:w="9880" w:type="dxa"/>
            <w:vAlign w:val="bottom"/>
            <w:gridSpan w:val="15"/>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Extension Notice dated March 28, 2023 to Odyssey Trust Company (incorporated by reference to Exhibit 4.14 of the Registrant’s Annual</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7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Report on Form 10-K for the fiscal year ended December 31, 2022, filed with the SEC on March 29, 2023)</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4.15</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Sixth Supplemental Indenture dated September 20, 2023 between The Cannabist Company Holdings Inc. and Odyssey Trust Company</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080" w:type="dxa"/>
            <w:vAlign w:val="bottom"/>
            <w:tcBorders>
              <w:right w:val="single" w:sz="8" w:color="0000FF"/>
            </w:tcBorders>
            <w:gridSpan w:val="5"/>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4.16</w:t>
            </w:r>
          </w:p>
        </w:tc>
        <w:tc>
          <w:tcPr>
            <w:tcW w:w="9880" w:type="dxa"/>
            <w:vAlign w:val="bottom"/>
            <w:gridSpan w:val="15"/>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Seventh Supplemental Indenture dated March 19, 2024 between The Cannabist Company Holdings Inc. and Odyssey Trust Company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080" w:type="dxa"/>
            <w:vAlign w:val="bottom"/>
            <w:tcBorders>
              <w:right w:val="single" w:sz="8" w:color="0000FF"/>
            </w:tcBorders>
            <w:gridSpan w:val="5"/>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 to Exhibit 4.16 of the Registrant’s Form 8-K, filed with the SEC on March 20, 2024)</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gridSpan w:val="5"/>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31.1*</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0"/>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31.2*</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11"/>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32.1‡</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11"/>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11"/>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32.2‡</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9540" w:type="dxa"/>
            <w:vAlign w:val="bottom"/>
            <w:gridSpan w:val="1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gridSpan w:val="14"/>
          </w:tcPr>
          <w:p>
            <w:pPr>
              <w:spacing w:after="0" w:line="20" w:lineRule="exact"/>
              <w:rPr>
                <w:sz w:val="1"/>
                <w:szCs w:val="1"/>
                <w:color w:val="auto"/>
              </w:rPr>
            </w:pPr>
          </w:p>
        </w:tc>
      </w:tr>
      <w:tr>
        <w:trPr>
          <w:trHeight w:val="232"/>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101.INS*</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0"/>
        </w:trPr>
        <w:tc>
          <w:tcPr>
            <w:tcW w:w="1120" w:type="dxa"/>
            <w:vAlign w:val="bottom"/>
          </w:tcPr>
          <w:p>
            <w:pPr>
              <w:spacing w:after="0"/>
              <w:rPr>
                <w:sz w:val="19"/>
                <w:szCs w:val="19"/>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101.CAL*</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101.DEF*</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101.LAB*</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101.PRE*</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104*</w:t>
            </w: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27" w:name="page28"/>
    <w:bookmarkEnd w:id="27"/>
    <w:p>
      <w:pPr>
        <w:ind w:left="512" w:hanging="512"/>
        <w:spacing w:after="0" w:line="266" w:lineRule="auto"/>
        <w:tabs>
          <w:tab w:leader="none" w:pos="1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380"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tc>
      </w:tr>
      <w:tr>
        <w:trPr>
          <w:trHeight w:val="47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/s/ David Hart</w:t>
            </w:r>
          </w:p>
        </w:tc>
      </w:tr>
      <w:tr>
        <w:trPr>
          <w:trHeight w:val="201"/>
        </w:trPr>
        <w:tc>
          <w:tcPr>
            <w:tcW w:w="3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David Hart</w:t>
            </w:r>
          </w:p>
        </w:tc>
      </w:tr>
      <w:tr>
        <w:trPr>
          <w:trHeight w:val="238"/>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72"/>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/s/ Derek Watson</w:t>
            </w:r>
          </w:p>
        </w:tc>
      </w:tr>
      <w:tr>
        <w:trPr>
          <w:trHeight w:val="201"/>
        </w:trPr>
        <w:tc>
          <w:tcPr>
            <w:tcW w:w="3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Derek Watson</w:t>
            </w:r>
          </w:p>
        </w:tc>
      </w:tr>
      <w:tr>
        <w:trPr>
          <w:trHeight w:val="238"/>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662"/>
        </w:trPr>
        <w:tc>
          <w:tcPr>
            <w:tcW w:w="3420" w:type="dxa"/>
            <w:vAlign w:val="bottom"/>
          </w:tcPr>
          <w:p>
            <w:pPr>
              <w:spacing w:after="0"/>
              <w:rPr>
                <w:sz w:val="24"/>
                <w:szCs w:val="24"/>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5420" w:type="dxa"/>
            <w:vAlign w:val="bottom"/>
          </w:tcPr>
          <w:p>
            <w:pPr>
              <w:spacing w:after="0"/>
              <w:rPr>
                <w:sz w:val="24"/>
                <w:szCs w:val="24"/>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780" w:right="1980"/>
        <w:spacing w:after="0" w:line="256" w:lineRule="auto"/>
        <w:rPr>
          <w:sz w:val="20"/>
          <w:szCs w:val="20"/>
          <w:color w:val="auto"/>
        </w:rPr>
      </w:pPr>
      <w:r>
        <w:rPr>
          <w:rFonts w:ascii="Times New Roman" w:cs="Times New Roman" w:eastAsia="Times New Roman" w:hAnsi="Times New Roman"/>
          <w:sz w:val="20"/>
          <w:szCs w:val="20"/>
          <w:b w:val="1"/>
          <w:bCs w:val="1"/>
          <w:color w:val="auto"/>
        </w:rPr>
        <w:t>SIXTH SUPPLEMENTAL INDENTURE DATED AS OF THE 20</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20"/>
          <w:szCs w:val="20"/>
          <w:b w:val="1"/>
          <w:bCs w:val="1"/>
          <w:color w:val="auto"/>
        </w:rPr>
        <w:t xml:space="preserve"> DAY OF SEPTEMBER, 2023 BETWEEN</w:t>
      </w:r>
    </w:p>
    <w:p>
      <w:pPr>
        <w:spacing w:after="0" w:line="1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THE CANNABIST COMPANY HOLDINGS INC., AS ISSUER</w:t>
      </w:r>
    </w:p>
    <w:p>
      <w:pPr>
        <w:spacing w:after="0" w:line="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AND</w:t>
      </w: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ODYSSEY TRUST COMPANY,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210185</wp:posOffset>
            </wp:positionV>
            <wp:extent cx="579437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140"/>
          </w:cols>
          <w:pgMar w:left="1440" w:top="1440" w:right="1319" w:bottom="1440" w:gutter="0" w:footer="0" w:header="0"/>
        </w:sectPr>
      </w:pPr>
    </w:p>
    <w:bookmarkStart w:id="30" w:name="page31"/>
    <w:bookmarkEnd w:id="30"/>
    <w:p>
      <w:pPr>
        <w:ind w:left="940"/>
        <w:spacing w:after="0"/>
        <w:rPr>
          <w:sz w:val="20"/>
          <w:szCs w:val="20"/>
          <w:color w:val="auto"/>
        </w:rPr>
      </w:pPr>
      <w:r>
        <w:rPr>
          <w:rFonts w:ascii="Times New Roman" w:cs="Times New Roman" w:eastAsia="Times New Roman" w:hAnsi="Times New Roman"/>
          <w:sz w:val="20"/>
          <w:szCs w:val="20"/>
          <w:b w:val="1"/>
          <w:bCs w:val="1"/>
          <w:color w:val="auto"/>
        </w:rPr>
        <w:t xml:space="preserve">THIS SIXTH SUPPLEMENTAL INDENTURE </w:t>
      </w:r>
      <w:r>
        <w:rPr>
          <w:rFonts w:ascii="Times New Roman" w:cs="Times New Roman" w:eastAsia="Times New Roman" w:hAnsi="Times New Roman"/>
          <w:sz w:val="20"/>
          <w:szCs w:val="20"/>
          <w:color w:val="auto"/>
        </w:rPr>
        <w:t>dated as of September 20, 2023</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243" w:lineRule="exact"/>
        <w:rPr>
          <w:sz w:val="20"/>
          <w:szCs w:val="20"/>
          <w:color w:val="auto"/>
        </w:rPr>
      </w:pPr>
    </w:p>
    <w:p>
      <w:pPr>
        <w:ind w:left="1580" w:right="600"/>
        <w:spacing w:after="0" w:line="273" w:lineRule="auto"/>
        <w:rPr>
          <w:sz w:val="20"/>
          <w:szCs w:val="20"/>
          <w:color w:val="auto"/>
        </w:rPr>
      </w:pPr>
      <w:r>
        <w:rPr>
          <w:rFonts w:ascii="Times New Roman" w:cs="Times New Roman" w:eastAsia="Times New Roman" w:hAnsi="Times New Roman"/>
          <w:sz w:val="20"/>
          <w:szCs w:val="20"/>
          <w:b w:val="1"/>
          <w:bCs w:val="1"/>
          <w:color w:val="auto"/>
        </w:rPr>
        <w:t>THE CANNABIST COMPANY HOLDINGS INC.</w:t>
      </w:r>
      <w:r>
        <w:rPr>
          <w:rFonts w:ascii="Times New Roman" w:cs="Times New Roman" w:eastAsia="Times New Roman" w:hAnsi="Times New Roman"/>
          <w:sz w:val="20"/>
          <w:szCs w:val="20"/>
          <w:color w:val="auto"/>
        </w:rPr>
        <w:t>, a company subsisting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Province of British Columbia (hereinafter called the “</w:t>
      </w:r>
      <w:r>
        <w:rPr>
          <w:rFonts w:ascii="Times New Roman" w:cs="Times New Roman" w:eastAsia="Times New Roman" w:hAnsi="Times New Roman"/>
          <w:sz w:val="20"/>
          <w:szCs w:val="20"/>
          <w:b w:val="1"/>
          <w:bCs w:val="1"/>
          <w:color w:val="auto"/>
        </w:rPr>
        <w:t>Issuer</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center"/>
        <w:ind w:right="-1259"/>
        <w:spacing w:after="0"/>
        <w:rPr>
          <w:sz w:val="20"/>
          <w:szCs w:val="20"/>
          <w:color w:val="auto"/>
        </w:rPr>
      </w:pPr>
      <w:r>
        <w:rPr>
          <w:rFonts w:ascii="Times New Roman" w:cs="Times New Roman" w:eastAsia="Times New Roman" w:hAnsi="Times New Roman"/>
          <w:sz w:val="20"/>
          <w:szCs w:val="20"/>
          <w:color w:val="auto"/>
        </w:rPr>
        <w:t>- and -</w:t>
      </w:r>
    </w:p>
    <w:p>
      <w:pPr>
        <w:spacing w:after="0" w:line="225" w:lineRule="exact"/>
        <w:rPr>
          <w:sz w:val="20"/>
          <w:szCs w:val="20"/>
          <w:color w:val="auto"/>
        </w:rPr>
      </w:pPr>
    </w:p>
    <w:p>
      <w:pPr>
        <w:jc w:val="both"/>
        <w:ind w:left="1580" w:right="340"/>
        <w:spacing w:after="0" w:line="256" w:lineRule="auto"/>
        <w:rPr>
          <w:sz w:val="20"/>
          <w:szCs w:val="20"/>
          <w:color w:val="auto"/>
        </w:rPr>
      </w:pPr>
      <w:r>
        <w:rPr>
          <w:rFonts w:ascii="Times New Roman" w:cs="Times New Roman" w:eastAsia="Times New Roman" w:hAnsi="Times New Roman"/>
          <w:sz w:val="20"/>
          <w:szCs w:val="20"/>
          <w:b w:val="1"/>
          <w:bCs w:val="1"/>
          <w:color w:val="auto"/>
        </w:rPr>
        <w:t>ODYSSEY TRUST COMPANY</w:t>
      </w:r>
      <w:r>
        <w:rPr>
          <w:rFonts w:ascii="Times New Roman" w:cs="Times New Roman" w:eastAsia="Times New Roman" w:hAnsi="Times New Roman"/>
          <w:sz w:val="20"/>
          <w:szCs w:val="20"/>
          <w:color w:val="auto"/>
        </w:rPr>
        <w:t>, a trust company continued under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Canada authorized to carry on the business of a trust company in British Columbia (hereinafter called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300" w:right="340" w:firstLine="65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Issuer has entered into a trust indenture with the Trustee dated as of May 14,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2020 (the “</w:t>
      </w:r>
      <w:r>
        <w:rPr>
          <w:rFonts w:ascii="Times New Roman" w:cs="Times New Roman" w:eastAsia="Times New Roman" w:hAnsi="Times New Roman"/>
          <w:sz w:val="20"/>
          <w:szCs w:val="20"/>
          <w:b w:val="1"/>
          <w:bCs w:val="1"/>
          <w:color w:val="auto"/>
        </w:rPr>
        <w:t>Original Indenture</w:t>
      </w:r>
      <w:r>
        <w:rPr>
          <w:rFonts w:ascii="Times New Roman" w:cs="Times New Roman" w:eastAsia="Times New Roman" w:hAnsi="Times New Roman"/>
          <w:sz w:val="20"/>
          <w:szCs w:val="20"/>
          <w:color w:val="auto"/>
        </w:rPr>
        <w:t>”), as supplemented by a first supplemental trust indenture dated as of June 19, 2020 (the “</w:t>
      </w:r>
      <w:r>
        <w:rPr>
          <w:rFonts w:ascii="Times New Roman" w:cs="Times New Roman" w:eastAsia="Times New Roman" w:hAnsi="Times New Roman"/>
          <w:sz w:val="20"/>
          <w:szCs w:val="20"/>
          <w:b w:val="1"/>
          <w:bCs w:val="1"/>
          <w:color w:val="auto"/>
        </w:rPr>
        <w:t>First Supplemental Indenture</w:t>
      </w:r>
      <w:r>
        <w:rPr>
          <w:rFonts w:ascii="Times New Roman" w:cs="Times New Roman" w:eastAsia="Times New Roman" w:hAnsi="Times New Roman"/>
          <w:sz w:val="20"/>
          <w:szCs w:val="20"/>
          <w:color w:val="auto"/>
        </w:rPr>
        <w:t>”), and as supplemented by a second supplemental trust indenture dated as of June 29, 2021 (the “</w:t>
      </w:r>
      <w:r>
        <w:rPr>
          <w:rFonts w:ascii="Times New Roman" w:cs="Times New Roman" w:eastAsia="Times New Roman" w:hAnsi="Times New Roman"/>
          <w:sz w:val="20"/>
          <w:szCs w:val="20"/>
          <w:b w:val="1"/>
          <w:bCs w:val="1"/>
          <w:color w:val="auto"/>
        </w:rPr>
        <w:t>Second Supplemental Indenture</w:t>
      </w:r>
      <w:r>
        <w:rPr>
          <w:rFonts w:ascii="Times New Roman" w:cs="Times New Roman" w:eastAsia="Times New Roman" w:hAnsi="Times New Roman"/>
          <w:sz w:val="20"/>
          <w:szCs w:val="20"/>
          <w:color w:val="auto"/>
        </w:rPr>
        <w:t>”), a third supplemental indenture dated as of February 2, 2022 (the “</w:t>
      </w:r>
      <w:r>
        <w:rPr>
          <w:rFonts w:ascii="Times New Roman" w:cs="Times New Roman" w:eastAsia="Times New Roman" w:hAnsi="Times New Roman"/>
          <w:sz w:val="20"/>
          <w:szCs w:val="20"/>
          <w:b w:val="1"/>
          <w:bCs w:val="1"/>
          <w:color w:val="auto"/>
        </w:rPr>
        <w:t>Third Supplemental Indenture</w:t>
      </w:r>
      <w:r>
        <w:rPr>
          <w:rFonts w:ascii="Times New Roman" w:cs="Times New Roman" w:eastAsia="Times New Roman" w:hAnsi="Times New Roman"/>
          <w:sz w:val="20"/>
          <w:szCs w:val="20"/>
          <w:color w:val="auto"/>
        </w:rPr>
        <w:t>”), a fourth supplemental indenture dated as of February 3, 2022 (the “</w:t>
      </w:r>
      <w:r>
        <w:rPr>
          <w:rFonts w:ascii="Times New Roman" w:cs="Times New Roman" w:eastAsia="Times New Roman" w:hAnsi="Times New Roman"/>
          <w:sz w:val="20"/>
          <w:szCs w:val="20"/>
          <w:b w:val="1"/>
          <w:bCs w:val="1"/>
          <w:color w:val="auto"/>
        </w:rPr>
        <w:t>Fourth Supplemental Indenture</w:t>
      </w:r>
      <w:r>
        <w:rPr>
          <w:rFonts w:ascii="Times New Roman" w:cs="Times New Roman" w:eastAsia="Times New Roman" w:hAnsi="Times New Roman"/>
          <w:sz w:val="20"/>
          <w:szCs w:val="20"/>
          <w:color w:val="auto"/>
        </w:rPr>
        <w:t>”) and a fifth supplemental indenture dated as of September 20, 2023 (the “</w:t>
      </w:r>
      <w:r>
        <w:rPr>
          <w:rFonts w:ascii="Times New Roman" w:cs="Times New Roman" w:eastAsia="Times New Roman" w:hAnsi="Times New Roman"/>
          <w:sz w:val="20"/>
          <w:szCs w:val="20"/>
          <w:b w:val="1"/>
          <w:bCs w:val="1"/>
          <w:color w:val="auto"/>
        </w:rPr>
        <w:t>Fifth Supplemental Indenture</w:t>
      </w:r>
      <w:r>
        <w:rPr>
          <w:rFonts w:ascii="Times New Roman" w:cs="Times New Roman" w:eastAsia="Times New Roman" w:hAnsi="Times New Roman"/>
          <w:sz w:val="20"/>
          <w:szCs w:val="20"/>
          <w:color w:val="auto"/>
        </w:rPr>
        <w:t>” and together with the Original Indenture, the First Supplemental Indenture, the Second Supplemental Indenture, the Third Supplemental Indenture and the Fourth Supplemental Indenture,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300" w:right="460" w:firstLine="647"/>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AND WEHREAS </w:t>
      </w:r>
      <w:r>
        <w:rPr>
          <w:rFonts w:ascii="Times New Roman" w:cs="Times New Roman" w:eastAsia="Times New Roman" w:hAnsi="Times New Roman"/>
          <w:sz w:val="20"/>
          <w:szCs w:val="20"/>
          <w:color w:val="auto"/>
        </w:rPr>
        <w:t>on September 20, 2023 the Issuer changed its name from Columbia Care Inc.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Cannabist Company Holdings Inc.;</w:t>
      </w:r>
    </w:p>
    <w:p>
      <w:pPr>
        <w:spacing w:after="0" w:line="152" w:lineRule="exact"/>
        <w:rPr>
          <w:sz w:val="20"/>
          <w:szCs w:val="20"/>
          <w:color w:val="auto"/>
        </w:rPr>
      </w:pPr>
    </w:p>
    <w:p>
      <w:pPr>
        <w:jc w:val="both"/>
        <w:ind w:left="300" w:right="340" w:firstLine="647"/>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AND WHEREAS </w:t>
      </w:r>
      <w:r>
        <w:rPr>
          <w:rFonts w:ascii="Times New Roman" w:cs="Times New Roman" w:eastAsia="Times New Roman" w:hAnsi="Times New Roman"/>
          <w:sz w:val="20"/>
          <w:szCs w:val="20"/>
          <w:color w:val="auto"/>
        </w:rPr>
        <w:t>the purpose of this sixth supplemental indenture (the “</w:t>
      </w:r>
      <w:r>
        <w:rPr>
          <w:rFonts w:ascii="Times New Roman" w:cs="Times New Roman" w:eastAsia="Times New Roman" w:hAnsi="Times New Roman"/>
          <w:sz w:val="20"/>
          <w:szCs w:val="20"/>
          <w:b w:val="1"/>
          <w:bCs w:val="1"/>
          <w:color w:val="auto"/>
        </w:rPr>
        <w:t>Sixth Supplemental Indenture</w:t>
      </w:r>
      <w:r>
        <w:rPr>
          <w:rFonts w:ascii="Times New Roman" w:cs="Times New Roman" w:eastAsia="Times New Roman" w:hAnsi="Times New Roman"/>
          <w:sz w:val="20"/>
          <w:szCs w:val="20"/>
          <w:color w:val="auto"/>
        </w:rPr>
        <w:t>”) is to update and amend the Indenture to provide for the name change of the Issuer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above;</w:t>
      </w:r>
    </w:p>
    <w:p>
      <w:pPr>
        <w:spacing w:after="0" w:line="169" w:lineRule="exact"/>
        <w:rPr>
          <w:sz w:val="20"/>
          <w:szCs w:val="20"/>
          <w:color w:val="auto"/>
        </w:rPr>
      </w:pPr>
    </w:p>
    <w:p>
      <w:pPr>
        <w:ind w:left="300" w:right="360" w:firstLine="647"/>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AND WHEREAS </w:t>
      </w:r>
      <w:r>
        <w:rPr>
          <w:rFonts w:ascii="Times New Roman" w:cs="Times New Roman" w:eastAsia="Times New Roman" w:hAnsi="Times New Roman"/>
          <w:sz w:val="20"/>
          <w:szCs w:val="20"/>
          <w:color w:val="auto"/>
        </w:rPr>
        <w:t>the foregoing recitals are made as representations and statements of fact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Issuer and not by the Trustee;</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NOW THEREFORE THIS SIXTH SUPPLEMENTAL INDENTURE WITNESSETH</w:t>
      </w:r>
    </w:p>
    <w:p>
      <w:pPr>
        <w:spacing w:after="0" w:line="32"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20"/>
          <w:szCs w:val="20"/>
          <w:color w:val="auto"/>
        </w:rPr>
        <w:t>that in consideration of the foregoing and the mutual agreements contained herein (the receipt and adequacy of which are acknowledged), the parties agree as follows:</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196" w:lineRule="exact"/>
        <w:rPr>
          <w:sz w:val="20"/>
          <w:szCs w:val="20"/>
          <w:color w:val="auto"/>
        </w:rPr>
      </w:pPr>
    </w:p>
    <w:p>
      <w:pPr>
        <w:ind w:left="300"/>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Interpretation Provisions.</w:t>
      </w:r>
    </w:p>
    <w:p>
      <w:pPr>
        <w:spacing w:after="0" w:line="247" w:lineRule="exact"/>
        <w:rPr>
          <w:sz w:val="20"/>
          <w:szCs w:val="20"/>
          <w:color w:val="auto"/>
        </w:rPr>
      </w:pPr>
    </w:p>
    <w:p>
      <w:pPr>
        <w:jc w:val="both"/>
        <w:ind w:left="300" w:right="340" w:firstLine="647"/>
        <w:spacing w:after="0" w:line="245" w:lineRule="auto"/>
        <w:rPr>
          <w:sz w:val="20"/>
          <w:szCs w:val="20"/>
          <w:color w:val="auto"/>
        </w:rPr>
      </w:pPr>
      <w:r>
        <w:rPr>
          <w:rFonts w:ascii="Times New Roman" w:cs="Times New Roman" w:eastAsia="Times New Roman" w:hAnsi="Times New Roman"/>
          <w:sz w:val="20"/>
          <w:szCs w:val="20"/>
          <w:color w:val="auto"/>
        </w:rPr>
        <w:t>This Sixth Supplemental Indenture is a supplemental indenture to the Indenture. The Indenture and this Sixth Supplemental Indenture will be read together and will have effect as though all the provisions of both indentures were contained in one instrument. If any terms of the Indenture are inconsistent with the express terms or provisions hereof, the terms of this Sixth Supplemental Indenture shall prevail to the extent of the inconsistency. Capitalized terms not otherwise defined herein shall have the meaning ascribed to such terms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598805</wp:posOffset>
            </wp:positionV>
            <wp:extent cx="579437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60"/>
          </w:cols>
          <w:pgMar w:left="1440" w:top="1422" w:right="13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color w:val="auto"/>
        </w:rPr>
        <w:t>- 2 -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and Supplement</w:t>
      </w:r>
    </w:p>
    <w:p>
      <w:pPr>
        <w:spacing w:after="0" w:line="196" w:lineRule="exact"/>
        <w:rPr>
          <w:sz w:val="20"/>
          <w:szCs w:val="20"/>
          <w:color w:val="auto"/>
        </w:rPr>
      </w:pPr>
    </w:p>
    <w:p>
      <w:pPr>
        <w:ind w:left="300"/>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Section 2.1</w:t>
      </w:r>
      <w:r>
        <w:rPr>
          <w:sz w:val="20"/>
          <w:szCs w:val="20"/>
          <w:color w:val="auto"/>
        </w:rPr>
        <w:tab/>
      </w:r>
      <w:r>
        <w:rPr>
          <w:rFonts w:ascii="Times New Roman" w:cs="Times New Roman" w:eastAsia="Times New Roman" w:hAnsi="Times New Roman"/>
          <w:sz w:val="19"/>
          <w:szCs w:val="19"/>
          <w:b w:val="1"/>
          <w:bCs w:val="1"/>
          <w:color w:val="auto"/>
        </w:rPr>
        <w:t>Amendments.</w:t>
      </w:r>
    </w:p>
    <w:p>
      <w:pPr>
        <w:spacing w:after="0" w:line="247" w:lineRule="exact"/>
        <w:rPr>
          <w:sz w:val="20"/>
          <w:szCs w:val="20"/>
          <w:color w:val="auto"/>
        </w:rPr>
      </w:pPr>
    </w:p>
    <w:p>
      <w:pPr>
        <w:ind w:left="1500" w:right="1499" w:hanging="560"/>
        <w:spacing w:after="0" w:line="254" w:lineRule="auto"/>
        <w:tabs>
          <w:tab w:leader="none" w:pos="15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 in Section 1.1 of the Indenture shall be deleted and replaced with the definition set out below:</w:t>
      </w:r>
    </w:p>
    <w:p>
      <w:pPr>
        <w:spacing w:after="0" w:line="1" w:lineRule="exact"/>
        <w:rPr>
          <w:rFonts w:ascii="Times New Roman" w:cs="Times New Roman" w:eastAsia="Times New Roman" w:hAnsi="Times New Roman"/>
          <w:sz w:val="20"/>
          <w:szCs w:val="20"/>
          <w:color w:val="auto"/>
        </w:rPr>
      </w:pPr>
    </w:p>
    <w:p>
      <w:pPr>
        <w:ind w:left="1580" w:right="439"/>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Issuer</w:t>
      </w:r>
      <w:r>
        <w:rPr>
          <w:rFonts w:ascii="Times New Roman" w:cs="Times New Roman" w:eastAsia="Times New Roman" w:hAnsi="Times New Roman"/>
          <w:sz w:val="20"/>
          <w:szCs w:val="20"/>
          <w:color w:val="auto"/>
        </w:rPr>
        <w:t>” means The Cannabist Company Holdings Inc. and includes any successor to or of the Issuer, as permitted by the terms hereof.</w:t>
      </w:r>
    </w:p>
    <w:p>
      <w:pPr>
        <w:spacing w:after="0" w:line="93" w:lineRule="exact"/>
        <w:rPr>
          <w:rFonts w:ascii="Times New Roman" w:cs="Times New Roman" w:eastAsia="Times New Roman" w:hAnsi="Times New Roman"/>
          <w:sz w:val="20"/>
          <w:szCs w:val="20"/>
          <w:color w:val="auto"/>
        </w:rPr>
      </w:pPr>
    </w:p>
    <w:p>
      <w:pPr>
        <w:ind w:left="1540" w:right="559" w:hanging="613"/>
        <w:spacing w:after="0" w:line="269" w:lineRule="auto"/>
        <w:tabs>
          <w:tab w:leader="none" w:pos="15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2024 Notes issued after the date hereof, Appendix A of the Trust Indenture shall be deleted and replaced with Appendix “A” hereto.</w:t>
      </w:r>
    </w:p>
    <w:p>
      <w:pPr>
        <w:spacing w:after="0" w:line="172" w:lineRule="exact"/>
        <w:rPr>
          <w:rFonts w:ascii="Times New Roman" w:cs="Times New Roman" w:eastAsia="Times New Roman" w:hAnsi="Times New Roman"/>
          <w:sz w:val="20"/>
          <w:szCs w:val="20"/>
          <w:color w:val="auto"/>
        </w:rPr>
      </w:pPr>
    </w:p>
    <w:p>
      <w:pPr>
        <w:ind w:left="1540" w:right="959" w:hanging="600"/>
        <w:spacing w:after="0" w:line="295" w:lineRule="auto"/>
        <w:tabs>
          <w:tab w:leader="none" w:pos="15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2023 Convertible Notes Issued after the date hereof, Schedule “A” of the First Supplemental Indenture shall be deleted and replaced with Appendix “B” hereto.</w:t>
      </w:r>
    </w:p>
    <w:p>
      <w:pPr>
        <w:spacing w:after="0" w:line="137" w:lineRule="exact"/>
        <w:rPr>
          <w:rFonts w:ascii="Times New Roman" w:cs="Times New Roman" w:eastAsia="Times New Roman" w:hAnsi="Times New Roman"/>
          <w:sz w:val="19"/>
          <w:szCs w:val="19"/>
          <w:color w:val="auto"/>
        </w:rPr>
      </w:pPr>
    </w:p>
    <w:p>
      <w:pPr>
        <w:ind w:left="1520" w:right="779" w:hanging="593"/>
        <w:spacing w:after="0" w:line="295" w:lineRule="auto"/>
        <w:tabs>
          <w:tab w:leader="none" w:pos="152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2025 Convertible Notes issued after the date hereof, Schedule “A” of the Second Supplemental Indenture shall be deleted and replaced with Appendix “C” hereto.</w:t>
      </w:r>
    </w:p>
    <w:p>
      <w:pPr>
        <w:spacing w:after="0" w:line="124" w:lineRule="exact"/>
        <w:rPr>
          <w:rFonts w:ascii="Times New Roman" w:cs="Times New Roman" w:eastAsia="Times New Roman" w:hAnsi="Times New Roman"/>
          <w:sz w:val="19"/>
          <w:szCs w:val="19"/>
          <w:color w:val="auto"/>
        </w:rPr>
      </w:pPr>
    </w:p>
    <w:p>
      <w:pPr>
        <w:ind w:left="1540" w:right="659" w:hanging="600"/>
        <w:spacing w:after="0" w:line="269" w:lineRule="auto"/>
        <w:tabs>
          <w:tab w:leader="none" w:pos="15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2026 Notes issued after the date hereof, Schedule “A” of the Fourth Supplemental Indenture shall be deleted and replaced with Appendix “D” hereto.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23" w:lineRule="exact"/>
        <w:rPr>
          <w:sz w:val="20"/>
          <w:szCs w:val="20"/>
          <w:color w:val="auto"/>
        </w:rPr>
      </w:pPr>
    </w:p>
    <w:p>
      <w:pPr>
        <w:ind w:left="300"/>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Section 3.1</w:t>
      </w:r>
      <w:r>
        <w:rPr>
          <w:sz w:val="20"/>
          <w:szCs w:val="20"/>
          <w:color w:val="auto"/>
        </w:rPr>
        <w:tab/>
      </w:r>
      <w:r>
        <w:rPr>
          <w:rFonts w:ascii="Times New Roman" w:cs="Times New Roman" w:eastAsia="Times New Roman" w:hAnsi="Times New Roman"/>
          <w:sz w:val="19"/>
          <w:szCs w:val="19"/>
          <w:b w:val="1"/>
          <w:bCs w:val="1"/>
          <w:color w:val="auto"/>
        </w:rPr>
        <w:t>Effective Date.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This Sixth Supplemental Indenture shall take effect upon the date first above written.</w:t>
      </w:r>
    </w:p>
    <w:p>
      <w:pPr>
        <w:spacing w:after="0" w:line="212" w:lineRule="exact"/>
        <w:rPr>
          <w:sz w:val="20"/>
          <w:szCs w:val="20"/>
          <w:color w:val="auto"/>
        </w:rPr>
      </w:pPr>
    </w:p>
    <w:p>
      <w:pPr>
        <w:ind w:left="300"/>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Section 3.2</w:t>
      </w:r>
      <w:r>
        <w:rPr>
          <w:sz w:val="20"/>
          <w:szCs w:val="20"/>
          <w:color w:val="auto"/>
        </w:rPr>
        <w:tab/>
      </w:r>
      <w:r>
        <w:rPr>
          <w:rFonts w:ascii="Times New Roman" w:cs="Times New Roman" w:eastAsia="Times New Roman" w:hAnsi="Times New Roman"/>
          <w:sz w:val="19"/>
          <w:szCs w:val="19"/>
          <w:b w:val="1"/>
          <w:bCs w:val="1"/>
          <w:color w:val="auto"/>
        </w:rPr>
        <w:t>Counterparts.</w:t>
      </w:r>
    </w:p>
    <w:p>
      <w:pPr>
        <w:spacing w:after="0" w:line="247" w:lineRule="exact"/>
        <w:rPr>
          <w:sz w:val="20"/>
          <w:szCs w:val="20"/>
          <w:color w:val="auto"/>
        </w:rPr>
      </w:pPr>
    </w:p>
    <w:p>
      <w:pPr>
        <w:jc w:val="both"/>
        <w:ind w:left="300" w:right="299" w:firstLine="647"/>
        <w:spacing w:after="0" w:line="249" w:lineRule="auto"/>
        <w:rPr>
          <w:sz w:val="20"/>
          <w:szCs w:val="20"/>
          <w:color w:val="auto"/>
        </w:rPr>
      </w:pPr>
      <w:r>
        <w:rPr>
          <w:rFonts w:ascii="Times New Roman" w:cs="Times New Roman" w:eastAsia="Times New Roman" w:hAnsi="Times New Roman"/>
          <w:sz w:val="20"/>
          <w:szCs w:val="20"/>
          <w:color w:val="auto"/>
        </w:rPr>
        <w:t>This Sixth Supplemental Indenture may be executed in one or more counterparts, each of which taken together shall constitute one and the same instrument. Counterparts may be executed either in original or electronic form and the parties hereto adopt any signatures received by electronic means as original signatures of the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621030</wp:posOffset>
            </wp:positionV>
            <wp:extent cx="579437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32" w:name="page33"/>
    <w:bookmarkEnd w:id="32"/>
    <w:p>
      <w:pPr>
        <w:ind w:left="300" w:right="2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OF WHICH </w:t>
      </w:r>
      <w:r>
        <w:rPr>
          <w:rFonts w:ascii="Times New Roman" w:cs="Times New Roman" w:eastAsia="Times New Roman" w:hAnsi="Times New Roman"/>
          <w:sz w:val="20"/>
          <w:szCs w:val="20"/>
          <w:color w:val="auto"/>
        </w:rPr>
        <w:t>this Sixth Supplemental Indenture has been duly executed by the Issuer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Trustee.</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Dated as of the date first written above.</w:t>
      </w:r>
    </w:p>
    <w:p>
      <w:pPr>
        <w:spacing w:after="0" w:line="2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THE CANNABIST COMPANY</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HOLDINGS INC.</w:t>
      </w:r>
    </w:p>
    <w:p>
      <w:pPr>
        <w:spacing w:after="0" w:line="200" w:lineRule="exact"/>
        <w:rPr>
          <w:sz w:val="20"/>
          <w:szCs w:val="20"/>
          <w:color w:val="auto"/>
        </w:rPr>
      </w:pPr>
    </w:p>
    <w:p>
      <w:pPr>
        <w:spacing w:after="0" w:line="372" w:lineRule="exact"/>
        <w:rPr>
          <w:sz w:val="20"/>
          <w:szCs w:val="20"/>
          <w:color w:val="auto"/>
        </w:rPr>
      </w:pPr>
    </w:p>
    <w:p>
      <w:pPr>
        <w:ind w:left="4700"/>
        <w:spacing w:after="0"/>
        <w:tabs>
          <w:tab w:leader="none" w:pos="5200" w:val="left"/>
        </w:tabs>
        <w:rPr>
          <w:sz w:val="20"/>
          <w:szCs w:val="20"/>
          <w:color w:val="auto"/>
        </w:rPr>
      </w:pPr>
      <w:r>
        <w:rPr>
          <w:rFonts w:ascii="Times New Roman" w:cs="Times New Roman" w:eastAsia="Times New Roman" w:hAnsi="Times New Roman"/>
          <w:sz w:val="20"/>
          <w:szCs w:val="20"/>
          <w:color w:val="auto"/>
        </w:rPr>
        <w:t>Per:</w:t>
      </w:r>
      <w:r>
        <w:rPr>
          <w:sz w:val="20"/>
          <w:szCs w:val="20"/>
          <w:color w:val="auto"/>
        </w:rPr>
        <w:tab/>
      </w:r>
      <w:r>
        <w:rPr>
          <w:rFonts w:ascii="Times New Roman" w:cs="Times New Roman" w:eastAsia="Times New Roman" w:hAnsi="Times New Roman"/>
          <w:sz w:val="19"/>
          <w:szCs w:val="19"/>
          <w:i w:val="1"/>
          <w:iCs w:val="1"/>
          <w:u w:val="single" w:color="auto"/>
          <w:color w:val="auto"/>
        </w:rPr>
        <w:t xml:space="preserve">(Signed) </w:t>
      </w:r>
      <w:r>
        <w:rPr>
          <w:rFonts w:ascii="Times New Roman" w:cs="Times New Roman" w:eastAsia="Times New Roman" w:hAnsi="Times New Roman"/>
          <w:sz w:val="19"/>
          <w:szCs w:val="19"/>
          <w:u w:val="single" w:color="auto"/>
          <w:color w:val="auto"/>
        </w:rPr>
        <w:t>"Nicholas Vita"</w:t>
      </w:r>
    </w:p>
    <w:p>
      <w:pPr>
        <w:spacing w:after="0" w:line="1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Name: Nicholas Vita</w:t>
      </w:r>
    </w:p>
    <w:p>
      <w:pPr>
        <w:spacing w:after="0" w:line="81" w:lineRule="exact"/>
        <w:rPr>
          <w:sz w:val="20"/>
          <w:szCs w:val="20"/>
          <w:color w:val="auto"/>
        </w:rPr>
      </w:pPr>
    </w:p>
    <w:p>
      <w:pPr>
        <w:ind w:left="5260"/>
        <w:spacing w:after="0"/>
        <w:tabs>
          <w:tab w:leader="none" w:pos="60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ODYSSEY TRUST COMPANY, as Trustee</w:t>
      </w:r>
    </w:p>
    <w:p>
      <w:pPr>
        <w:spacing w:after="0" w:line="200" w:lineRule="exact"/>
        <w:rPr>
          <w:sz w:val="20"/>
          <w:szCs w:val="20"/>
          <w:color w:val="auto"/>
        </w:rPr>
      </w:pPr>
    </w:p>
    <w:p>
      <w:pPr>
        <w:spacing w:after="0" w:line="384" w:lineRule="exact"/>
        <w:rPr>
          <w:sz w:val="20"/>
          <w:szCs w:val="20"/>
          <w:color w:val="auto"/>
        </w:rPr>
      </w:pPr>
    </w:p>
    <w:tbl>
      <w:tblPr>
        <w:tblLayout w:type="fixed"/>
        <w:tblInd w:w="470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Per:</w:t>
            </w:r>
          </w:p>
        </w:tc>
        <w:tc>
          <w:tcPr>
            <w:tcW w:w="680" w:type="dxa"/>
            <w:vAlign w:val="bottom"/>
          </w:tcPr>
          <w:p>
            <w:pPr>
              <w:spacing w:after="0"/>
              <w:rPr>
                <w:sz w:val="20"/>
                <w:szCs w:val="20"/>
                <w:color w:val="auto"/>
              </w:rPr>
            </w:pPr>
          </w:p>
        </w:tc>
        <w:tc>
          <w:tcPr>
            <w:tcW w:w="1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w w:val="98"/>
              </w:rPr>
              <w:t xml:space="preserve">(Signed) </w:t>
            </w:r>
            <w:r>
              <w:rPr>
                <w:rFonts w:ascii="Times New Roman" w:cs="Times New Roman" w:eastAsia="Times New Roman" w:hAnsi="Times New Roman"/>
                <w:sz w:val="20"/>
                <w:szCs w:val="20"/>
                <w:color w:val="auto"/>
                <w:w w:val="98"/>
              </w:rPr>
              <w:t>"Dan Sander"</w:t>
            </w:r>
          </w:p>
        </w:tc>
      </w:tr>
      <w:tr>
        <w:trPr>
          <w:trHeight w:val="337"/>
        </w:trPr>
        <w:tc>
          <w:tcPr>
            <w:tcW w:w="37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Name: Dan Sander</w:t>
            </w:r>
          </w:p>
        </w:tc>
      </w:tr>
      <w:tr>
        <w:trPr>
          <w:trHeight w:val="311"/>
        </w:trPr>
        <w:tc>
          <w:tcPr>
            <w:tcW w:w="11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Title:</w:t>
            </w: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President, Corporate Trust</w:t>
            </w: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5800" w:type="dxa"/>
            <w:vAlign w:val="bottom"/>
          </w:tcPr>
          <w:p>
            <w:pPr>
              <w:ind w:left="4640"/>
              <w:spacing w:after="0"/>
              <w:rPr>
                <w:sz w:val="20"/>
                <w:szCs w:val="20"/>
                <w:color w:val="auto"/>
              </w:rPr>
            </w:pPr>
            <w:r>
              <w:rPr>
                <w:rFonts w:ascii="Times New Roman" w:cs="Times New Roman" w:eastAsia="Times New Roman" w:hAnsi="Times New Roman"/>
                <w:sz w:val="20"/>
                <w:szCs w:val="20"/>
                <w:color w:val="auto"/>
              </w:rPr>
              <w:t>Per:</w:t>
            </w:r>
          </w:p>
        </w:tc>
        <w:tc>
          <w:tcPr>
            <w:tcW w:w="52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20"/>
                <w:szCs w:val="20"/>
                <w:i w:val="1"/>
                <w:iCs w:val="1"/>
                <w:color w:val="auto"/>
              </w:rPr>
              <w:t xml:space="preserve">(Signed) </w:t>
            </w:r>
            <w:r>
              <w:rPr>
                <w:rFonts w:ascii="Times New Roman" w:cs="Times New Roman" w:eastAsia="Times New Roman" w:hAnsi="Times New Roman"/>
                <w:sz w:val="20"/>
                <w:szCs w:val="20"/>
                <w:color w:val="auto"/>
              </w:rPr>
              <w:t>"Amy Douglas"</w:t>
            </w:r>
          </w:p>
        </w:tc>
      </w:tr>
      <w:tr>
        <w:trPr>
          <w:trHeight w:val="20"/>
        </w:trPr>
        <w:tc>
          <w:tcPr>
            <w:tcW w:w="632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50"/>
        </w:trPr>
        <w:tc>
          <w:tcPr>
            <w:tcW w:w="9080" w:type="dxa"/>
            <w:vAlign w:val="bottom"/>
            <w:gridSpan w:val="4"/>
          </w:tcPr>
          <w:p>
            <w:pPr>
              <w:ind w:left="5180"/>
              <w:spacing w:after="0"/>
              <w:rPr>
                <w:sz w:val="20"/>
                <w:szCs w:val="20"/>
                <w:color w:val="auto"/>
              </w:rPr>
            </w:pPr>
            <w:r>
              <w:rPr>
                <w:rFonts w:ascii="Times New Roman" w:cs="Times New Roman" w:eastAsia="Times New Roman" w:hAnsi="Times New Roman"/>
                <w:sz w:val="20"/>
                <w:szCs w:val="20"/>
                <w:color w:val="auto"/>
              </w:rPr>
              <w:t>Name: Amy Douglas</w:t>
            </w:r>
          </w:p>
        </w:tc>
      </w:tr>
      <w:tr>
        <w:trPr>
          <w:trHeight w:val="282"/>
        </w:trPr>
        <w:tc>
          <w:tcPr>
            <w:tcW w:w="5800" w:type="dxa"/>
            <w:vAlign w:val="bottom"/>
          </w:tcPr>
          <w:p>
            <w:pPr>
              <w:ind w:left="5180"/>
              <w:spacing w:after="0"/>
              <w:rPr>
                <w:sz w:val="20"/>
                <w:szCs w:val="20"/>
                <w:color w:val="auto"/>
              </w:rPr>
            </w:pPr>
            <w:r>
              <w:rPr>
                <w:rFonts w:ascii="Times New Roman" w:cs="Times New Roman" w:eastAsia="Times New Roman" w:hAnsi="Times New Roman"/>
                <w:sz w:val="20"/>
                <w:szCs w:val="20"/>
                <w:color w:val="auto"/>
              </w:rPr>
              <w:t>Title:</w:t>
            </w:r>
          </w:p>
        </w:tc>
        <w:tc>
          <w:tcPr>
            <w:tcW w:w="3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Senior Director, Corporate</w:t>
            </w:r>
          </w:p>
        </w:tc>
      </w:tr>
      <w:tr>
        <w:trPr>
          <w:trHeight w:val="258"/>
        </w:trPr>
        <w:tc>
          <w:tcPr>
            <w:tcW w:w="5800" w:type="dxa"/>
            <w:vAlign w:val="bottom"/>
          </w:tcPr>
          <w:p>
            <w:pPr>
              <w:ind w:left="5180"/>
              <w:spacing w:after="0"/>
              <w:rPr>
                <w:sz w:val="20"/>
                <w:szCs w:val="20"/>
                <w:color w:val="auto"/>
              </w:rPr>
            </w:pPr>
            <w:r>
              <w:rPr>
                <w:rFonts w:ascii="Times New Roman" w:cs="Times New Roman" w:eastAsia="Times New Roman" w:hAnsi="Times New Roman"/>
                <w:sz w:val="20"/>
                <w:szCs w:val="20"/>
                <w:color w:val="auto"/>
              </w:rPr>
              <w:t>Trust</w:t>
            </w:r>
          </w:p>
        </w:tc>
        <w:tc>
          <w:tcPr>
            <w:tcW w:w="5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203"/>
        </w:trPr>
        <w:tc>
          <w:tcPr>
            <w:tcW w:w="5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9140"/>
          </w:cols>
          <w:pgMar w:left="1440" w:top="1395" w:right="1319" w:bottom="1440" w:gutter="0" w:footer="0" w:header="0"/>
        </w:sectPr>
      </w:pPr>
    </w:p>
    <w:bookmarkStart w:id="33" w:name="page34"/>
    <w:bookmarkEnd w:id="33"/>
    <w:p>
      <w:pPr>
        <w:ind w:left="3920"/>
        <w:spacing w:after="0"/>
        <w:rPr>
          <w:sz w:val="20"/>
          <w:szCs w:val="20"/>
          <w:color w:val="auto"/>
        </w:rPr>
      </w:pPr>
      <w:r>
        <w:rPr>
          <w:rFonts w:ascii="Times New Roman" w:cs="Times New Roman" w:eastAsia="Times New Roman" w:hAnsi="Times New Roman"/>
          <w:sz w:val="20"/>
          <w:szCs w:val="20"/>
          <w:b w:val="1"/>
          <w:bCs w:val="1"/>
          <w:color w:val="auto"/>
        </w:rPr>
        <w:t xml:space="preserve">Appendix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Trust Indenture</w:t>
      </w:r>
    </w:p>
    <w:p>
      <w:pPr>
        <w:spacing w:after="0" w:line="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FORM OF 2023</w:t>
      </w:r>
    </w:p>
    <w:p>
      <w:pPr>
        <w:ind w:left="4220"/>
        <w:spacing w:after="0"/>
        <w:rPr>
          <w:sz w:val="20"/>
          <w:szCs w:val="20"/>
          <w:color w:val="auto"/>
        </w:rPr>
      </w:pPr>
      <w:r>
        <w:rPr>
          <w:rFonts w:ascii="Times New Roman" w:cs="Times New Roman" w:eastAsia="Times New Roman" w:hAnsi="Times New Roman"/>
          <w:sz w:val="20"/>
          <w:szCs w:val="20"/>
          <w:b w:val="1"/>
          <w:bCs w:val="1"/>
          <w:color w:val="auto"/>
        </w:rPr>
        <w:t>NOTE</w:t>
      </w:r>
    </w:p>
    <w:p>
      <w:pPr>
        <w:ind w:left="440" w:right="299"/>
        <w:spacing w:after="0"/>
        <w:rPr>
          <w:sz w:val="20"/>
          <w:szCs w:val="20"/>
          <w:color w:val="auto"/>
        </w:rPr>
      </w:pPr>
      <w:r>
        <w:rPr>
          <w:rFonts w:ascii="Times New Roman" w:cs="Times New Roman" w:eastAsia="Times New Roman" w:hAnsi="Times New Roman"/>
          <w:sz w:val="20"/>
          <w:szCs w:val="20"/>
          <w:b w:val="1"/>
          <w:bCs w:val="1"/>
          <w:color w:val="auto"/>
        </w:rPr>
        <w:t>THIS NOTE IS A GLOBAL NOTE WITHIN THE MEANING OF THIS INDENTURE HEREINREFERRED TO AND IS REGISTERED IN THE NAME OF A DEPOSITORY OR A NOMINEE THEREOF. THIS NOTE MAY NOT BE TRANSFERRED TO OR EXCHANGED FOR NOTES REGISTERED IN THE NAME OF ANY PERSON OTHER THAN THE DEPOSITORY OR A NOMINEE THEREOF AND NO SUCH TRANSFER MAY BE REGISTERED EXCEPT IN THE LIMITED CIRCUMSTANCES DESCRIBED IN THIS INDENTURE. EVERY NOTE AUTHENTICATED AND DELIVERED UPON REGISTRATION OF, TRANSFER OF, OR IN EXCHANGE FOR, OR IN LIEU OF, THIS NOTE SHALL BE A GLOBAL NOTE SUBJECT TO THE FOREGOING, EXCEPT IN SUCH LIMITED CIRCUMSTANCES DESCRIBED IN THIS INDENTURE.</w:t>
      </w:r>
    </w:p>
    <w:p>
      <w:pPr>
        <w:spacing w:after="0" w:line="185" w:lineRule="exact"/>
        <w:rPr>
          <w:sz w:val="20"/>
          <w:szCs w:val="20"/>
          <w:color w:val="auto"/>
        </w:rPr>
      </w:pPr>
    </w:p>
    <w:p>
      <w:pPr>
        <w:jc w:val="both"/>
        <w:ind w:left="440" w:right="299"/>
        <w:spacing w:after="0" w:line="254" w:lineRule="auto"/>
        <w:rPr>
          <w:sz w:val="20"/>
          <w:szCs w:val="20"/>
          <w:color w:val="auto"/>
        </w:rPr>
      </w:pPr>
      <w:r>
        <w:rPr>
          <w:rFonts w:ascii="Times New Roman" w:cs="Times New Roman" w:eastAsia="Times New Roman" w:hAnsi="Times New Roman"/>
          <w:sz w:val="19"/>
          <w:szCs w:val="19"/>
          <w:b w:val="1"/>
          <w:bCs w:val="1"/>
          <w:color w:val="auto"/>
        </w:rPr>
        <w:t>UNLESS THIS CERTIFICATE IS PRESENTED BY AN AUTHORIZED REPRESENTATIVE OF CDS CLEARING AND DEPOSITORY SERVICES INC.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CDS</w:t>
      </w:r>
      <w:r>
        <w:rPr>
          <w:rFonts w:ascii="Times New Roman" w:cs="Times New Roman" w:eastAsia="Times New Roman" w:hAnsi="Times New Roman"/>
          <w:sz w:val="19"/>
          <w:szCs w:val="19"/>
          <w:color w:val="auto"/>
        </w:rPr>
        <w:t>”) TO THE CANNABIST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HOLDINGS INC. CANNABIS CORP. OR ITS AGENT FOR REGISTRATION OF TRANSFER, EXCHANGE OR PAYMENT, AND ANY CERTIFICATE ISSUED IN RESPECT THEREOF IS REGISTERED IN THE NAME 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AND IT IS A VIOLATION OF ITS RIGHTS FOR ANOTHER PERSON TO HOLD, TRANSFER OR DEAL WITH THIS CERTIFICATE.</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color w:val="auto"/>
        </w:rPr>
        <w:t>[INSERT GLOBAL NOTES LEGEND FOR ALL GLOBAL NOTES]</w:t>
      </w:r>
    </w:p>
    <w:p>
      <w:pPr>
        <w:spacing w:after="0" w:line="176" w:lineRule="exact"/>
        <w:rPr>
          <w:sz w:val="20"/>
          <w:szCs w:val="20"/>
          <w:color w:val="auto"/>
        </w:rPr>
      </w:pPr>
    </w:p>
    <w:p>
      <w:pPr>
        <w:jc w:val="both"/>
        <w:ind w:left="440" w:right="299"/>
        <w:spacing w:after="0" w:line="256" w:lineRule="auto"/>
        <w:rPr>
          <w:sz w:val="20"/>
          <w:szCs w:val="20"/>
          <w:color w:val="auto"/>
        </w:rPr>
      </w:pPr>
      <w:r>
        <w:rPr>
          <w:rFonts w:ascii="Times New Roman" w:cs="Times New Roman" w:eastAsia="Times New Roman" w:hAnsi="Times New Roman"/>
          <w:sz w:val="20"/>
          <w:szCs w:val="20"/>
          <w:i w:val="1"/>
          <w:iCs w:val="1"/>
          <w:color w:val="auto"/>
        </w:rPr>
        <w:t>For Notes originally issued for the benefit or account of a U.S. Holder (other than an Original U.S. Holder), and each Definitive Note issued in exchange therefor or in substitution thereof, also include the following legends:</w:t>
      </w:r>
    </w:p>
    <w:p>
      <w:pPr>
        <w:spacing w:after="0" w:line="159" w:lineRule="exact"/>
        <w:rPr>
          <w:sz w:val="20"/>
          <w:szCs w:val="20"/>
          <w:color w:val="auto"/>
        </w:rPr>
      </w:pPr>
    </w:p>
    <w:p>
      <w:pPr>
        <w:jc w:val="both"/>
        <w:ind w:left="440" w:right="299"/>
        <w:spacing w:after="0" w:line="254" w:lineRule="auto"/>
        <w:rPr>
          <w:sz w:val="20"/>
          <w:szCs w:val="20"/>
          <w:color w:val="auto"/>
        </w:rPr>
      </w:pPr>
      <w:r>
        <w:rPr>
          <w:rFonts w:ascii="Times New Roman" w:cs="Times New Roman" w:eastAsia="Times New Roman" w:hAnsi="Times New Roman"/>
          <w:sz w:val="19"/>
          <w:szCs w:val="19"/>
          <w:color w:val="auto"/>
        </w:rPr>
        <w:t>THE SECURITIES REPRESENTED HEREBY HAVE NOT BEEN AND WILL NOT BE REGISTERED UNDER THE UNITED STATES SECURITIES ACT OF 1933, AS AMENDED (THE “</w:t>
      </w:r>
      <w:r>
        <w:rPr>
          <w:rFonts w:ascii="Times New Roman" w:cs="Times New Roman" w:eastAsia="Times New Roman" w:hAnsi="Times New Roman"/>
          <w:sz w:val="19"/>
          <w:szCs w:val="19"/>
          <w:b w:val="1"/>
          <w:bCs w:val="1"/>
          <w:color w:val="auto"/>
        </w:rPr>
        <w:t>U.S. SECURITIES ACT</w:t>
      </w:r>
      <w:r>
        <w:rPr>
          <w:rFonts w:ascii="Times New Roman" w:cs="Times New Roman" w:eastAsia="Times New Roman" w:hAnsi="Times New Roman"/>
          <w:sz w:val="19"/>
          <w:szCs w:val="19"/>
          <w:color w:val="auto"/>
        </w:rPr>
        <w:t>”), OR THE SECURITIES LAWS OF ANY STATE OF THE UNITED STATES. THE HOLDER HEREOF, BY ACQUIRING SUCH SECURITIES, AGREES, FOR THE BENEFIT OF THE CANNABIST COMPANY HOLDINGS INC. (THE “</w:t>
      </w:r>
      <w:r>
        <w:rPr>
          <w:rFonts w:ascii="Times New Roman" w:cs="Times New Roman" w:eastAsia="Times New Roman" w:hAnsi="Times New Roman"/>
          <w:sz w:val="19"/>
          <w:szCs w:val="19"/>
          <w:b w:val="1"/>
          <w:bCs w:val="1"/>
          <w:color w:val="auto"/>
        </w:rPr>
        <w:t>ISSUER</w:t>
      </w:r>
      <w:r>
        <w:rPr>
          <w:rFonts w:ascii="Times New Roman" w:cs="Times New Roman" w:eastAsia="Times New Roman" w:hAnsi="Times New Roman"/>
          <w:sz w:val="19"/>
          <w:szCs w:val="19"/>
          <w:color w:val="auto"/>
        </w:rPr>
        <w:t>”), THAT SUCH SECURITIES MAY BE OFFERED, SOLD, PLEDGED OR OTHERWISE TRANSFERRED, DIRECTLY OR INDIRECTLY, ONLY (A) TO THE ISSUER; (B) OUTSIDE THE UNITED STATES IN COMPLIANCE WITH RULE 904 OF REGULATION S UNDER THE U.S. SECURITIES ACT AND IN COMPLIANCE WITH APPLICABLE LOCAL LAWS AND REGULATIONS, (C) IN COMPLIANCE WITH (1) RULE 144A UNDER THE U.S. SECURITIES ACT, IF AVAILABLE, OR</w:t>
      </w:r>
    </w:p>
    <w:p>
      <w:pPr>
        <w:spacing w:after="0" w:line="5" w:lineRule="exact"/>
        <w:rPr>
          <w:sz w:val="20"/>
          <w:szCs w:val="20"/>
          <w:color w:val="auto"/>
        </w:rPr>
      </w:pPr>
    </w:p>
    <w:p>
      <w:pPr>
        <w:jc w:val="both"/>
        <w:ind w:left="440" w:right="299" w:hanging="2"/>
        <w:spacing w:after="0" w:line="241" w:lineRule="auto"/>
        <w:tabs>
          <w:tab w:leader="none" w:pos="7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144 UNDER THE U.S. SECURITIES ACT, IF AVAILABLE, AND, IN EACH CASE, IN COMPLIANCE WITH APPLICABLE STATE SECURITIES LAWS, OR (D) IN ANOTHER TRANSACTION THAT DOES NOT REQUIRE REGISTRATION UNDER THE U.S. SECURITIES ACT OR ANY APPLICABLE STATE SECURITIES LAWS, PROVIDED THAT IN THE CASE OF TRANSFERS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w:t>
      </w:r>
    </w:p>
    <w:p>
      <w:pPr>
        <w:spacing w:after="0" w:line="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496570</wp:posOffset>
            </wp:positionV>
            <wp:extent cx="579437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34" w:name="page35"/>
    <w:bookmarkEnd w:id="34"/>
    <w:p>
      <w:pPr>
        <w:jc w:val="both"/>
        <w:ind w:left="60"/>
        <w:spacing w:after="0" w:line="245" w:lineRule="auto"/>
        <w:rPr>
          <w:sz w:val="20"/>
          <w:szCs w:val="20"/>
          <w:color w:val="auto"/>
        </w:rPr>
      </w:pPr>
      <w:r>
        <w:rPr>
          <w:rFonts w:ascii="Times New Roman" w:cs="Times New Roman" w:eastAsia="Times New Roman" w:hAnsi="Times New Roman"/>
          <w:sz w:val="20"/>
          <w:szCs w:val="20"/>
          <w:color w:val="auto"/>
        </w:rPr>
        <w:t>(C)(2) OR (D) ABOVE, A LEGAL OPINION FROM COUNSEL OF RECOGNIZED STANDING IN FORM AND SUBSTANCE REASONABLY SATISFACTORY TO THE ISSUER MUST FIRST BE PROVIDED TO ODYSSEY TRUST COMPANY AND TO THE ISSUER TO THE EFFECT THAT SUCH TRANSFER IS EXEMPT FROM REGISTRATION UNDER THE</w:t>
      </w:r>
    </w:p>
    <w:p>
      <w:pPr>
        <w:spacing w:after="0" w:line="1" w:lineRule="exact"/>
        <w:rPr>
          <w:sz w:val="20"/>
          <w:szCs w:val="20"/>
          <w:color w:val="auto"/>
        </w:rPr>
      </w:pPr>
    </w:p>
    <w:p>
      <w:pPr>
        <w:jc w:val="both"/>
        <w:ind w:left="60"/>
        <w:spacing w:after="0" w:line="242" w:lineRule="auto"/>
        <w:rPr>
          <w:sz w:val="20"/>
          <w:szCs w:val="20"/>
          <w:color w:val="auto"/>
        </w:rPr>
      </w:pPr>
      <w:r>
        <w:rPr>
          <w:rFonts w:ascii="Times New Roman" w:cs="Times New Roman" w:eastAsia="Times New Roman" w:hAnsi="Times New Roman"/>
          <w:sz w:val="20"/>
          <w:szCs w:val="20"/>
          <w:color w:val="auto"/>
        </w:rPr>
        <w:t>U.S. SECURITIES ACT AND APPLICABLE STATE SECURITIES LAWS. DELIVERY OF THIS CERTIFICATE MAY NOT CONSTITUTE “</w:t>
      </w:r>
      <w:r>
        <w:rPr>
          <w:rFonts w:ascii="Times New Roman" w:cs="Times New Roman" w:eastAsia="Times New Roman" w:hAnsi="Times New Roman"/>
          <w:sz w:val="20"/>
          <w:szCs w:val="20"/>
          <w:b w:val="1"/>
          <w:bCs w:val="1"/>
          <w:color w:val="auto"/>
        </w:rPr>
        <w:t>GOOD DELIVERY</w:t>
      </w:r>
      <w:r>
        <w:rPr>
          <w:rFonts w:ascii="Times New Roman" w:cs="Times New Roman" w:eastAsia="Times New Roman" w:hAnsi="Times New Roman"/>
          <w:sz w:val="20"/>
          <w:szCs w:val="20"/>
          <w:color w:val="auto"/>
        </w:rPr>
        <w:t>” IN SETTLEMENT OF TRANSACTIONS ON STOCK EXCHANGES IN CANADA.</w:t>
      </w:r>
    </w:p>
    <w:p>
      <w:pPr>
        <w:sectPr>
          <w:pgSz w:w="11900" w:h="16838" w:orient="portrait"/>
          <w:cols w:equalWidth="0" w:num="1">
            <w:col w:w="9140"/>
          </w:cols>
          <w:pgMar w:left="1440" w:top="133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0"/>
          <w:szCs w:val="20"/>
          <w:color w:val="auto"/>
        </w:rPr>
        <w:t>CUSIP</w:t>
      </w:r>
    </w:p>
    <w:p>
      <w:pPr>
        <w:spacing w:after="0" w:line="28"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9"/>
          <w:szCs w:val="19"/>
          <w:color w:val="auto"/>
        </w:rPr>
        <w:t>ISIN CA</w:t>
      </w:r>
    </w:p>
    <w:p>
      <w:pPr>
        <w:spacing w:after="0" w:line="2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0"/>
          <w:szCs w:val="20"/>
          <w:color w:val="auto"/>
        </w:rPr>
        <w:t>US$</w:t>
      </w:r>
    </w:p>
    <w:p>
      <w:pPr>
        <w:spacing w:after="0" w:line="200" w:lineRule="exact"/>
        <w:rPr>
          <w:sz w:val="20"/>
          <w:szCs w:val="20"/>
          <w:color w:val="auto"/>
        </w:rPr>
      </w:pPr>
    </w:p>
    <w:p>
      <w:pPr>
        <w:sectPr>
          <w:pgSz w:w="11900" w:h="16838" w:orient="portrait"/>
          <w:cols w:equalWidth="0" w:num="2">
            <w:col w:w="7520" w:space="720"/>
            <w:col w:w="900"/>
          </w:cols>
          <w:pgMar w:left="1440" w:top="1332" w:right="1319" w:bottom="1440" w:gutter="0" w:footer="0" w:header="0"/>
          <w:type w:val="continuous"/>
        </w:sectPr>
      </w:pPr>
    </w:p>
    <w:p>
      <w:pPr>
        <w:spacing w:after="0" w:line="1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THE CANNABIST</w:t>
      </w:r>
    </w:p>
    <w:p>
      <w:pPr>
        <w:spacing w:after="0" w:line="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COMPANY</w:t>
      </w:r>
    </w:p>
    <w:p>
      <w:pPr>
        <w:ind w:left="3840"/>
        <w:spacing w:after="0"/>
        <w:rPr>
          <w:sz w:val="20"/>
          <w:szCs w:val="20"/>
          <w:color w:val="auto"/>
        </w:rPr>
      </w:pPr>
      <w:r>
        <w:rPr>
          <w:rFonts w:ascii="Times New Roman" w:cs="Times New Roman" w:eastAsia="Times New Roman" w:hAnsi="Times New Roman"/>
          <w:sz w:val="20"/>
          <w:szCs w:val="20"/>
          <w:b w:val="1"/>
          <w:bCs w:val="1"/>
          <w:color w:val="auto"/>
        </w:rPr>
        <w:t>HOLDINGS INC.</w:t>
      </w:r>
    </w:p>
    <w:p>
      <w:pPr>
        <w:spacing w:after="0" w:line="17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 xml:space="preserve">(a corporation formed under the laws of </w:t>
      </w:r>
      <w:r>
        <w:rPr>
          <w:rFonts w:ascii="Times New Roman" w:cs="Times New Roman" w:eastAsia="Times New Roman" w:hAnsi="Times New Roman"/>
          <w:sz w:val="20"/>
          <w:szCs w:val="20"/>
          <w:i w:val="1"/>
          <w:iCs w:val="1"/>
          <w:color w:val="auto"/>
        </w:rPr>
        <w:t>the Business Corporations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British</w:t>
      </w:r>
    </w:p>
    <w:p>
      <w:pPr>
        <w:spacing w:after="0" w:line="20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i w:val="1"/>
          <w:iCs w:val="1"/>
          <w:color w:val="auto"/>
        </w:rPr>
        <w:t>Columbia</w:t>
      </w:r>
      <w:r>
        <w:rPr>
          <w:rFonts w:ascii="Times New Roman" w:cs="Times New Roman" w:eastAsia="Times New Roman" w:hAnsi="Times New Roman"/>
          <w:sz w:val="20"/>
          <w:szCs w:val="20"/>
          <w:color w:val="auto"/>
        </w:rPr>
        <w:t>)) 13% SENIOR SECURED NOTES DUE MAY 14, 2023</w:t>
      </w:r>
    </w:p>
    <w:p>
      <w:pPr>
        <w:spacing w:after="0" w:line="189" w:lineRule="exact"/>
        <w:rPr>
          <w:sz w:val="20"/>
          <w:szCs w:val="20"/>
          <w:color w:val="auto"/>
        </w:rPr>
      </w:pPr>
    </w:p>
    <w:p>
      <w:pPr>
        <w:jc w:val="both"/>
        <w:ind w:left="60"/>
        <w:spacing w:after="0" w:line="255" w:lineRule="auto"/>
        <w:rPr>
          <w:sz w:val="20"/>
          <w:szCs w:val="20"/>
          <w:color w:val="auto"/>
        </w:rPr>
      </w:pPr>
      <w:r>
        <w:rPr>
          <w:rFonts w:ascii="Times New Roman" w:cs="Times New Roman" w:eastAsia="Times New Roman" w:hAnsi="Times New Roman"/>
          <w:sz w:val="19"/>
          <w:szCs w:val="19"/>
          <w:color w:val="auto"/>
        </w:rPr>
        <w:t>THE CANNABIST COMPANY HOLDINGS INC. (the “</w:t>
      </w:r>
      <w:r>
        <w:rPr>
          <w:rFonts w:ascii="Times New Roman" w:cs="Times New Roman" w:eastAsia="Times New Roman" w:hAnsi="Times New Roman"/>
          <w:sz w:val="19"/>
          <w:szCs w:val="19"/>
          <w:b w:val="1"/>
          <w:bCs w:val="1"/>
          <w:color w:val="auto"/>
        </w:rPr>
        <w:t>Issuer</w:t>
      </w:r>
      <w:r>
        <w:rPr>
          <w:rFonts w:ascii="Times New Roman" w:cs="Times New Roman" w:eastAsia="Times New Roman" w:hAnsi="Times New Roman"/>
          <w:sz w:val="19"/>
          <w:szCs w:val="19"/>
          <w:color w:val="auto"/>
        </w:rPr>
        <w:t>”) for value received hereby acknowledges itself indebted and, subject to the provisions of the trust indenture dated as of May 14, 2020 (the “</w:t>
      </w:r>
      <w:r>
        <w:rPr>
          <w:rFonts w:ascii="Times New Roman" w:cs="Times New Roman" w:eastAsia="Times New Roman" w:hAnsi="Times New Roman"/>
          <w:sz w:val="19"/>
          <w:szCs w:val="19"/>
          <w:b w:val="1"/>
          <w:bCs w:val="1"/>
          <w:color w:val="auto"/>
        </w:rPr>
        <w:t>Indenture</w:t>
      </w:r>
      <w:r>
        <w:rPr>
          <w:rFonts w:ascii="Times New Roman" w:cs="Times New Roman" w:eastAsia="Times New Roman" w:hAnsi="Times New Roman"/>
          <w:sz w:val="19"/>
          <w:szCs w:val="19"/>
          <w:color w:val="auto"/>
        </w:rPr>
        <w:t>”) between the Issuer and Odyssey Trust Company (the “</w:t>
      </w:r>
      <w:r>
        <w:rPr>
          <w:rFonts w:ascii="Times New Roman" w:cs="Times New Roman" w:eastAsia="Times New Roman" w:hAnsi="Times New Roman"/>
          <w:sz w:val="19"/>
          <w:szCs w:val="19"/>
          <w:b w:val="1"/>
          <w:bCs w:val="1"/>
          <w:color w:val="auto"/>
        </w:rPr>
        <w:t>Trustee</w:t>
      </w:r>
      <w:r>
        <w:rPr>
          <w:rFonts w:ascii="Times New Roman" w:cs="Times New Roman" w:eastAsia="Times New Roman" w:hAnsi="Times New Roman"/>
          <w:sz w:val="19"/>
          <w:szCs w:val="19"/>
          <w:color w:val="auto"/>
        </w:rPr>
        <w:t>”), promises to pay to the registered holder hereof on May 14, 2023 (the “</w:t>
      </w:r>
      <w:r>
        <w:rPr>
          <w:rFonts w:ascii="Times New Roman" w:cs="Times New Roman" w:eastAsia="Times New Roman" w:hAnsi="Times New Roman"/>
          <w:sz w:val="19"/>
          <w:szCs w:val="19"/>
          <w:b w:val="1"/>
          <w:bCs w:val="1"/>
          <w:color w:val="auto"/>
        </w:rPr>
        <w:t>Stated Maturity</w:t>
      </w:r>
      <w:r>
        <w:rPr>
          <w:rFonts w:ascii="Times New Roman" w:cs="Times New Roman" w:eastAsia="Times New Roman" w:hAnsi="Times New Roman"/>
          <w:sz w:val="19"/>
          <w:szCs w:val="19"/>
          <w:color w:val="auto"/>
        </w:rPr>
        <w:t>”) (unless extended to May 14, 2024 in accordance with the terms of the Indenture) or on such earlier date as the principal amount hereof may become due in accordance with the provisions of this Indenture the principal sum of million dollars ($[ ]) in lawful money of the United States of America on presentation and surrender of this Note (the “</w:t>
      </w:r>
      <w:r>
        <w:rPr>
          <w:rFonts w:ascii="Times New Roman" w:cs="Times New Roman" w:eastAsia="Times New Roman" w:hAnsi="Times New Roman"/>
          <w:sz w:val="19"/>
          <w:szCs w:val="19"/>
          <w:b w:val="1"/>
          <w:bCs w:val="1"/>
          <w:color w:val="auto"/>
        </w:rPr>
        <w:t>Note</w:t>
      </w:r>
      <w:r>
        <w:rPr>
          <w:rFonts w:ascii="Times New Roman" w:cs="Times New Roman" w:eastAsia="Times New Roman" w:hAnsi="Times New Roman"/>
          <w:sz w:val="19"/>
          <w:szCs w:val="19"/>
          <w:color w:val="auto"/>
        </w:rPr>
        <w:t>”) at the main branch of the Trustee in Vancouver, British Columbia, in accordance with the terms of this Indenture and, subject as hereinafter provided, to pay interest on the principal amount hereof (i) from and including the date hereof, or (ii) from and including the last Interest Payment Date to which interest shall have been paid or made available for payment hereon, whichever shall be the later, in all cases, to and excluding the next Interest Payment Date, at the rate of 13% per annum, in like money, calculated and payable semi-annually in arrears on May 31 and November 30 in each year commencing on November 30, 2020, and the last payment (representing interest payable from the last Interest Payment Date to, but excluding, the Maturity of this Note) to fall due on the Maturity of this Note and, should the Issuer at any time make default in the payment of any principal or interest, to pay interest on the amount in default at a rate that is 1% higher than the applicable interest rate on the Notes, in like money and on the same dates.</w:t>
      </w:r>
    </w:p>
    <w:p>
      <w:pPr>
        <w:spacing w:after="0" w:line="164"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Interest on this Note will be computed on the basis of a 365-day or 366-day year, as applicable, and will be payable in equal semi-annual amounts; provided that for any Interest Period that is shorter than a full semi-annual interest period, interest shall be calculated on the basis of a year of 365 days or 366 days, as applicable, and the actual number of days elapsed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w:t>
      </w:r>
    </w:p>
    <w:p>
      <w:pPr>
        <w:spacing w:after="0" w:line="4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496570</wp:posOffset>
            </wp:positionV>
            <wp:extent cx="579437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140"/>
          </w:cols>
          <w:pgMar w:left="1440" w:top="1332" w:right="1319" w:bottom="1440" w:gutter="0" w:footer="0" w:header="0"/>
          <w:type w:val="continuous"/>
        </w:sectPr>
      </w:pPr>
    </w:p>
    <w:bookmarkStart w:id="35" w:name="page36"/>
    <w:bookmarkEnd w:id="35"/>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If the date for payment of any amount of principal, premium or interest is not a Business Day at the place of payment, then payment will be made on the next Business Day and the holder hereof will not be entitled to any further interest on such principal, or to any interest on such interest, premium or other amount so payable, in respect of the period from the date for payment to such next Business Day.</w:t>
      </w:r>
    </w:p>
    <w:p>
      <w:pPr>
        <w:spacing w:after="0" w:line="16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9"/>
          <w:szCs w:val="19"/>
          <w:color w:val="auto"/>
        </w:rPr>
        <w:t>Interest hereon shall be payable by cheque mailed by prepaid ordinary mail or by electronic transfer of funds to the registered holder hereof and, subject to the provisions of this Indenture, the mailing of such cheque or the electronic transfer of such funds shall, to the extent of the sum represented thereby (plus the amount of any Taxes deducted or withheld), satisfy and discharge all liability for interest on this Note.</w:t>
      </w:r>
    </w:p>
    <w:p>
      <w:pPr>
        <w:spacing w:after="0" w:line="152"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This Note is one of the 2023 Notes of the Issuer issued under the provisions of this Indenture. Reference is hereby expressly made to this Indenture for a description of the terms and conditions upon which this Note and other Notes of the Issuer are or are to be issued and held and the rights and remedies of the holder of this Note and other Notes and of the Issuer and of the Trustee, all to the same effect as if the provisions of this Indenture were herein set forth to all of which provisions the holder of this Note by acceptance hereof assents.</w:t>
      </w:r>
    </w:p>
    <w:p>
      <w:pPr>
        <w:spacing w:after="0" w:line="171"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2023 Notes are issuable at a price of $1,000 per $1,000 of principal amount and only in denominations of $1,000 and integral multiples of $1,000. Upon compliance with the provisions of this Indenture, Notes of any denomination may be exchanged for an equal aggregate principal amount of Notes in any other authorized denomination or denominations.</w:t>
      </w:r>
    </w:p>
    <w:p>
      <w:pPr>
        <w:spacing w:after="0" w:line="166"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indebtedness evidenced by this Note, and by all other 2023 Notes now or hereafter certified and delivered under this Indenture, is a direct senior secured obligation of the Issuer.</w:t>
      </w:r>
    </w:p>
    <w:p>
      <w:pPr>
        <w:spacing w:after="0" w:line="146"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principal hereof may become or be declared due and payable before the Stated Maturity in the events, in the manner, with the effect and at the times provided in this Indenture.</w:t>
      </w:r>
    </w:p>
    <w:p>
      <w:pPr>
        <w:spacing w:after="0" w:line="146"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This Note may be redeemed at the option of the Issuer on the terms and conditions set out in this Indenture at the Redemption Price therein. The right is reserved to the Issuer to purchase Notes (including this Note) for cancellation in accordance with the provisions of this Indenture.</w:t>
      </w:r>
    </w:p>
    <w:p>
      <w:pPr>
        <w:spacing w:after="0" w:line="14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Upon the occurrence of a Change of Control, the Holders may require the Issuer to repurchase such Holder’s Notes, in whole or in part, at a purchase price in cash equal to 101% of the principal amount of such Notes, plus accrued and unpaid interest, if any, to the date of purchase.</w:t>
      </w:r>
    </w:p>
    <w:p>
      <w:pPr>
        <w:spacing w:after="0" w:line="161"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This Indenture contains provisions making binding upon all Holders of Notes outstanding thereunder resolutions passed at meetings of such Holders held in accordance with such provisions and instruments signed by the Holders of a specified majority of Notes outstanding (or certain series of Notes outstanding), which resolutions or instruments may have the effect of amending the terms of this Note or this Indenture.</w:t>
      </w:r>
    </w:p>
    <w:p>
      <w:pPr>
        <w:spacing w:after="0" w:line="17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This Note may only be transferred, upon compliance with the conditions prescribed in this Indenture, in one of the registers to be kept at the principal office of the Trustee in Vancouver, British Columbia and in such other place or places and/or by such other Registrars (if any)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3</w:t>
      </w:r>
    </w:p>
    <w:p>
      <w:pPr>
        <w:spacing w:after="0" w:line="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496570</wp:posOffset>
            </wp:positionV>
            <wp:extent cx="579437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36" w:name="page37"/>
    <w:bookmarkEnd w:id="36"/>
    <w:p>
      <w:pPr>
        <w:jc w:val="both"/>
        <w:ind w:left="300" w:right="299" w:firstLine="2"/>
        <w:spacing w:after="0" w:line="260" w:lineRule="auto"/>
        <w:rPr>
          <w:sz w:val="20"/>
          <w:szCs w:val="20"/>
          <w:color w:val="auto"/>
        </w:rPr>
      </w:pPr>
      <w:r>
        <w:rPr>
          <w:rFonts w:ascii="Times New Roman" w:cs="Times New Roman" w:eastAsia="Times New Roman" w:hAnsi="Times New Roman"/>
          <w:sz w:val="19"/>
          <w:szCs w:val="19"/>
          <w:color w:val="auto"/>
        </w:rPr>
        <w:t>the Issuer with the approval of the Trustee may designate. No transfer of this Note shall be valid unless made on the register by the registered holder hereof or his executors or administrators or other legal representatives, or his or their attorney duly appointed by an instrument in form and substance satisfactory to the Trustee or other registrar, and upon compliance with such reasonable requirements as the Trustee and/or other registrar may prescribe and upon surrender of this Note for cancellation. Thereupon a new Note or Notes in the same aggregate principal amount shall be issued to the transferee in exchange hereof.</w:t>
      </w:r>
    </w:p>
    <w:p>
      <w:pPr>
        <w:spacing w:after="0" w:line="159" w:lineRule="exact"/>
        <w:rPr>
          <w:sz w:val="20"/>
          <w:szCs w:val="20"/>
          <w:color w:val="auto"/>
        </w:rPr>
      </w:pPr>
    </w:p>
    <w:p>
      <w:pPr>
        <w:jc w:val="both"/>
        <w:ind w:left="300" w:right="299" w:hanging="2"/>
        <w:spacing w:after="0" w:line="269" w:lineRule="auto"/>
        <w:rPr>
          <w:sz w:val="20"/>
          <w:szCs w:val="20"/>
          <w:color w:val="auto"/>
        </w:rPr>
      </w:pPr>
      <w:r>
        <w:rPr>
          <w:rFonts w:ascii="Times New Roman" w:cs="Times New Roman" w:eastAsia="Times New Roman" w:hAnsi="Times New Roman"/>
          <w:sz w:val="20"/>
          <w:szCs w:val="20"/>
          <w:color w:val="auto"/>
        </w:rPr>
        <w:t>This Note shall not become obligatory for any purpose until it shall have been authenticated by the Trustee under this Indenture.</w:t>
      </w:r>
    </w:p>
    <w:p>
      <w:pPr>
        <w:spacing w:after="0" w:line="146" w:lineRule="exact"/>
        <w:rPr>
          <w:sz w:val="20"/>
          <w:szCs w:val="20"/>
          <w:color w:val="auto"/>
        </w:rPr>
      </w:pPr>
    </w:p>
    <w:p>
      <w:pPr>
        <w:jc w:val="both"/>
        <w:ind w:left="300" w:right="299" w:hanging="2"/>
        <w:spacing w:after="0" w:line="269" w:lineRule="auto"/>
        <w:rPr>
          <w:sz w:val="20"/>
          <w:szCs w:val="20"/>
          <w:color w:val="auto"/>
        </w:rPr>
      </w:pPr>
      <w:r>
        <w:rPr>
          <w:rFonts w:ascii="Times New Roman" w:cs="Times New Roman" w:eastAsia="Times New Roman" w:hAnsi="Times New Roman"/>
          <w:sz w:val="20"/>
          <w:szCs w:val="20"/>
          <w:color w:val="auto"/>
        </w:rPr>
        <w:t>This Note and this Indenture are governed by, and are to be construed and enforced in accordance with, the laws of the Province of British Columbia and the laws of Canada applicable therein.</w:t>
      </w:r>
    </w:p>
    <w:p>
      <w:pPr>
        <w:spacing w:after="0" w:line="146"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Capitalized words or expressions used in this Notes shall, unless otherwise defined herein, have the meaning ascribed thereto in this Indenture.</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THE CANNABIST COMPANY HOLDINGS INC. </w:t>
      </w:r>
      <w:r>
        <w:rPr>
          <w:rFonts w:ascii="Times New Roman" w:cs="Times New Roman" w:eastAsia="Times New Roman" w:hAnsi="Times New Roman"/>
          <w:sz w:val="20"/>
          <w:szCs w:val="20"/>
          <w:color w:val="auto"/>
        </w:rPr>
        <w:t>has caused this</w:t>
      </w:r>
    </w:p>
    <w:tbl>
      <w:tblPr>
        <w:tblLayout w:type="fixed"/>
        <w:tblInd w:w="300" w:type="dxa"/>
        <w:tblCellMar>
          <w:top w:w="0" w:type="dxa"/>
          <w:left w:w="0" w:type="dxa"/>
          <w:bottom w:w="0" w:type="dxa"/>
          <w:right w:w="0" w:type="dxa"/>
        </w:tblCellMar>
      </w:tblPr>
      <w:tr>
        <w:trPr>
          <w:trHeight w:val="215"/>
        </w:trPr>
        <w:tc>
          <w:tcPr>
            <w:tcW w:w="460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w w:val="99"/>
              </w:rPr>
              <w:t xml:space="preserve">Note to be signed by its authorized representatives as of </w:t>
            </w:r>
            <w:r>
              <w:rPr>
                <w:rFonts w:ascii="Times New Roman" w:cs="Times New Roman" w:eastAsia="Times New Roman" w:hAnsi="Times New Roman"/>
                <w:sz w:val="20"/>
                <w:szCs w:val="20"/>
                <w:b w:val="1"/>
                <w:bCs w:val="1"/>
                <w:color w:val="auto"/>
                <w:w w:val="99"/>
              </w:rPr>
              <w:t>[</w:t>
            </w:r>
          </w:p>
        </w:tc>
        <w:tc>
          <w:tcPr>
            <w:tcW w:w="140" w:type="dxa"/>
            <w:vAlign w:val="bottom"/>
          </w:tcPr>
          <w:p>
            <w:pPr>
              <w:spacing w:after="0"/>
              <w:rPr>
                <w:sz w:val="18"/>
                <w:szCs w:val="18"/>
                <w:color w:val="auto"/>
              </w:rPr>
            </w:pPr>
          </w:p>
        </w:tc>
        <w:tc>
          <w:tcPr>
            <w:tcW w:w="3360" w:type="dxa"/>
            <w:vAlign w:val="bottom"/>
            <w:gridSpan w:val="3"/>
          </w:tcPr>
          <w:p>
            <w:pPr>
              <w:jc w:val="right"/>
              <w:ind w:right="2740"/>
              <w:spacing w:after="0" w:line="215" w:lineRule="exact"/>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202 .</w:t>
            </w:r>
          </w:p>
        </w:tc>
      </w:tr>
      <w:tr>
        <w:trPr>
          <w:trHeight w:val="20"/>
        </w:trPr>
        <w:tc>
          <w:tcPr>
            <w:tcW w:w="4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715"/>
        </w:trPr>
        <w:tc>
          <w:tcPr>
            <w:tcW w:w="8100" w:type="dxa"/>
            <w:vAlign w:val="bottom"/>
            <w:gridSpan w:val="6"/>
          </w:tcPr>
          <w:p>
            <w:pPr>
              <w:ind w:left="3820"/>
              <w:spacing w:after="0"/>
              <w:rPr>
                <w:sz w:val="20"/>
                <w:szCs w:val="20"/>
                <w:color w:val="auto"/>
              </w:rPr>
            </w:pPr>
            <w:r>
              <w:rPr>
                <w:rFonts w:ascii="Times New Roman" w:cs="Times New Roman" w:eastAsia="Times New Roman" w:hAnsi="Times New Roman"/>
                <w:sz w:val="20"/>
                <w:szCs w:val="20"/>
                <w:b w:val="1"/>
                <w:bCs w:val="1"/>
                <w:color w:val="auto"/>
                <w:w w:val="98"/>
              </w:rPr>
              <w:t>THE CANNABIST COMPANY HOLDINGS INC.</w:t>
            </w:r>
          </w:p>
        </w:tc>
      </w:tr>
      <w:tr>
        <w:trPr>
          <w:trHeight w:val="466"/>
        </w:trPr>
        <w:tc>
          <w:tcPr>
            <w:tcW w:w="4160" w:type="dxa"/>
            <w:vAlign w:val="bottom"/>
          </w:tcPr>
          <w:p>
            <w:pPr>
              <w:ind w:left="3820"/>
              <w:spacing w:after="0"/>
              <w:rPr>
                <w:sz w:val="20"/>
                <w:szCs w:val="20"/>
                <w:color w:val="auto"/>
              </w:rPr>
            </w:pPr>
            <w:r>
              <w:rPr>
                <w:rFonts w:ascii="Times New Roman" w:cs="Times New Roman" w:eastAsia="Times New Roman" w:hAnsi="Times New Roman"/>
                <w:sz w:val="20"/>
                <w:szCs w:val="20"/>
                <w:color w:val="auto"/>
              </w:rPr>
              <w:t>By:</w:t>
            </w:r>
          </w:p>
        </w:tc>
        <w:tc>
          <w:tcPr>
            <w:tcW w:w="440" w:type="dxa"/>
            <w:vAlign w:val="bottom"/>
            <w:tcBorders>
              <w:bottom w:val="single" w:sz="8" w:color="auto"/>
            </w:tcBorders>
          </w:tcPr>
          <w:p>
            <w:pPr>
              <w:spacing w:after="0"/>
              <w:rPr>
                <w:sz w:val="24"/>
                <w:szCs w:val="24"/>
                <w:color w:val="auto"/>
              </w:rPr>
            </w:pPr>
          </w:p>
        </w:tc>
        <w:tc>
          <w:tcPr>
            <w:tcW w:w="3500" w:type="dxa"/>
            <w:vAlign w:val="bottom"/>
            <w:gridSpan w:val="4"/>
          </w:tcPr>
          <w:p>
            <w:pPr>
              <w:jc w:val="right"/>
              <w:ind w:right="2920"/>
              <w:spacing w:after="0"/>
              <w:rPr>
                <w:sz w:val="20"/>
                <w:szCs w:val="20"/>
                <w:color w:val="auto"/>
              </w:rPr>
            </w:pPr>
            <w:r>
              <w:rPr>
                <w:rFonts w:ascii="Times New Roman" w:cs="Times New Roman" w:eastAsia="Times New Roman" w:hAnsi="Times New Roman"/>
                <w:sz w:val="20"/>
                <w:szCs w:val="20"/>
                <w:color w:val="auto"/>
              </w:rPr>
              <w:t>Name:</w:t>
            </w:r>
          </w:p>
        </w:tc>
      </w:tr>
    </w:tbl>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w:t>
      </w:r>
    </w:p>
    <w:p>
      <w:pPr>
        <w:spacing w:after="0" w:line="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496570</wp:posOffset>
            </wp:positionV>
            <wp:extent cx="579437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OF TRUSTEE’S CERTIFICATE)</w:t>
      </w:r>
    </w:p>
    <w:p>
      <w:pPr>
        <w:spacing w:after="0" w:line="206" w:lineRule="exact"/>
        <w:rPr>
          <w:sz w:val="20"/>
          <w:szCs w:val="20"/>
          <w:color w:val="auto"/>
        </w:rPr>
      </w:pPr>
    </w:p>
    <w:p>
      <w:pPr>
        <w:ind w:left="300" w:right="600"/>
        <w:spacing w:after="0" w:line="269" w:lineRule="auto"/>
        <w:rPr>
          <w:sz w:val="20"/>
          <w:szCs w:val="20"/>
          <w:color w:val="auto"/>
        </w:rPr>
      </w:pPr>
      <w:r>
        <w:rPr>
          <w:rFonts w:ascii="Times New Roman" w:cs="Times New Roman" w:eastAsia="Times New Roman" w:hAnsi="Times New Roman"/>
          <w:sz w:val="20"/>
          <w:szCs w:val="20"/>
          <w:color w:val="auto"/>
        </w:rPr>
        <w:t>This Note is one of the The Cannabist Company Holdings Inc. 13% Senior Secured Notes due May 14, 2023 referred to in this Indenture within mentioned.</w:t>
      </w: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ODYSSEY TRUST COMPANY</w:t>
      </w:r>
    </w:p>
    <w:p>
      <w:pPr>
        <w:spacing w:after="0" w:line="3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By:</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Name</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p>
    <w:p>
      <w:pPr>
        <w:ind w:left="800"/>
        <w:spacing w:after="0"/>
        <w:rPr>
          <w:sz w:val="20"/>
          <w:szCs w:val="20"/>
          <w:color w:val="auto"/>
        </w:rPr>
      </w:pPr>
      <w:r>
        <w:rPr>
          <w:rFonts w:ascii="Times New Roman" w:cs="Times New Roman" w:eastAsia="Times New Roman" w:hAnsi="Times New Roman"/>
          <w:sz w:val="20"/>
          <w:szCs w:val="20"/>
          <w:color w:val="auto"/>
        </w:rPr>
        <w:t>Title:</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By:</w:t>
      </w:r>
    </w:p>
    <w:p>
      <w:pPr>
        <w:spacing w:after="0" w:line="4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Name</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p>
    <w:p>
      <w:pPr>
        <w:ind w:left="8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auto"/>
        </w:rPr>
        <w:t>(FORM OF REGISTRATION PANEL)</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(No writing hereon except by Trustee or other registrar)</w:t>
      </w:r>
    </w:p>
    <w:p>
      <w:pPr>
        <w:spacing w:after="0" w:line="215" w:lineRule="exact"/>
        <w:rPr>
          <w:sz w:val="20"/>
          <w:szCs w:val="20"/>
          <w:color w:val="auto"/>
        </w:rPr>
      </w:pPr>
    </w:p>
    <w:tbl>
      <w:tblPr>
        <w:tblLayout w:type="fixed"/>
        <w:tblInd w:w="450" w:type="dxa"/>
        <w:tblCellMar>
          <w:top w:w="0" w:type="dxa"/>
          <w:left w:w="0" w:type="dxa"/>
          <w:bottom w:w="0" w:type="dxa"/>
          <w:right w:w="0" w:type="dxa"/>
        </w:tblCellMar>
      </w:tblPr>
      <w:tr>
        <w:trPr>
          <w:trHeight w:val="273"/>
        </w:trPr>
        <w:tc>
          <w:tcPr>
            <w:tcW w:w="2820" w:type="dxa"/>
            <w:vAlign w:val="bottom"/>
            <w:tcBorders>
              <w:top w:val="single" w:sz="8" w:color="auto"/>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Date of Registration</w:t>
            </w:r>
          </w:p>
        </w:tc>
        <w:tc>
          <w:tcPr>
            <w:tcW w:w="282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In Whose Name Registered</w:t>
            </w:r>
          </w:p>
        </w:tc>
        <w:tc>
          <w:tcPr>
            <w:tcW w:w="300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Signature of Trustee</w:t>
            </w:r>
          </w:p>
        </w:tc>
      </w:tr>
      <w:tr>
        <w:trPr>
          <w:trHeight w:val="262"/>
        </w:trPr>
        <w:tc>
          <w:tcPr>
            <w:tcW w:w="2820" w:type="dxa"/>
            <w:vAlign w:val="bottom"/>
            <w:tcBorders>
              <w:left w:val="single" w:sz="8" w:color="auto"/>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c>
          <w:tcPr>
            <w:tcW w:w="30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20"/>
                <w:szCs w:val="20"/>
                <w:b w:val="1"/>
                <w:bCs w:val="1"/>
                <w:color w:val="auto"/>
              </w:rPr>
              <w:t>or Registrar</w:t>
            </w:r>
          </w:p>
        </w:tc>
      </w:tr>
      <w:tr>
        <w:trPr>
          <w:trHeight w:val="58"/>
        </w:trPr>
        <w:tc>
          <w:tcPr>
            <w:tcW w:w="282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3000" w:type="dxa"/>
            <w:vAlign w:val="bottom"/>
            <w:tcBorders>
              <w:bottom w:val="single" w:sz="8" w:color="auto"/>
              <w:right w:val="single" w:sz="8" w:color="auto"/>
            </w:tcBorders>
          </w:tcPr>
          <w:p>
            <w:pPr>
              <w:spacing w:after="0"/>
              <w:rPr>
                <w:sz w:val="5"/>
                <w:szCs w:val="5"/>
                <w:color w:val="auto"/>
              </w:rPr>
            </w:pPr>
          </w:p>
        </w:tc>
      </w:tr>
      <w:tr>
        <w:trPr>
          <w:trHeight w:val="348"/>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31"/>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31"/>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31"/>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45"/>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31"/>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5</w:t>
      </w:r>
    </w:p>
    <w:p>
      <w:pPr>
        <w:spacing w:after="0" w:line="4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496570</wp:posOffset>
            </wp:positionV>
            <wp:extent cx="579437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60"/>
          </w:cols>
          <w:pgMar w:left="1440" w:top="1409" w:right="1399" w:bottom="1440" w:gutter="0" w:footer="0" w:header="0"/>
        </w:sectPr>
      </w:pPr>
    </w:p>
    <w:bookmarkStart w:id="38" w:name="page39"/>
    <w:bookmarkEnd w:id="38"/>
    <w:p>
      <w:pPr>
        <w:ind w:left="33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1116965</wp:posOffset>
            </wp:positionH>
            <wp:positionV relativeFrom="page">
              <wp:posOffset>106045</wp:posOffset>
            </wp:positionV>
            <wp:extent cx="76835" cy="93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252095</wp:posOffset>
            </wp:positionV>
            <wp:extent cx="76835"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6835" cy="94615"/>
                    </a:xfrm>
                    <a:prstGeom prst="rect">
                      <a:avLst/>
                    </a:prstGeom>
                    <a:noFill/>
                  </pic:spPr>
                </pic:pic>
              </a:graphicData>
            </a:graphic>
          </wp:anchor>
        </w:drawing>
        <w:t>FORM OF ASSIGNMENT</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FOR VALUE RECEIVED, the undersigned hereby sells, assigns and transfers unto</w:t>
      </w:r>
    </w:p>
    <w:p>
      <w:pPr>
        <w:spacing w:after="0" w:line="22" w:lineRule="exact"/>
        <w:rPr>
          <w:sz w:val="20"/>
          <w:szCs w:val="20"/>
          <w:color w:val="auto"/>
        </w:rPr>
      </w:pPr>
    </w:p>
    <w:p>
      <w:pPr>
        <w:jc w:val="both"/>
        <w:ind w:left="300" w:right="299" w:firstLine="829"/>
        <w:spacing w:after="0" w:line="241" w:lineRule="auto"/>
        <w:rPr>
          <w:sz w:val="20"/>
          <w:szCs w:val="20"/>
          <w:color w:val="auto"/>
        </w:rPr>
      </w:pPr>
      <w:r>
        <w:rPr>
          <w:rFonts w:ascii="Times New Roman" w:cs="Times New Roman" w:eastAsia="Times New Roman" w:hAnsi="Times New Roman"/>
          <w:sz w:val="20"/>
          <w:szCs w:val="20"/>
          <w:color w:val="auto"/>
        </w:rPr>
        <w:t>whose address and social insurance number, if applicable are set forth below, this Note (or $ principal amount hereof) of THE CANNABIST COMPANY HOLDINGS INC. standing in the name(s) of the undersigned in the register maintained by the Issuer with respect to such Note and does hereby irrevocably authorize and direct the Trustee to transfer such Note in such register,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-612140</wp:posOffset>
            </wp:positionV>
            <wp:extent cx="528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528320" cy="8255"/>
                    </a:xfrm>
                    <a:prstGeom prst="rect">
                      <a:avLst/>
                    </a:prstGeom>
                    <a:noFill/>
                  </pic:spPr>
                </pic:pic>
              </a:graphicData>
            </a:graphic>
          </wp:anchor>
        </w:drawing>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-10795</wp:posOffset>
            </wp:positionV>
            <wp:extent cx="136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-3810</wp:posOffset>
            </wp:positionV>
            <wp:extent cx="3295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(Street Address, City, Province and Postal Code)</w:t>
      </w:r>
    </w:p>
    <w:p>
      <w:pPr>
        <w:spacing w:after="0" w:line="200" w:lineRule="exact"/>
        <w:rPr>
          <w:sz w:val="20"/>
          <w:szCs w:val="20"/>
          <w:color w:val="auto"/>
        </w:rPr>
      </w:pPr>
    </w:p>
    <w:p>
      <w:pPr>
        <w:sectPr>
          <w:pgSz w:w="11900" w:h="16838" w:orient="portrait"/>
          <w:cols w:equalWidth="0" w:num="2">
            <w:col w:w="2100" w:space="620"/>
            <w:col w:w="6299"/>
          </w:cols>
          <w:pgMar w:left="1440" w:top="1409"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20"/>
          <w:szCs w:val="20"/>
          <w:color w:val="auto"/>
        </w:rPr>
        <w:t>Social Insurance Number of Transferee, if applicable:</w:t>
      </w:r>
    </w:p>
    <w:p>
      <w:pPr>
        <w:spacing w:after="0" w:line="200" w:lineRule="exact"/>
        <w:rPr>
          <w:sz w:val="20"/>
          <w:szCs w:val="20"/>
          <w:color w:val="auto"/>
        </w:rPr>
      </w:pPr>
    </w:p>
    <w:p>
      <w:pPr>
        <w:spacing w:after="0" w:line="259" w:lineRule="exact"/>
        <w:rPr>
          <w:sz w:val="20"/>
          <w:szCs w:val="20"/>
          <w:color w:val="auto"/>
        </w:rPr>
      </w:pPr>
    </w:p>
    <w:p>
      <w:pPr>
        <w:ind w:left="300" w:right="359"/>
        <w:spacing w:after="0" w:line="295" w:lineRule="auto"/>
        <w:rPr>
          <w:sz w:val="20"/>
          <w:szCs w:val="20"/>
          <w:color w:val="auto"/>
        </w:rPr>
      </w:pPr>
      <w:r>
        <w:rPr>
          <w:rFonts w:ascii="Times New Roman" w:cs="Times New Roman" w:eastAsia="Times New Roman" w:hAnsi="Times New Roman"/>
          <w:sz w:val="19"/>
          <w:szCs w:val="19"/>
          <w:color w:val="auto"/>
        </w:rPr>
        <w:t>If less than the full principal amount of the within Note is to be transferred, indicate in the space provided the principal amount (which must be $1,000 or an integral multiple of $1,000) to be transferred.</w:t>
      </w:r>
    </w:p>
    <w:p>
      <w:pPr>
        <w:spacing w:after="0" w:line="124" w:lineRule="exact"/>
        <w:rPr>
          <w:sz w:val="20"/>
          <w:szCs w:val="20"/>
          <w:color w:val="auto"/>
        </w:rPr>
      </w:pPr>
    </w:p>
    <w:p>
      <w:pPr>
        <w:ind w:left="300" w:right="499"/>
        <w:spacing w:after="0" w:line="269" w:lineRule="auto"/>
        <w:rPr>
          <w:sz w:val="20"/>
          <w:szCs w:val="20"/>
          <w:color w:val="auto"/>
        </w:rPr>
      </w:pPr>
      <w:r>
        <w:rPr>
          <w:rFonts w:ascii="Times New Roman" w:cs="Times New Roman" w:eastAsia="Times New Roman" w:hAnsi="Times New Roman"/>
          <w:sz w:val="20"/>
          <w:szCs w:val="20"/>
          <w:color w:val="auto"/>
        </w:rPr>
        <w:t>In the case of a Note that contains a U.S. restrictive legend, the undersigned hereby represents, warrants and certifies that (one (only) of the following must be checked):</w:t>
      </w:r>
    </w:p>
    <w:p>
      <w:pPr>
        <w:spacing w:after="0" w:line="173" w:lineRule="exact"/>
        <w:rPr>
          <w:sz w:val="20"/>
          <w:szCs w:val="20"/>
          <w:color w:val="auto"/>
        </w:rPr>
      </w:pPr>
    </w:p>
    <w:p>
      <w:pPr>
        <w:ind w:left="1740" w:hanging="1033"/>
        <w:spacing w:after="0"/>
        <w:tabs>
          <w:tab w:leader="none" w:pos="174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is being made to the Issuer;</w:t>
      </w:r>
    </w:p>
    <w:p>
      <w:pPr>
        <w:spacing w:after="0" w:line="242" w:lineRule="exact"/>
        <w:rPr>
          <w:rFonts w:ascii="Times New Roman" w:cs="Times New Roman" w:eastAsia="Times New Roman" w:hAnsi="Times New Roman"/>
          <w:sz w:val="20"/>
          <w:szCs w:val="20"/>
          <w:color w:val="auto"/>
        </w:rPr>
      </w:pPr>
    </w:p>
    <w:p>
      <w:pPr>
        <w:jc w:val="both"/>
        <w:ind w:left="1640" w:right="599" w:hanging="972"/>
        <w:spacing w:after="0" w:line="246" w:lineRule="auto"/>
        <w:tabs>
          <w:tab w:leader="none" w:pos="1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is being made outside the United States in compliance with Rule 904 of Regulation S under the U.S. Securities Act of 1933, as amended (the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and in compliance with any applicable local securities laws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and the holder has provided herewith the Declaration for Removal of Legend attached as Appendix C to the Indenture, or</w:t>
      </w:r>
    </w:p>
    <w:p>
      <w:pPr>
        <w:spacing w:after="0" w:line="198" w:lineRule="exact"/>
        <w:rPr>
          <w:rFonts w:ascii="Times New Roman" w:cs="Times New Roman" w:eastAsia="Times New Roman" w:hAnsi="Times New Roman"/>
          <w:sz w:val="20"/>
          <w:szCs w:val="20"/>
          <w:color w:val="auto"/>
        </w:rPr>
      </w:pPr>
    </w:p>
    <w:p>
      <w:pPr>
        <w:jc w:val="both"/>
        <w:ind w:left="1660" w:right="599" w:hanging="979"/>
        <w:spacing w:after="0" w:line="246" w:lineRule="auto"/>
        <w:tabs>
          <w:tab w:leader="none" w:pos="166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is being made in accordance with a transaction that does not require registration under the U.S. Securities Act or any applicable state securities laws and the undersigned has furnished to the Issuer and the Trustee an opinion of counsel of recognized standing or other evidence in form and substance reasonably satisfactory to the Issuer to such effect.</w:t>
      </w:r>
    </w:p>
    <w:p>
      <w:pPr>
        <w:spacing w:after="0" w:line="171" w:lineRule="exact"/>
        <w:rPr>
          <w:sz w:val="20"/>
          <w:szCs w:val="20"/>
          <w:color w:val="auto"/>
        </w:rPr>
      </w:pPr>
    </w:p>
    <w:p>
      <w:pPr>
        <w:jc w:val="both"/>
        <w:ind w:left="300" w:right="579"/>
        <w:spacing w:after="0" w:line="245" w:lineRule="auto"/>
        <w:rPr>
          <w:sz w:val="20"/>
          <w:szCs w:val="20"/>
          <w:color w:val="auto"/>
        </w:rPr>
      </w:pPr>
      <w:r>
        <w:rPr>
          <w:rFonts w:ascii="Times New Roman" w:cs="Times New Roman" w:eastAsia="Times New Roman" w:hAnsi="Times New Roman"/>
          <w:sz w:val="20"/>
          <w:szCs w:val="20"/>
          <w:color w:val="auto"/>
        </w:rPr>
        <w:t>In the case of a Note that does not contain a U.S. restrictive legend, if the proposed transfer is to, or for the account or benefit of a person in the United States, the undersigned hereby represents, warrants and certifies that the transfer of the Note is being completed pursuant to an exemption from the registration requirements of the U.S. Securities Act and any applicable state securities laws, in which case the undersigned has furnished to the Issuer and the Trustee an opinion of counsel of recognized standing in form and substance reasonably satisfactory to the Issuer to such effect.</w:t>
      </w:r>
    </w:p>
    <w:p>
      <w:pPr>
        <w:spacing w:after="0" w:line="184" w:lineRule="exact"/>
        <w:rPr>
          <w:sz w:val="20"/>
          <w:szCs w:val="20"/>
          <w:color w:val="auto"/>
        </w:rPr>
      </w:pPr>
    </w:p>
    <w:p>
      <w:pPr>
        <w:ind w:left="940" w:hanging="648"/>
        <w:spacing w:after="0"/>
        <w:tabs>
          <w:tab w:leader="none" w:pos="9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signature(s) to this assignment must correspond with the name(s) as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6</w:t>
      </w:r>
    </w:p>
    <w:p>
      <w:pPr>
        <w:spacing w:after="0" w:line="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496570</wp:posOffset>
            </wp:positionV>
            <wp:extent cx="579437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type w:val="continuous"/>
        </w:sectPr>
      </w:pPr>
    </w:p>
    <w:bookmarkStart w:id="39" w:name="page40"/>
    <w:bookmarkEnd w:id="39"/>
    <w:p>
      <w:pPr>
        <w:jc w:val="both"/>
        <w:ind w:left="940" w:right="579"/>
        <w:spacing w:after="0" w:line="246" w:lineRule="auto"/>
        <w:rPr>
          <w:sz w:val="20"/>
          <w:szCs w:val="20"/>
          <w:color w:val="auto"/>
        </w:rPr>
      </w:pPr>
      <w:r>
        <w:rPr>
          <w:rFonts w:ascii="Times New Roman" w:cs="Times New Roman" w:eastAsia="Times New Roman" w:hAnsi="Times New Roman"/>
          <w:sz w:val="20"/>
          <w:szCs w:val="20"/>
          <w:color w:val="auto"/>
        </w:rPr>
        <w:t>upon the face of the Note in every particular without alteration or any change whatsoever. The signature(s) must be guaranteed by a Canadian chartered bank of trust company or by a member of an acceptable Medallion Guarantee Program. Notarized or witnessed signatures are not acceptable as guaranteed signatures. The Guarantor must affix a stamp bearing the actual words: “</w:t>
      </w:r>
      <w:r>
        <w:rPr>
          <w:rFonts w:ascii="Times New Roman" w:cs="Times New Roman" w:eastAsia="Times New Roman" w:hAnsi="Times New Roman"/>
          <w:sz w:val="20"/>
          <w:szCs w:val="20"/>
          <w:b w:val="1"/>
          <w:bCs w:val="1"/>
          <w:color w:val="auto"/>
        </w:rPr>
        <w:t>SIGNATURE GUARANTEED</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840" w:right="1279" w:hanging="548"/>
        <w:spacing w:after="0" w:line="270" w:lineRule="auto"/>
        <w:tabs>
          <w:tab w:leader="none" w:pos="8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registered holder of this Note is responsible for the payment of any documentary, stamp or other transfer taxes that may be payable in respect of the transfer of this Note.</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Signature of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462280</wp:posOffset>
            </wp:positionV>
            <wp:extent cx="54775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4940" w:val="left"/>
        </w:tabs>
        <w:rPr>
          <w:sz w:val="20"/>
          <w:szCs w:val="20"/>
          <w:color w:val="auto"/>
        </w:rPr>
      </w:pPr>
      <w:r>
        <w:rPr>
          <w:rFonts w:ascii="Times New Roman" w:cs="Times New Roman" w:eastAsia="Times New Roman" w:hAnsi="Times New Roman"/>
          <w:sz w:val="20"/>
          <w:szCs w:val="20"/>
          <w:color w:val="auto"/>
        </w:rPr>
        <w:t>Authorized Officer</w:t>
      </w:r>
      <w:r>
        <w:rPr>
          <w:sz w:val="20"/>
          <w:szCs w:val="20"/>
          <w:color w:val="auto"/>
        </w:rPr>
        <w:tab/>
      </w:r>
      <w:r>
        <w:rPr>
          <w:rFonts w:ascii="Times New Roman" w:cs="Times New Roman" w:eastAsia="Times New Roman" w:hAnsi="Times New Roman"/>
          <w:sz w:val="19"/>
          <w:szCs w:val="19"/>
          <w:color w:val="auto"/>
        </w:rPr>
        <w:t>Signature of transferring registered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Name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7</w:t>
      </w:r>
    </w:p>
    <w:p>
      <w:pPr>
        <w:spacing w:after="0" w:line="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496570</wp:posOffset>
            </wp:positionV>
            <wp:extent cx="579437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40" w:name="page41"/>
    <w:bookmarkEnd w:id="40"/>
    <w:p>
      <w:pPr>
        <w:ind w:left="3860"/>
        <w:spacing w:after="0"/>
        <w:rPr>
          <w:sz w:val="20"/>
          <w:szCs w:val="20"/>
          <w:color w:val="auto"/>
        </w:rPr>
      </w:pPr>
      <w:r>
        <w:rPr>
          <w:rFonts w:ascii="Times New Roman" w:cs="Times New Roman" w:eastAsia="Times New Roman" w:hAnsi="Times New Roman"/>
          <w:sz w:val="20"/>
          <w:szCs w:val="20"/>
          <w:b w:val="1"/>
          <w:bCs w:val="1"/>
          <w:color w:val="auto"/>
        </w:rPr>
        <w:t xml:space="preserve">Appendix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First Supplemental Indenture FORM</w:t>
      </w:r>
    </w:p>
    <w:p>
      <w:pPr>
        <w:spacing w:after="0" w:line="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20"/>
          <w:szCs w:val="20"/>
          <w:b w:val="1"/>
          <w:bCs w:val="1"/>
          <w:color w:val="auto"/>
        </w:rPr>
        <w:t>OF GLOBAL NOTE CERTIFICATE</w:t>
      </w:r>
    </w:p>
    <w:p>
      <w:pPr>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UNLESS PERMITTED UNDER SECURITIES LEGISLATION, THE HOLDER OF THIS SECURITY MUST NOT TRADE THE SECURITY BEFORE </w:t>
      </w:r>
      <w:r>
        <w:rPr>
          <w:rFonts w:ascii="Times New Roman" w:cs="Times New Roman" w:eastAsia="Times New Roman" w:hAnsi="Times New Roman"/>
          <w:sz w:val="20"/>
          <w:szCs w:val="20"/>
          <w:b w:val="1"/>
          <w:bCs w:val="1"/>
          <w:color w:val="auto"/>
        </w:rPr>
        <w:t>[INSERT THE DATE THAT IS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MONTHS AND A DAY AFTER THE DISTRIBUTION DATE].</w:t>
      </w:r>
    </w:p>
    <w:p>
      <w:pPr>
        <w:spacing w:after="0" w:line="173"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THIS NOTE IS A GLOBAL NOTE WITHIN THE MEANING OF THE INDENTURE HEREIN REFERRED TO AND IS REGISTERED IN THE NAME OF A DEPOSITORY OR A NOMINEE THEREOF. THIS NOTE MAY NOT BE TRANSFERRED TO OR EXCHANGED FOR NOTES REGISTERED IN THE NAME OF ANY PERSON OTHER THAN THE DEPOSITORY OR A NOMINEE THEREOF AND NO SUCH TRANSFER MAY BE REGISTERED EXCEPT IN THE LIMITED CIRCUMSTANCES DESCRIBED IN THE INDENTURE. EVERY NOTE AUTHENTICATED AND DELIVERED UPON REGISTRATION OF, TRANSFER OF, OR IN EXCHANGE FOR, OR IN LIEU OF, THIS NOTE SHALL BE A GLOBAL NOTE SUBJECT TO THE FOREGOING, EXCEPT IN SUCH LIMITED CIRCUMSTANCES DESCRIBED IN THE INDENTURE.</w:t>
      </w:r>
    </w:p>
    <w:p>
      <w:pPr>
        <w:spacing w:after="0" w:line="165"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UNLESS THIS CERTIFICATE IS PRESENTED BY AN AUTHORIZED REPRESENTATIVE OF CDS CLEARING AND DEPOSITORY SERVICES INC. (“</w:t>
      </w:r>
      <w:r>
        <w:rPr>
          <w:rFonts w:ascii="Times New Roman" w:cs="Times New Roman" w:eastAsia="Times New Roman" w:hAnsi="Times New Roman"/>
          <w:sz w:val="20"/>
          <w:szCs w:val="20"/>
          <w:b w:val="1"/>
          <w:bCs w:val="1"/>
          <w:color w:val="auto"/>
        </w:rPr>
        <w:t>CDS</w:t>
      </w:r>
      <w:r>
        <w:rPr>
          <w:rFonts w:ascii="Times New Roman" w:cs="Times New Roman" w:eastAsia="Times New Roman" w:hAnsi="Times New Roman"/>
          <w:sz w:val="20"/>
          <w:szCs w:val="20"/>
          <w:color w:val="auto"/>
        </w:rPr>
        <w:t>”) TO THE CANNABIST COMPANY HOLDINGS INC. OR ITS AGENT FOR REGISTRATION OF TRANSFER, EXCHANGE OR PAYMENT, AND ANY CERTIFICATE ISSUED IN RESPECT THEREOF IS REGISTERED IN THE NAME 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HEREIN AND IT IS A VIOLATION OF ITS RIGHTS FOR ANOTHER PERSON TO HOLD, TRANSFER OR DEAL WITH THIS CERTIFICATE.</w:t>
      </w:r>
    </w:p>
    <w:p>
      <w:pPr>
        <w:spacing w:after="0" w:line="174"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THE SECURITIES REPRESENTED HEREBY HAVE NOT BEEN AND WILL NOT BE REGISTERED UNDER THE UNITED STATES SECURITIES ACT OF 1933, AS AMENDED (THE “U.S. SECURITIES ACT”), OR UNDER ANY STATE SECURITIES LAWS. THE HOLDER HEREOF, BY ACQUIRING THESE SECURITIES, AGREES FOR THE BENEFIT OF THE CANNABIST COMPANY HOLDINGS INC. (THE “CORPORATION”), THAT SUCH SECURITIES MAY BE OFFERED, SOLD, PLEDGED OR OTHERWISE TRANSFERRED, DIRECTLY OR INDIRECTLY, ONLY (A) TO THE CORPORATION, (B) OUTSIDE THE UNITED STATES IN ACCORDANCE WITH RULE 904 OF REGULATION S UNDER THE U.S. SECURITIES ACT AND IN COMPLIANCE WITH APPLICABLE CANADIAN LOCAL LAWS AND REGULATIONS, (C) IN COMPLIANCE WITH (1) RULE 144A UNDER THE U.S. SECURITIES ACT, IF APPLICABLE, OR</w:t>
      </w:r>
    </w:p>
    <w:p>
      <w:pPr>
        <w:spacing w:after="0" w:line="8" w:lineRule="exact"/>
        <w:rPr>
          <w:sz w:val="20"/>
          <w:szCs w:val="20"/>
          <w:color w:val="auto"/>
        </w:rPr>
      </w:pPr>
    </w:p>
    <w:p>
      <w:pPr>
        <w:jc w:val="both"/>
        <w:ind w:left="300" w:right="299" w:hanging="7"/>
        <w:spacing w:after="0" w:line="241" w:lineRule="auto"/>
        <w:tabs>
          <w:tab w:leader="none" w:pos="6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144 UNDER THE U.S. SECURITIES ACT, IF APPLICABLE, AND, IN EACH CASE, IN COMPLIANCE WITH APPLICABLE STATE SECURITIES LAWS, OR (D) IN ANOTHER TRANSACTION THAT DOES NOT REQUIRE REGISTRATION UNDER THE U.S. SECURITIES ACT OR ANY APPLICABLE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41" w:name="page42"/>
    <w:bookmarkEnd w:id="41"/>
    <w:p>
      <w:pPr>
        <w:jc w:val="both"/>
        <w:ind w:left="300" w:right="299" w:firstLine="1"/>
        <w:spacing w:after="0" w:line="243" w:lineRule="auto"/>
        <w:rPr>
          <w:sz w:val="20"/>
          <w:szCs w:val="20"/>
          <w:color w:val="auto"/>
        </w:rPr>
      </w:pPr>
      <w:r>
        <w:rPr>
          <w:rFonts w:ascii="Times New Roman" w:cs="Times New Roman" w:eastAsia="Times New Roman" w:hAnsi="Times New Roman"/>
          <w:sz w:val="20"/>
          <w:szCs w:val="20"/>
          <w:color w:val="auto"/>
        </w:rPr>
        <w:t>SECURITIES LAWS, PROVIDED THAT IN THE CASE OF TRANSFERS PURSUANT TO (C)(2) OR (D)ABOVE, A LEGAL OPINION FROM COUNSEL OF RECOGNIZED STANDING IN FORM AND SUBSTANCE SATISFACTORY TO THE CORPORATION MUST FIRST BE PROVIDED TO ODYSSEY TRUST COMPANY AND TO THE ISSUER TO THE EFFECT THAT SUCH TRANSFER IS EXEMPT FROM REGISTRATION UNDER THE U.S. SECURITIES ACT AND APPLICABLE STATE SECURITIES LAWS. DELIVERY OF THIS CERTIFICATE MAY NOT CONSTITUTE “</w:t>
      </w:r>
      <w:r>
        <w:rPr>
          <w:rFonts w:ascii="Times New Roman" w:cs="Times New Roman" w:eastAsia="Times New Roman" w:hAnsi="Times New Roman"/>
          <w:sz w:val="20"/>
          <w:szCs w:val="20"/>
          <w:b w:val="1"/>
          <w:bCs w:val="1"/>
          <w:color w:val="auto"/>
        </w:rPr>
        <w:t>GOOD DELIVERY</w:t>
      </w:r>
      <w:r>
        <w:rPr>
          <w:rFonts w:ascii="Times New Roman" w:cs="Times New Roman" w:eastAsia="Times New Roman" w:hAnsi="Times New Roman"/>
          <w:sz w:val="20"/>
          <w:szCs w:val="20"/>
          <w:color w:val="auto"/>
        </w:rPr>
        <w:t>” IN SETTLEMENT OF TRANSACTIONS ON STOCK EXCHANGES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CUSIP</w:t>
      </w:r>
    </w:p>
    <w:p>
      <w:pPr>
        <w:spacing w:after="0" w:line="4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ISIN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US$</w:t>
      </w:r>
    </w:p>
    <w:p>
      <w:pPr>
        <w:spacing w:after="0" w:line="200" w:lineRule="exact"/>
        <w:rPr>
          <w:sz w:val="20"/>
          <w:szCs w:val="20"/>
          <w:color w:val="auto"/>
        </w:rPr>
      </w:pPr>
    </w:p>
    <w:p>
      <w:pPr>
        <w:sectPr>
          <w:pgSz w:w="11900" w:h="16838" w:orient="portrait"/>
          <w:cols w:equalWidth="0" w:num="2">
            <w:col w:w="7780" w:space="720"/>
            <w:col w:w="620"/>
          </w:cols>
          <w:pgMar w:left="1440" w:top="1440" w:right="1339" w:bottom="1440" w:gutter="0" w:footer="0" w:header="0"/>
        </w:sectPr>
      </w:pPr>
    </w:p>
    <w:p>
      <w:pPr>
        <w:spacing w:after="0" w:line="26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THE CANNABIST COMPANY HOLDINGS INC.</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 xml:space="preserve">(a corporation formed under the laws of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(British Columbia)) 5.00% Senior</w:t>
      </w:r>
    </w:p>
    <w:p>
      <w:pPr>
        <w:spacing w:after="0" w:line="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Secured 2023 Convertible Note</w:t>
      </w:r>
    </w:p>
    <w:p>
      <w:pPr>
        <w:jc w:val="center"/>
        <w:ind w:right="100"/>
        <w:spacing w:after="0"/>
        <w:rPr>
          <w:sz w:val="20"/>
          <w:szCs w:val="20"/>
          <w:color w:val="auto"/>
        </w:rPr>
      </w:pPr>
      <w:r>
        <w:rPr>
          <w:rFonts w:ascii="Times New Roman" w:cs="Times New Roman" w:eastAsia="Times New Roman" w:hAnsi="Times New Roman"/>
          <w:sz w:val="20"/>
          <w:szCs w:val="20"/>
          <w:color w:val="auto"/>
        </w:rPr>
        <w:t>Due December 19, 2023</w:t>
      </w:r>
    </w:p>
    <w:p>
      <w:pPr>
        <w:spacing w:after="0" w:line="163" w:lineRule="exact"/>
        <w:rPr>
          <w:sz w:val="20"/>
          <w:szCs w:val="20"/>
          <w:color w:val="auto"/>
        </w:rPr>
      </w:pPr>
    </w:p>
    <w:p>
      <w:pPr>
        <w:jc w:val="both"/>
        <w:ind w:left="300" w:right="400"/>
        <w:spacing w:after="0" w:line="242" w:lineRule="auto"/>
        <w:rPr>
          <w:sz w:val="20"/>
          <w:szCs w:val="20"/>
          <w:color w:val="auto"/>
        </w:rPr>
      </w:pPr>
      <w:r>
        <w:rPr>
          <w:rFonts w:ascii="Times New Roman" w:cs="Times New Roman" w:eastAsia="Times New Roman" w:hAnsi="Times New Roman"/>
          <w:sz w:val="20"/>
          <w:szCs w:val="20"/>
          <w:color w:val="auto"/>
        </w:rPr>
        <w:t>THE CANNABIST COMPANY HOLDINGS INC. (the “</w:t>
      </w:r>
      <w:r>
        <w:rPr>
          <w:rFonts w:ascii="Times New Roman" w:cs="Times New Roman" w:eastAsia="Times New Roman" w:hAnsi="Times New Roman"/>
          <w:sz w:val="20"/>
          <w:szCs w:val="20"/>
          <w:b w:val="1"/>
          <w:bCs w:val="1"/>
          <w:color w:val="auto"/>
        </w:rPr>
        <w:t>Issuer</w:t>
      </w:r>
      <w:r>
        <w:rPr>
          <w:rFonts w:ascii="Times New Roman" w:cs="Times New Roman" w:eastAsia="Times New Roman" w:hAnsi="Times New Roman"/>
          <w:sz w:val="20"/>
          <w:szCs w:val="20"/>
          <w:color w:val="auto"/>
        </w:rPr>
        <w:t>”) for value received hereby acknowledges itself indebted and, subject to the provisions of the trust indenture dated as of May 14, 2020 (the “</w:t>
      </w:r>
      <w:r>
        <w:rPr>
          <w:rFonts w:ascii="Times New Roman" w:cs="Times New Roman" w:eastAsia="Times New Roman" w:hAnsi="Times New Roman"/>
          <w:sz w:val="20"/>
          <w:szCs w:val="20"/>
          <w:b w:val="1"/>
          <w:bCs w:val="1"/>
          <w:color w:val="auto"/>
        </w:rPr>
        <w:t>Master Trust Indenture</w:t>
      </w:r>
      <w:r>
        <w:rPr>
          <w:rFonts w:ascii="Times New Roman" w:cs="Times New Roman" w:eastAsia="Times New Roman" w:hAnsi="Times New Roman"/>
          <w:sz w:val="20"/>
          <w:szCs w:val="20"/>
          <w:color w:val="auto"/>
        </w:rPr>
        <w:t>”), as supplemented by the first supplemental indenture dated as of June 19, 2020 (the “</w:t>
      </w:r>
      <w:r>
        <w:rPr>
          <w:rFonts w:ascii="Times New Roman" w:cs="Times New Roman" w:eastAsia="Times New Roman" w:hAnsi="Times New Roman"/>
          <w:sz w:val="20"/>
          <w:szCs w:val="20"/>
          <w:b w:val="1"/>
          <w:bCs w:val="1"/>
          <w:color w:val="auto"/>
        </w:rPr>
        <w:t>First Supplemental Indenture</w:t>
      </w:r>
      <w:r>
        <w:rPr>
          <w:rFonts w:ascii="Times New Roman" w:cs="Times New Roman" w:eastAsia="Times New Roman" w:hAnsi="Times New Roman"/>
          <w:sz w:val="20"/>
          <w:szCs w:val="20"/>
          <w:color w:val="auto"/>
        </w:rPr>
        <w:t>”, and together with the Master Trust Indenture,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Issuer and Odyssey Trust Company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promises to pay to on December 19, 2023 (the “</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or on such earlier date as the principal amount hereof may become due in accordance with the provisions of the Indenture, the principal sum of Dollars (US$ ) in lawful money of the United States of America on presentation and surrender of this 2023 Convertible Note at the main branch of the Trustee in Vancouver, British Columbia in accordance with the terms of the Indenture and, subject as hereinafter provided, to pay interest on the principal amount hereof from the date hereof, at the rate of 5.00% per annum (based on a year of 365 days), in like money, in arrears in equal installments on the six month anniversary of the Issue Date and the Maturity Date, and, should the Issuer at any time make default in the payment of any principal, or interest, to pay interest on the amount in default at the same rate, in like money and on the same date.</w:t>
      </w:r>
    </w:p>
    <w:p>
      <w:pPr>
        <w:spacing w:after="0" w:line="173" w:lineRule="exact"/>
        <w:rPr>
          <w:sz w:val="20"/>
          <w:szCs w:val="20"/>
          <w:color w:val="auto"/>
        </w:rPr>
      </w:pPr>
    </w:p>
    <w:p>
      <w:pPr>
        <w:jc w:val="both"/>
        <w:ind w:left="300" w:right="400"/>
        <w:spacing w:after="0" w:line="249" w:lineRule="auto"/>
        <w:rPr>
          <w:sz w:val="20"/>
          <w:szCs w:val="20"/>
          <w:color w:val="auto"/>
        </w:rPr>
      </w:pPr>
      <w:r>
        <w:rPr>
          <w:rFonts w:ascii="Times New Roman" w:cs="Times New Roman" w:eastAsia="Times New Roman" w:hAnsi="Times New Roman"/>
          <w:sz w:val="20"/>
          <w:szCs w:val="20"/>
          <w:color w:val="auto"/>
        </w:rPr>
        <w:t>Interest on this 2023 Convertible Note will be computed on the basis of a 365-day or 366-day year, as applicable, and will be payable in equal semi-annual amounts; provided that for any Interest Period that is shorter than a full semi-annual interest period, interest shall be calculated on the basis of a year of 365 days or 366 days, as applicable, and the actual number of days elapsed in that period.</w:t>
      </w:r>
    </w:p>
    <w:p>
      <w:pPr>
        <w:spacing w:after="0" w:line="166" w:lineRule="exact"/>
        <w:rPr>
          <w:sz w:val="20"/>
          <w:szCs w:val="20"/>
          <w:color w:val="auto"/>
        </w:rPr>
      </w:pPr>
    </w:p>
    <w:p>
      <w:pPr>
        <w:jc w:val="both"/>
        <w:ind w:left="300" w:right="400"/>
        <w:spacing w:after="0" w:line="249" w:lineRule="auto"/>
        <w:rPr>
          <w:sz w:val="20"/>
          <w:szCs w:val="20"/>
          <w:color w:val="auto"/>
        </w:rPr>
      </w:pPr>
      <w:r>
        <w:rPr>
          <w:rFonts w:ascii="Times New Roman" w:cs="Times New Roman" w:eastAsia="Times New Roman" w:hAnsi="Times New Roman"/>
          <w:sz w:val="20"/>
          <w:szCs w:val="20"/>
          <w:color w:val="auto"/>
        </w:rPr>
        <w:t>If the date for payment of any amount of principal, premium or interest is not a Business Day at the place of payment, then payment will be made on the next Business Day and the holder hereof will not be entitled to any further interest on such principal, or to any interest on such interest, premium or other amount so payable, in respect of the period from the date for payment to such next Business Day.</w:t>
      </w:r>
    </w:p>
    <w:p>
      <w:pPr>
        <w:spacing w:after="0" w:line="153" w:lineRule="exact"/>
        <w:rPr>
          <w:sz w:val="20"/>
          <w:szCs w:val="20"/>
          <w:color w:val="auto"/>
        </w:rPr>
      </w:pPr>
    </w:p>
    <w:p>
      <w:pPr>
        <w:jc w:val="both"/>
        <w:ind w:left="300" w:right="400"/>
        <w:spacing w:after="0" w:line="254" w:lineRule="auto"/>
        <w:rPr>
          <w:sz w:val="20"/>
          <w:szCs w:val="20"/>
          <w:color w:val="auto"/>
        </w:rPr>
      </w:pPr>
      <w:r>
        <w:rPr>
          <w:rFonts w:ascii="Times New Roman" w:cs="Times New Roman" w:eastAsia="Times New Roman" w:hAnsi="Times New Roman"/>
          <w:sz w:val="20"/>
          <w:szCs w:val="20"/>
          <w:color w:val="auto"/>
        </w:rPr>
        <w:t>Interest hereon shall be payable by cheque mailed by prepaid ordinary mail or by electronic transfer of funds to the registered holder hereof and, subject to the provisions of this Indenture, the mailing of such cheque or the electronic transfer of such funds shall, to the extent of the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3</w:t>
      </w:r>
    </w:p>
    <w:p>
      <w:pPr>
        <w:spacing w:after="0" w:line="4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120"/>
          </w:cols>
          <w:pgMar w:left="1440" w:top="1440" w:right="1339" w:bottom="1440" w:gutter="0" w:footer="0" w:header="0"/>
          <w:type w:val="continuous"/>
        </w:sectPr>
      </w:pPr>
    </w:p>
    <w:bookmarkStart w:id="43" w:name="page44"/>
    <w:bookmarkEnd w:id="43"/>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5857240</wp:posOffset>
            </wp:positionH>
            <wp:positionV relativeFrom="page">
              <wp:posOffset>509270</wp:posOffset>
            </wp:positionV>
            <wp:extent cx="19685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96850" cy="137160"/>
                    </a:xfrm>
                    <a:prstGeom prst="rect">
                      <a:avLst/>
                    </a:prstGeom>
                    <a:noFill/>
                  </pic:spPr>
                </pic:pic>
              </a:graphicData>
            </a:graphic>
          </wp:anchor>
        </w:drawing>
        <w:t>represented thereby (plus the amount of any Taxes deducted or withheld), satisfy and discharge all liability for interest on this 2023 Convertible Note.</w:t>
      </w:r>
    </w:p>
    <w:p>
      <w:pPr>
        <w:spacing w:after="0" w:line="142"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This Note is one of the 5.00% Senior Secured 2023 Convertible Notes (referred to herein as the “</w:t>
      </w:r>
      <w:r>
        <w:rPr>
          <w:rFonts w:ascii="Times New Roman" w:cs="Times New Roman" w:eastAsia="Times New Roman" w:hAnsi="Times New Roman"/>
          <w:sz w:val="20"/>
          <w:szCs w:val="20"/>
          <w:b w:val="1"/>
          <w:bCs w:val="1"/>
          <w:color w:val="auto"/>
        </w:rPr>
        <w:t>2023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Convertible Notes</w:t>
      </w:r>
      <w:r>
        <w:rPr>
          <w:rFonts w:ascii="Times New Roman" w:cs="Times New Roman" w:eastAsia="Times New Roman" w:hAnsi="Times New Roman"/>
          <w:sz w:val="20"/>
          <w:szCs w:val="20"/>
          <w:color w:val="auto"/>
        </w:rPr>
        <w:t>”) of the Issuer issued under the provisions of the Indenture. The 2023 Convertible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Notes authorized for issue immediately are limited to an aggregate principal amount of US$ in lawful money of the United States. Reference is hereby expressly made to the Indenture for a description of the terms and conditions upon which the 2023 Convertible Notes are or are to be issued and held and the rights and remedies of the holders of the 2023 Convertible Notes and of the Issuer and of the Trustee, all to the same effect as if the provisions of the Indenture were herein set forth to all of which provisions the holder of this Note by acceptance hereof assents.</w:t>
      </w:r>
    </w:p>
    <w:p>
      <w:pPr>
        <w:spacing w:after="0" w:line="172"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The 2023 Convertible Notes are issuable at a price of US$1,000 per US$1,000 of principal amount and only in denominations of US$1,000 and integral multiples of US$1,000. Upon compliance with the provisions of the Indenture, 2023 Convertible Notes of any denomination may be exchanged for an equal aggregate principal amount of 2023 Convertible Notes in any other authorized denomination or denominations.</w:t>
      </w:r>
    </w:p>
    <w:p>
      <w:pPr>
        <w:spacing w:after="0" w:line="171"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Any part, being US$1,000 or an integral multiple thereof, of the principal of this 2023 Convertible Note, provided that the principal amount of this 2023 Convertible Note is in a denomination in excess of US$1,000, is convertible, at the option of the holder hereof, upon surrender of this 2023 Convertible Note at the principal office of the Trustee in Vancouver, British Columbia, at any time prior to the close of business on the date which falls 10 days prior to the Maturity Date, into Common Shares (without adjustment for interest accrued hereon or for dividends or distributions on Common Shares issuable upon conversion) at a conversion price per Common Share equal to C$3.79 payable on the Business Day prior to the date of conversion (the “</w:t>
      </w:r>
      <w:r>
        <w:rPr>
          <w:rFonts w:ascii="Times New Roman" w:cs="Times New Roman" w:eastAsia="Times New Roman" w:hAnsi="Times New Roman"/>
          <w:sz w:val="20"/>
          <w:szCs w:val="20"/>
          <w:b w:val="1"/>
          <w:bCs w:val="1"/>
          <w:color w:val="auto"/>
        </w:rPr>
        <w:t>Conversion Price</w:t>
      </w:r>
      <w:r>
        <w:rPr>
          <w:rFonts w:ascii="Times New Roman" w:cs="Times New Roman" w:eastAsia="Times New Roman" w:hAnsi="Times New Roman"/>
          <w:sz w:val="20"/>
          <w:szCs w:val="20"/>
          <w:color w:val="auto"/>
        </w:rPr>
        <w:t>”), adjusted downwards for any cash dividends paid to holders of the common shares of the Issuer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all subject to the terms and conditions and in the manner set forth herein.</w:t>
      </w:r>
    </w:p>
    <w:p>
      <w:pPr>
        <w:spacing w:after="0" w:line="1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The Indenture makes provision for the adjustment of the Conversion Price in the events therein specified. No fractional Common Shares will be issued on any conversion and holders will receive a cash payment in satisfaction of any fractional interest.</w:t>
      </w:r>
    </w:p>
    <w:p>
      <w:pPr>
        <w:spacing w:after="0" w:line="16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Upon the occurrence of a Change of Control of the Issuer, the Issuer is required to make an offer, at the option of each Holder, to purchase all of the 2023 Convertible Notes at a cash price equal to 101% principal amount of such 2023 Convertible Notes in accordance with the terms of the Indenture.</w:t>
      </w:r>
    </w:p>
    <w:p>
      <w:pPr>
        <w:spacing w:after="0" w:line="147"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indebtedness evidenced by this 2023 Convertible Note, and by all other 2023 Convertible Notes now or hereafter certified and delivered under the Indenture, is a direct secured obligation of the Issuer.</w:t>
      </w:r>
    </w:p>
    <w:p>
      <w:pPr>
        <w:spacing w:after="0" w:line="146"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principal hereof may become or be declared due and payable before the stated maturity in the events, in the manner, with the effect and at the times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44" w:name="page45"/>
    <w:bookmarkEnd w:id="44"/>
    <w:p>
      <w:pPr>
        <w:jc w:val="both"/>
        <w:ind w:left="300" w:right="299"/>
        <w:spacing w:after="0" w:line="247" w:lineRule="auto"/>
        <w:rPr>
          <w:sz w:val="20"/>
          <w:szCs w:val="20"/>
          <w:color w:val="auto"/>
        </w:rPr>
      </w:pPr>
      <w:r>
        <w:rPr>
          <w:rFonts w:ascii="Times New Roman" w:cs="Times New Roman" w:eastAsia="Times New Roman" w:hAnsi="Times New Roman"/>
          <w:sz w:val="20"/>
          <w:szCs w:val="20"/>
          <w:color w:val="auto"/>
        </w:rPr>
        <w:t>The 2023 Convertible Notes and Common Shares issuable upon conversion hereof have not and will not be registered under the United States Securities Act of 1933, as amended (the “</w:t>
      </w:r>
      <w:r>
        <w:rPr>
          <w:rFonts w:ascii="Times New Roman" w:cs="Times New Roman" w:eastAsia="Times New Roman" w:hAnsi="Times New Roman"/>
          <w:sz w:val="20"/>
          <w:szCs w:val="20"/>
          <w:b w:val="1"/>
          <w:bCs w:val="1"/>
          <w:color w:val="auto"/>
        </w:rPr>
        <w:t>U.S. Securities Act</w:t>
      </w:r>
      <w:r>
        <w:rPr>
          <w:rFonts w:ascii="Times New Roman" w:cs="Times New Roman" w:eastAsia="Times New Roman" w:hAnsi="Times New Roman"/>
          <w:sz w:val="20"/>
          <w:szCs w:val="20"/>
          <w:color w:val="auto"/>
        </w:rPr>
        <w:t>”), or the securities laws of any state of the United States. The 2023 Convertible Notes and the Common Shares may only be offered, sold, pledged or otherwise transferred to</w:t>
      </w:r>
    </w:p>
    <w:p>
      <w:pPr>
        <w:jc w:val="both"/>
        <w:ind w:left="300" w:right="299" w:hanging="7"/>
        <w:spacing w:after="0" w:line="246" w:lineRule="auto"/>
        <w:tabs>
          <w:tab w:leader="none" w:pos="56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(ii) outside the United States to a person who is not a “</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(as defined by Regulation S under the U.S. Securities Act) in accordance with an applicable exemption under the U.S. Securities Act and applicable local securities laws and regulations.</w:t>
      </w:r>
    </w:p>
    <w:p>
      <w:pPr>
        <w:spacing w:after="0" w:line="155"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The Indenture contains provisions making binding upon all holders of 2023 Convertible Notes outstanding thereunder resolutions passed at meetings of such holders held in accordance with such provisions and instruments signed by the holders of a specified majority of 2023 Convertible Notes outstanding, which resolutions or instruments may have the effect of amending the terms of this 2023 Convertible Note or the Indenture.</w:t>
      </w:r>
    </w:p>
    <w:p>
      <w:pPr>
        <w:spacing w:after="0" w:line="17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The Indenture contains provisions disclaiming any personal liability on the part of holders of Common Shares, officers, directors and employees of the Issuer in respect of any obligation or claim arising out of the Indenture or this 2023 Convertible Note.</w:t>
      </w:r>
    </w:p>
    <w:p>
      <w:pPr>
        <w:spacing w:after="0" w:line="161"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This 2023 Convertible Note may only be transferred, upon compliance with the conditions prescribed in the Indenture, in one of the registers to be kept at the principal office of the Trustee in the City of Vancouver and in such other place or places and/or by such other registrars (if any) as the Issuer with the approval of the Trustee may designate. No transfer of this 2023 Convertible Note shall be valid unless made on the register by the registered holder hereof or his executors or administrators or other legal representatives, or his or their attorney duly appointed by an instrument in form and substance satisfactory to the Trustee or other registrar, and upon compliance with such reasonable requirements as the Trustee or other registrar may prescribe and upon surrender of this 2023 Convertible Note for cancellation. Thereupon a new 2023 Convertible Note or 2023 Convertible Notes in the same aggregate principal amount shall be issued to the transferee in exchange hereof.</w:t>
      </w:r>
    </w:p>
    <w:p>
      <w:pPr>
        <w:spacing w:after="0" w:line="17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This 2023 Convertible Note shall not become obligatory for any purpose until it shall have been certified by the Trustee under the Indenture.</w:t>
      </w:r>
    </w:p>
    <w:p>
      <w:pPr>
        <w:spacing w:after="0" w:line="132"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Capitalized words or expressions used in this 2023 Convertible Note shall, unless otherwise defined herein, have the meaning ascribed thereto in the Indenture.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[Reminder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5</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45" w:name="page46"/>
    <w:bookmarkEnd w:id="45"/>
    <w:p>
      <w:pPr>
        <w:ind w:left="300" w:right="899"/>
        <w:spacing w:after="0" w:line="256" w:lineRule="auto"/>
        <w:rPr>
          <w:sz w:val="20"/>
          <w:szCs w:val="20"/>
          <w:color w:val="auto"/>
        </w:rPr>
      </w:pPr>
      <w:r>
        <w:rPr>
          <w:rFonts w:ascii="Times New Roman" w:cs="Times New Roman" w:eastAsia="Times New Roman" w:hAnsi="Times New Roman"/>
          <w:sz w:val="20"/>
          <w:szCs w:val="20"/>
          <w:b w:val="1"/>
          <w:bCs w:val="1"/>
          <w:color w:val="auto"/>
        </w:rPr>
        <w:t>IN WITNESS WHEREOF THE CANNABIST COMPANY HOLDINGS INC</w:t>
      </w:r>
      <w:r>
        <w:rPr>
          <w:rFonts w:ascii="Times New Roman" w:cs="Times New Roman" w:eastAsia="Times New Roman" w:hAnsi="Times New Roman"/>
          <w:sz w:val="20"/>
          <w:szCs w:val="20"/>
          <w:color w:val="auto"/>
        </w:rPr>
        <w:t>. has caused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Convertible Note to be signed by its authorized representatives as of the 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-27940</wp:posOffset>
            </wp:positionV>
            <wp:extent cx="1270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0"/>
          <w:szCs w:val="20"/>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-20320</wp:posOffset>
            </wp:positionV>
            <wp:extent cx="2514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b w:val="1"/>
          <w:bCs w:val="1"/>
          <w:color w:val="auto"/>
        </w:rPr>
        <w:t>THE CANNABIST COMPANY HOLDINGS</w:t>
      </w:r>
    </w:p>
    <w:p>
      <w:pPr>
        <w:spacing w:after="0" w:line="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INC</w:t>
      </w: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By:</w:t>
      </w:r>
    </w:p>
    <w:p>
      <w:pPr>
        <w:spacing w:after="0" w:line="3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Nicholas Vita</w:t>
      </w:r>
    </w:p>
    <w:p>
      <w:pPr>
        <w:spacing w:after="0" w:line="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right="1479"/>
        <w:spacing w:after="0" w:line="269" w:lineRule="auto"/>
        <w:rPr>
          <w:sz w:val="20"/>
          <w:szCs w:val="20"/>
          <w:color w:val="auto"/>
        </w:rPr>
      </w:pPr>
      <w:r>
        <w:rPr>
          <w:rFonts w:ascii="Times New Roman" w:cs="Times New Roman" w:eastAsia="Times New Roman" w:hAnsi="Times New Roman"/>
          <w:sz w:val="20"/>
          <w:szCs w:val="20"/>
          <w:color w:val="auto"/>
        </w:rPr>
        <w:t>This 2023 Convertible Note is one of the 5.00% Senior Secured 2023 Convertible Note due December , 2023 referred to in the Indenture within mentioned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-46355</wp:posOffset>
            </wp:positionV>
            <wp:extent cx="2374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23749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ODYSSEY TRUST COMPANY</w:t>
      </w: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By:</w:t>
      </w:r>
    </w:p>
    <w:p>
      <w:pPr>
        <w:spacing w:after="0" w:line="3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Dan Sander</w:t>
      </w:r>
    </w:p>
    <w:p>
      <w:pPr>
        <w:spacing w:after="0" w:line="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VP, Corporate Trust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By:</w:t>
      </w:r>
    </w:p>
    <w:p>
      <w:pPr>
        <w:spacing w:after="0" w:line="2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Amy Douglas</w:t>
      </w:r>
    </w:p>
    <w:p>
      <w:pPr>
        <w:spacing w:after="0" w:line="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Director, Corporate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-10795</wp:posOffset>
            </wp:positionV>
            <wp:extent cx="1987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6</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TRANSFER</w:t>
      </w:r>
    </w:p>
    <w:p>
      <w:pPr>
        <w:spacing w:after="0" w:line="206" w:lineRule="exact"/>
        <w:rPr>
          <w:sz w:val="20"/>
          <w:szCs w:val="20"/>
          <w:color w:val="auto"/>
        </w:rPr>
      </w:pPr>
    </w:p>
    <w:p>
      <w:pPr>
        <w:jc w:val="center"/>
        <w:ind w:left="1740" w:right="180"/>
        <w:spacing w:after="0" w:line="269" w:lineRule="auto"/>
        <w:rPr>
          <w:sz w:val="20"/>
          <w:szCs w:val="20"/>
          <w:color w:val="auto"/>
        </w:rPr>
      </w:pPr>
      <w:r>
        <w:rPr>
          <w:rFonts w:ascii="Times New Roman" w:cs="Times New Roman" w:eastAsia="Times New Roman" w:hAnsi="Times New Roman"/>
          <w:sz w:val="20"/>
          <w:szCs w:val="20"/>
          <w:color w:val="auto"/>
        </w:rPr>
        <w:t>ODYSSEY TRUST COMPANY FOR VALUE RECEIVED the undersigned hereby sells, assigns and transfers to</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(print name and address) the 2023 Convertible Notes represented by this 2023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-10795</wp:posOffset>
            </wp:positionV>
            <wp:extent cx="2686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268605" cy="8890"/>
                    </a:xfrm>
                    <a:prstGeom prst="rect">
                      <a:avLst/>
                    </a:prstGeom>
                    <a:noFill/>
                  </pic:spPr>
                </pic:pic>
              </a:graphicData>
            </a:graphic>
          </wp:anchor>
        </w:drawing>
      </w:r>
    </w:p>
    <w:p>
      <w:pPr>
        <w:spacing w:after="0" w:line="2" w:lineRule="exact"/>
        <w:rPr>
          <w:sz w:val="20"/>
          <w:szCs w:val="20"/>
          <w:color w:val="auto"/>
        </w:rPr>
      </w:pPr>
    </w:p>
    <w:p>
      <w:pPr>
        <w:ind w:left="300" w:right="299"/>
        <w:spacing w:after="0" w:line="246" w:lineRule="auto"/>
        <w:rPr>
          <w:sz w:val="20"/>
          <w:szCs w:val="20"/>
          <w:color w:val="auto"/>
        </w:rPr>
      </w:pPr>
      <w:r>
        <w:rPr>
          <w:rFonts w:ascii="Times New Roman" w:cs="Times New Roman" w:eastAsia="Times New Roman" w:hAnsi="Times New Roman"/>
          <w:sz w:val="20"/>
          <w:szCs w:val="20"/>
          <w:color w:val="auto"/>
        </w:rPr>
        <w:t>Certificate and hereby irrevocable constitutes and appoints as its attorney with full power of substitution to transfer the said securities on the appropriate register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-178435</wp:posOffset>
            </wp:positionV>
            <wp:extent cx="3435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343535" cy="8255"/>
                    </a:xfrm>
                    <a:prstGeom prst="rect">
                      <a:avLst/>
                    </a:prstGeom>
                    <a:noFill/>
                  </pic:spPr>
                </pic:pic>
              </a:graphicData>
            </a:graphic>
          </wp:anchor>
        </w:drawing>
      </w:r>
    </w:p>
    <w:p>
      <w:pPr>
        <w:spacing w:after="0" w:line="148" w:lineRule="exact"/>
        <w:rPr>
          <w:sz w:val="20"/>
          <w:szCs w:val="20"/>
          <w:color w:val="auto"/>
        </w:rPr>
      </w:pPr>
    </w:p>
    <w:p>
      <w:pPr>
        <w:ind w:left="300"/>
        <w:spacing w:after="0"/>
        <w:tabs>
          <w:tab w:leader="none" w:pos="1460" w:val="left"/>
          <w:tab w:leader="none" w:pos="2260" w:val="left"/>
        </w:tabs>
        <w:rPr>
          <w:sz w:val="20"/>
          <w:szCs w:val="20"/>
          <w:color w:val="auto"/>
        </w:rPr>
      </w:pPr>
      <w:r>
        <w:rPr>
          <w:rFonts w:ascii="Times New Roman" w:cs="Times New Roman" w:eastAsia="Times New Roman" w:hAnsi="Times New Roman"/>
          <w:sz w:val="20"/>
          <w:szCs w:val="20"/>
          <w:color w:val="auto"/>
        </w:rPr>
        <w:t>DATED this</w:t>
        <w:tab/>
        <w:t>day of</w:t>
      </w:r>
      <w:r>
        <w:rPr>
          <w:sz w:val="20"/>
          <w:szCs w:val="20"/>
          <w:color w:val="auto"/>
        </w:rPr>
        <w:tab/>
      </w: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-10795</wp:posOffset>
            </wp:positionV>
            <wp:extent cx="977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9779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-10795</wp:posOffset>
            </wp:positionV>
            <wp:extent cx="1536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153670" cy="8890"/>
                    </a:xfrm>
                    <a:prstGeom prst="rect">
                      <a:avLst/>
                    </a:prstGeom>
                    <a:noFill/>
                  </pic:spPr>
                </pic:pic>
              </a:graphicData>
            </a:graphic>
          </wp:anchor>
        </w:drawing>
      </w:r>
    </w:p>
    <w:p>
      <w:pPr>
        <w:spacing w:after="0" w:line="182"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20"/>
          <w:szCs w:val="20"/>
          <w:color w:val="auto"/>
        </w:rPr>
        <w:t>In the case of a 2023 Convertible Note Certificate bearing the restrictive U.S. legend described in Section 3.3(b) of the Indenture, the undersigned hereby represents, warrants and certifies that (one (only) of the following must be checked):</w:t>
      </w:r>
    </w:p>
    <w:p>
      <w:pPr>
        <w:spacing w:after="0" w:line="143" w:lineRule="exact"/>
        <w:rPr>
          <w:sz w:val="20"/>
          <w:szCs w:val="20"/>
          <w:color w:val="auto"/>
        </w:rPr>
      </w:pPr>
    </w:p>
    <w:p>
      <w:pPr>
        <w:ind w:left="940" w:hanging="324"/>
        <w:spacing w:after="0"/>
        <w:tabs>
          <w:tab w:leader="none" w:pos="9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transfer is being made to the Issuer; or</w:t>
      </w:r>
    </w:p>
    <w:p>
      <w:pPr>
        <w:spacing w:after="0" w:line="215" w:lineRule="exact"/>
        <w:rPr>
          <w:rFonts w:ascii="Times New Roman" w:cs="Times New Roman" w:eastAsia="Times New Roman" w:hAnsi="Times New Roman"/>
          <w:sz w:val="20"/>
          <w:szCs w:val="20"/>
          <w:color w:val="auto"/>
        </w:rPr>
      </w:pPr>
    </w:p>
    <w:p>
      <w:pPr>
        <w:jc w:val="both"/>
        <w:ind w:left="920" w:right="499" w:hanging="304"/>
        <w:spacing w:after="0" w:line="250" w:lineRule="auto"/>
        <w:tabs>
          <w:tab w:leader="none" w:pos="9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transfer is being made outside the United States to a person who is not a “</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i w:val="1"/>
          <w:iCs w:val="1"/>
          <w:color w:val="auto"/>
        </w:rPr>
        <w:t>” (as defined by Regulation S under the United States Securities Act of 1933, as amended (the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i w:val="1"/>
          <w:iCs w:val="1"/>
          <w:color w:val="auto"/>
        </w:rPr>
        <w:t>”)) in accordance with an applicable exemption under the U.S. Securities Act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applicable local securities laws and regulations.</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SPACE FOR GUARANTEES</w:t>
            </w: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38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OF SIGNATURES (BELOW)</w:t>
            </w: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840" w:type="dxa"/>
            <w:vAlign w:val="bottom"/>
          </w:tcPr>
          <w:p>
            <w:pPr>
              <w:spacing w:after="0"/>
              <w:rPr>
                <w:sz w:val="24"/>
                <w:szCs w:val="24"/>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Signature of Transferor</w:t>
            </w:r>
          </w:p>
        </w:tc>
        <w:tc>
          <w:tcPr>
            <w:tcW w:w="0" w:type="dxa"/>
            <w:vAlign w:val="bottom"/>
          </w:tcPr>
          <w:p>
            <w:pPr>
              <w:spacing w:after="0"/>
              <w:rPr>
                <w:sz w:val="1"/>
                <w:szCs w:val="1"/>
                <w:color w:val="auto"/>
              </w:rPr>
            </w:pPr>
          </w:p>
        </w:tc>
      </w:tr>
      <w:tr>
        <w:trPr>
          <w:trHeight w:val="324"/>
        </w:trPr>
        <w:tc>
          <w:tcPr>
            <w:tcW w:w="3840" w:type="dxa"/>
            <w:vAlign w:val="bottom"/>
          </w:tcPr>
          <w:p>
            <w:pPr>
              <w:spacing w:after="0"/>
              <w:rPr>
                <w:sz w:val="24"/>
                <w:szCs w:val="24"/>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840" w:type="dxa"/>
            <w:vAlign w:val="bottom"/>
          </w:tcPr>
          <w:p>
            <w:pPr>
              <w:spacing w:after="0"/>
              <w:rPr>
                <w:sz w:val="24"/>
                <w:szCs w:val="24"/>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tcPr>
          <w:p>
            <w:pPr>
              <w:spacing w:after="0"/>
              <w:rPr>
                <w:sz w:val="17"/>
                <w:szCs w:val="17"/>
                <w:color w:val="auto"/>
              </w:rPr>
            </w:pPr>
          </w:p>
        </w:tc>
        <w:tc>
          <w:tcPr>
            <w:tcW w:w="56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Guarantor's Signature/Stamp</w:t>
            </w:r>
          </w:p>
        </w:tc>
        <w:tc>
          <w:tcPr>
            <w:tcW w:w="560" w:type="dxa"/>
            <w:vAlign w:val="bottom"/>
            <w:vMerge w:val="continue"/>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Signature of Transferor</w:t>
            </w:r>
          </w:p>
        </w:tc>
        <w:tc>
          <w:tcPr>
            <w:tcW w:w="0" w:type="dxa"/>
            <w:vAlign w:val="bottom"/>
          </w:tcPr>
          <w:p>
            <w:pPr>
              <w:spacing w:after="0"/>
              <w:rPr>
                <w:sz w:val="1"/>
                <w:szCs w:val="1"/>
                <w:color w:val="auto"/>
              </w:rPr>
            </w:pPr>
          </w:p>
        </w:tc>
      </w:tr>
      <w:tr>
        <w:trPr>
          <w:trHeight w:val="301"/>
        </w:trPr>
        <w:tc>
          <w:tcPr>
            <w:tcW w:w="3840" w:type="dxa"/>
            <w:vAlign w:val="bottom"/>
          </w:tcPr>
          <w:p>
            <w:pPr>
              <w:spacing w:after="0"/>
              <w:rPr>
                <w:sz w:val="24"/>
                <w:szCs w:val="24"/>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840" w:type="dxa"/>
            <w:vAlign w:val="bottom"/>
          </w:tcPr>
          <w:p>
            <w:pPr>
              <w:spacing w:after="0"/>
              <w:rPr>
                <w:sz w:val="24"/>
                <w:szCs w:val="24"/>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89"/>
              </w:rPr>
              <w: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color w:val="auto"/>
        </w:rPr>
        <w:t>CERTAIN REQUIREMENTS RELATING TO TRANSFERS – READ CAREFULLY</w:t>
      </w:r>
    </w:p>
    <w:p>
      <w:pPr>
        <w:spacing w:after="0" w:line="206"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The signature(s) of the transferor(s) must correspond with the name(s) as written upon the face of this certificate(s), in every particular, without alteration or enlargement, or any change whatsoever. The signature(s) on this form must be guaranteed in accordance with the transfer agent’s then current guidelines and requirements at the time of transfer. Notarized or witnessed signatures are not acceptable as guaranteed signatures. As at the time of closing, you may choose one of the following methods (although subject to change in accordance with industry practice and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7</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47" w:name="page48"/>
    <w:bookmarkEnd w:id="47"/>
    <w:p>
      <w:pPr>
        <w:jc w:val="both"/>
        <w:ind w:left="920" w:right="299" w:hanging="304"/>
        <w:spacing w:after="0" w:line="247" w:lineRule="auto"/>
        <w:tabs>
          <w:tab w:leader="none" w:pos="9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Canada and the USA</w:t>
      </w:r>
      <w:r>
        <w:rPr>
          <w:rFonts w:ascii="Times New Roman" w:cs="Times New Roman" w:eastAsia="Times New Roman" w:hAnsi="Times New Roman"/>
          <w:sz w:val="20"/>
          <w:szCs w:val="20"/>
          <w:color w:val="auto"/>
        </w:rPr>
        <w:t>: A Medallion Signature Guarantee obtained from a member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acceptable Medallion Signature Guarantee Program (STAMP, SEMP, NYSE MSP). Many commercial banks, savings banks, credit unions, and all broker dealers participate in a Medallion Signature Guarantee Program. The Guarantor must affix a stamp bearing the actual words “</w:t>
      </w:r>
      <w:r>
        <w:rPr>
          <w:rFonts w:ascii="Times New Roman" w:cs="Times New Roman" w:eastAsia="Times New Roman" w:hAnsi="Times New Roman"/>
          <w:sz w:val="20"/>
          <w:szCs w:val="20"/>
          <w:b w:val="1"/>
          <w:bCs w:val="1"/>
          <w:color w:val="auto"/>
        </w:rPr>
        <w:t>Medallion Guaranteed</w:t>
      </w:r>
      <w:r>
        <w:rPr>
          <w:rFonts w:ascii="Times New Roman" w:cs="Times New Roman" w:eastAsia="Times New Roman" w:hAnsi="Times New Roman"/>
          <w:sz w:val="20"/>
          <w:szCs w:val="20"/>
          <w:color w:val="auto"/>
        </w:rPr>
        <w:t>”, with the correct prefix covering the face value of the certificate.</w:t>
      </w:r>
    </w:p>
    <w:p>
      <w:pPr>
        <w:spacing w:after="0" w:line="197" w:lineRule="exact"/>
        <w:rPr>
          <w:rFonts w:ascii="Times New Roman" w:cs="Times New Roman" w:eastAsia="Times New Roman" w:hAnsi="Times New Roman"/>
          <w:sz w:val="20"/>
          <w:szCs w:val="20"/>
          <w:color w:val="auto"/>
        </w:rPr>
      </w:pPr>
    </w:p>
    <w:p>
      <w:pPr>
        <w:jc w:val="both"/>
        <w:ind w:left="920" w:right="299" w:hanging="304"/>
        <w:spacing w:after="0" w:line="243" w:lineRule="auto"/>
        <w:tabs>
          <w:tab w:leader="none" w:pos="9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Canada: A Signature Guarantee obtained from the Guarantor must affix a stamp bearing the actual words “</w:t>
      </w:r>
      <w:r>
        <w:rPr>
          <w:rFonts w:ascii="Times New Roman" w:cs="Times New Roman" w:eastAsia="Times New Roman" w:hAnsi="Times New Roman"/>
          <w:sz w:val="20"/>
          <w:szCs w:val="20"/>
          <w:b w:val="1"/>
          <w:bCs w:val="1"/>
          <w:color w:val="auto"/>
        </w:rPr>
        <w:t>Signature Guaranteed</w:t>
      </w:r>
      <w:r>
        <w:rPr>
          <w:rFonts w:ascii="Times New Roman" w:cs="Times New Roman" w:eastAsia="Times New Roman" w:hAnsi="Times New Roman"/>
          <w:sz w:val="20"/>
          <w:szCs w:val="20"/>
          <w:color w:val="auto"/>
        </w:rPr>
        <w:t>”. Signature Guarantees are not accepted from Treasury Branches, Credit Unions or Caisse Populaires unless they are members of a Medallion Signature Guarantee Program. For corporate holders, corporate signing resolutions, including certificate of incumbency, are also required to accompany the transfer, unless there is a “</w:t>
      </w:r>
      <w:r>
        <w:rPr>
          <w:rFonts w:ascii="Times New Roman" w:cs="Times New Roman" w:eastAsia="Times New Roman" w:hAnsi="Times New Roman"/>
          <w:sz w:val="20"/>
          <w:szCs w:val="20"/>
          <w:b w:val="1"/>
          <w:bCs w:val="1"/>
          <w:color w:val="auto"/>
        </w:rPr>
        <w:t>Signature &amp;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Authority to Sign Guarantee</w:t>
      </w:r>
      <w:r>
        <w:rPr>
          <w:rFonts w:ascii="Times New Roman" w:cs="Times New Roman" w:eastAsia="Times New Roman" w:hAnsi="Times New Roman"/>
          <w:sz w:val="20"/>
          <w:szCs w:val="20"/>
          <w:color w:val="auto"/>
        </w:rPr>
        <w:t>” Stamp affixed to the transfer (as opposed to a “</w:t>
      </w:r>
      <w:r>
        <w:rPr>
          <w:rFonts w:ascii="Times New Roman" w:cs="Times New Roman" w:eastAsia="Times New Roman" w:hAnsi="Times New Roman"/>
          <w:sz w:val="20"/>
          <w:szCs w:val="20"/>
          <w:b w:val="1"/>
          <w:bCs w:val="1"/>
          <w:color w:val="auto"/>
        </w:rPr>
        <w:t>Signature Guarantee</w:t>
      </w:r>
      <w:r>
        <w:rPr>
          <w:rFonts w:ascii="Times New Roman" w:cs="Times New Roman" w:eastAsia="Times New Roman" w:hAnsi="Times New Roman"/>
          <w:sz w:val="20"/>
          <w:szCs w:val="20"/>
          <w:color w:val="auto"/>
        </w:rPr>
        <w:t>” Stamp) obtained from an authorized officer of a major Canadian Schedule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chartered bank.</w:t>
      </w:r>
    </w:p>
    <w:p>
      <w:pPr>
        <w:spacing w:after="0" w:line="185" w:lineRule="exact"/>
        <w:rPr>
          <w:rFonts w:ascii="Times New Roman" w:cs="Times New Roman" w:eastAsia="Times New Roman" w:hAnsi="Times New Roman"/>
          <w:sz w:val="20"/>
          <w:szCs w:val="20"/>
          <w:color w:val="auto"/>
        </w:rPr>
      </w:pPr>
    </w:p>
    <w:p>
      <w:pPr>
        <w:jc w:val="both"/>
        <w:ind w:left="920" w:right="299" w:hanging="304"/>
        <w:spacing w:after="0" w:line="247" w:lineRule="auto"/>
        <w:tabs>
          <w:tab w:leader="none" w:pos="9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Outside North America</w:t>
      </w:r>
      <w:r>
        <w:rPr>
          <w:rFonts w:ascii="Times New Roman" w:cs="Times New Roman" w:eastAsia="Times New Roman" w:hAnsi="Times New Roman"/>
          <w:sz w:val="20"/>
          <w:szCs w:val="20"/>
          <w:color w:val="auto"/>
        </w:rPr>
        <w:t>: For holders located outside North America, present the certificates(s)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document(s) that require a guarantee to a local financial institution that has a corresponding Canadian or American affiliate which is a member of an acceptable Medallion Signature Guarantee Program. The corresponding affiliate will arrange for the signature to be over-guaranteed.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48" w:name="page49"/>
    <w:bookmarkEnd w:id="48"/>
    <w:p>
      <w:pPr>
        <w:ind w:left="3900"/>
        <w:spacing w:after="0"/>
        <w:rPr>
          <w:sz w:val="20"/>
          <w:szCs w:val="20"/>
          <w:color w:val="auto"/>
        </w:rPr>
      </w:pPr>
      <w:r>
        <w:rPr>
          <w:rFonts w:ascii="Times New Roman" w:cs="Times New Roman" w:eastAsia="Times New Roman" w:hAnsi="Times New Roman"/>
          <w:sz w:val="20"/>
          <w:szCs w:val="20"/>
          <w:b w:val="1"/>
          <w:bCs w:val="1"/>
          <w:color w:val="auto"/>
        </w:rPr>
        <w:t xml:space="preserve">Appendix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Second Supplemental Indenture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NOTE CERTIFICATE</w:t>
      </w:r>
    </w:p>
    <w:p>
      <w:pPr>
        <w:ind w:left="300" w:right="319"/>
        <w:spacing w:after="0" w:line="242" w:lineRule="auto"/>
        <w:rPr>
          <w:sz w:val="20"/>
          <w:szCs w:val="20"/>
          <w:color w:val="auto"/>
        </w:rPr>
      </w:pPr>
      <w:r>
        <w:rPr>
          <w:rFonts w:ascii="Times New Roman" w:cs="Times New Roman" w:eastAsia="Times New Roman" w:hAnsi="Times New Roman"/>
          <w:sz w:val="20"/>
          <w:szCs w:val="20"/>
          <w:b w:val="1"/>
          <w:bCs w:val="1"/>
          <w:color w:val="auto"/>
        </w:rPr>
        <w:t>[UNLESS PERMITTED UNDER SECURITIES LEGISLATION, THE HOLDER OF THIS SECURITY MUST NOT TRADE THE SECURITY BEFORE [INSERT THE DATE THAT IS 4 MONTHS AND A DAY AFTER THE DISTRIBUTION DATE]].</w:t>
      </w:r>
    </w:p>
    <w:p>
      <w:pPr>
        <w:spacing w:after="0" w:line="169"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b w:val="1"/>
          <w:bCs w:val="1"/>
          <w:color w:val="auto"/>
        </w:rPr>
        <w:t>[THIS NOTE IS A GLOBAL NOTE WITHIN THE MEANING OF THE INDENTURE HEREIN REFERRED TO AND IS REGISTERED IN THE NAME OF A DEPOSITORY OR A NOMINEE THEREOF. THIS NOTE MAY NOT BE TRANSFERRED TO OR EXCHANGED FOR NOTES REGISTERED IN THE NAME OF ANY PERSON OTHER THAN THE DEPOSITORY OR A NOMINEE THEREOF AND NO SUCH TRANSFER MAY BE REGISTERED EXCEPT IN THE LIMITED CIRCUMSTANCES DESCRIBED IN THE INDENTURE. EVERY NOTE AUTHENTICATED AND DELIVERED UPON REGISTRATION OF, TRANSFER OF, OR IN EXCHANGE FOR, OR IN LIEU OF, THIS NOTE SHALL BE A GLOBAL NOTE SUBJECT TO THE FOREGOING, EXCEPT IN SUCH LIMITED CIRCUMSTANCES DESCRIBED IN THE INDENTURE.</w:t>
      </w:r>
    </w:p>
    <w:p>
      <w:pPr>
        <w:spacing w:after="0" w:line="16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b w:val="1"/>
          <w:bCs w:val="1"/>
          <w:color w:val="auto"/>
        </w:rPr>
        <w:t>UNLESS THIS CERTIFICATE IS PRESENTED BY AN AUTHORIZED REPRESENTATIVE OF CDS CLEARING AND DEPOSITORY SERVICES INC. (“CDS”) TO THE CANNABIST COMPANY HOLDINGS INC. OR ITS AGENT FOR REGISTRATION OF TRANSFER, EXCHANGE OR PAYMENT, AND ANY CERTIFICATE ISSUED IN RESPECT THEREOF IS REGISTERED IN THE NAME 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HEREIN AND IT IS A VIOLATION OF ITS RIGHTS FOR ANOTHER PERSON TO HOLD, TRANSFER OR DEAL WITH THIS CERTIFICATE.]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[THE SECURITIES REPRESENTED HEREBY HAVE NOT BEEN AND WILL NOT BE</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REGISTERED UNDER THE UNITED STATES SECURITIES ACT OF 1933, AS AMENDED</w:t>
      </w:r>
    </w:p>
    <w:p>
      <w:pPr>
        <w:ind w:left="300"/>
        <w:spacing w:after="0"/>
        <w:rPr>
          <w:sz w:val="20"/>
          <w:szCs w:val="20"/>
          <w:color w:val="auto"/>
        </w:rPr>
      </w:pPr>
      <w:r>
        <w:rPr>
          <w:rFonts w:ascii="Times New Roman" w:cs="Times New Roman" w:eastAsia="Times New Roman" w:hAnsi="Times New Roman"/>
          <w:sz w:val="20"/>
          <w:szCs w:val="20"/>
          <w:b w:val="1"/>
          <w:bCs w:val="1"/>
          <w:color w:val="auto"/>
        </w:rPr>
        <w:t>(THE  “U.S.  SECURITIES  ACT”),  OR  UNDER  ANY  STATE  SECURITIES  LAWS.  THE</w:t>
      </w:r>
    </w:p>
    <w:p>
      <w:pPr>
        <w:ind w:left="300"/>
        <w:spacing w:after="0"/>
        <w:rPr>
          <w:sz w:val="20"/>
          <w:szCs w:val="20"/>
          <w:color w:val="auto"/>
        </w:rPr>
      </w:pPr>
      <w:r>
        <w:rPr>
          <w:rFonts w:ascii="Times New Roman" w:cs="Times New Roman" w:eastAsia="Times New Roman" w:hAnsi="Times New Roman"/>
          <w:sz w:val="19"/>
          <w:szCs w:val="19"/>
          <w:b w:val="1"/>
          <w:bCs w:val="1"/>
          <w:color w:val="auto"/>
        </w:rPr>
        <w:t>HOLDER HEREOF, BY ACQUIRING THESE SECURITIES, AGREES FOR THE BENEFIT OF</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THE CANNABIST COMPANY HOLDINGS INC. (THE “CORPORATION”), THAT SUCH</w:t>
      </w:r>
    </w:p>
    <w:p>
      <w:pPr>
        <w:ind w:left="300"/>
        <w:spacing w:after="0"/>
        <w:rPr>
          <w:sz w:val="20"/>
          <w:szCs w:val="20"/>
          <w:color w:val="auto"/>
        </w:rPr>
      </w:pPr>
      <w:r>
        <w:rPr>
          <w:rFonts w:ascii="Times New Roman" w:cs="Times New Roman" w:eastAsia="Times New Roman" w:hAnsi="Times New Roman"/>
          <w:sz w:val="20"/>
          <w:szCs w:val="20"/>
          <w:b w:val="1"/>
          <w:bCs w:val="1"/>
          <w:color w:val="auto"/>
        </w:rPr>
        <w:t>SECURITIES MAY BE OFFERED, SOLD, PLEDGED OR OTHERWISE TRANSFERRED,</w:t>
      </w:r>
    </w:p>
    <w:p>
      <w:pPr>
        <w:ind w:left="300"/>
        <w:spacing w:after="0"/>
        <w:rPr>
          <w:sz w:val="20"/>
          <w:szCs w:val="20"/>
          <w:color w:val="auto"/>
        </w:rPr>
      </w:pPr>
      <w:r>
        <w:rPr>
          <w:rFonts w:ascii="Times New Roman" w:cs="Times New Roman" w:eastAsia="Times New Roman" w:hAnsi="Times New Roman"/>
          <w:sz w:val="20"/>
          <w:szCs w:val="20"/>
          <w:b w:val="1"/>
          <w:bCs w:val="1"/>
          <w:color w:val="auto"/>
        </w:rPr>
        <w:t>DIRECTLY OR INDIRECTLY, ONLY (A) TO THE CORPORATION, (B) OUTSIDE THE</w:t>
      </w:r>
    </w:p>
    <w:p>
      <w:pPr>
        <w:ind w:left="300"/>
        <w:spacing w:after="0"/>
        <w:rPr>
          <w:sz w:val="20"/>
          <w:szCs w:val="20"/>
          <w:color w:val="auto"/>
        </w:rPr>
      </w:pPr>
      <w:r>
        <w:rPr>
          <w:rFonts w:ascii="Times New Roman" w:cs="Times New Roman" w:eastAsia="Times New Roman" w:hAnsi="Times New Roman"/>
          <w:sz w:val="20"/>
          <w:szCs w:val="20"/>
          <w:b w:val="1"/>
          <w:bCs w:val="1"/>
          <w:color w:val="auto"/>
        </w:rPr>
        <w:t>UNITED STATES IN ACCORDANCE WITH RULE 904 OF REGULATION S UNDER THE</w:t>
      </w:r>
    </w:p>
    <w:p>
      <w:pPr>
        <w:ind w:left="300"/>
        <w:spacing w:after="0"/>
        <w:rPr>
          <w:sz w:val="20"/>
          <w:szCs w:val="20"/>
          <w:color w:val="auto"/>
        </w:rPr>
      </w:pPr>
      <w:r>
        <w:rPr>
          <w:rFonts w:ascii="Times New Roman" w:cs="Times New Roman" w:eastAsia="Times New Roman" w:hAnsi="Times New Roman"/>
          <w:sz w:val="20"/>
          <w:szCs w:val="20"/>
          <w:b w:val="1"/>
          <w:bCs w:val="1"/>
          <w:color w:val="auto"/>
        </w:rPr>
        <w:t>U.S. SECURITIES ACT AND IN COMPLIANCE WITH APPLICABLE CANADIAN LOCAL</w:t>
      </w:r>
    </w:p>
    <w:p>
      <w:pPr>
        <w:ind w:left="300"/>
        <w:spacing w:after="0"/>
        <w:rPr>
          <w:sz w:val="20"/>
          <w:szCs w:val="20"/>
          <w:color w:val="auto"/>
        </w:rPr>
      </w:pPr>
      <w:r>
        <w:rPr>
          <w:rFonts w:ascii="Times New Roman" w:cs="Times New Roman" w:eastAsia="Times New Roman" w:hAnsi="Times New Roman"/>
          <w:sz w:val="20"/>
          <w:szCs w:val="20"/>
          <w:b w:val="1"/>
          <w:bCs w:val="1"/>
          <w:color w:val="auto"/>
        </w:rPr>
        <w:t>LAWS AND REGULATIONS, (C) IN COMPLIANCE WITH (1) RULE 144A UNDER THE U.S.</w:t>
      </w:r>
    </w:p>
    <w:p>
      <w:pPr>
        <w:ind w:left="300"/>
        <w:spacing w:after="0"/>
        <w:rPr>
          <w:sz w:val="20"/>
          <w:szCs w:val="20"/>
          <w:color w:val="auto"/>
        </w:rPr>
      </w:pPr>
      <w:r>
        <w:rPr>
          <w:rFonts w:ascii="Times New Roman" w:cs="Times New Roman" w:eastAsia="Times New Roman" w:hAnsi="Times New Roman"/>
          <w:sz w:val="20"/>
          <w:szCs w:val="20"/>
          <w:b w:val="1"/>
          <w:bCs w:val="1"/>
          <w:color w:val="auto"/>
        </w:rPr>
        <w:t>SECURITIES ACT, IF APPLICABLE, OR (2) RULE 144 UNDER THE</w:t>
      </w:r>
    </w:p>
    <w:p>
      <w:pPr>
        <w:jc w:val="both"/>
        <w:ind w:left="300" w:right="299"/>
        <w:spacing w:after="0" w:line="241" w:lineRule="auto"/>
        <w:rPr>
          <w:sz w:val="20"/>
          <w:szCs w:val="20"/>
          <w:color w:val="auto"/>
        </w:rPr>
      </w:pPr>
      <w:r>
        <w:rPr>
          <w:rFonts w:ascii="Times New Roman" w:cs="Times New Roman" w:eastAsia="Times New Roman" w:hAnsi="Times New Roman"/>
          <w:sz w:val="20"/>
          <w:szCs w:val="20"/>
          <w:b w:val="1"/>
          <w:bCs w:val="1"/>
          <w:color w:val="auto"/>
        </w:rPr>
        <w:t>U.S. SECURITIES ACT, IF APPLICABLE, AND, IN EACH CASE, IN COMPLIANCE WITH APPLICABLE STATE SECURITIES LAWS, OR (D) IN ANOTHER TRANSACTION THAT DOES NOT REQUIRE REGISTRATION UNDER THE U.S. SECURITIES ACT OR ANY APPLICABLE STATE SECURITIES LAWS, PROVIDED THAT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49" w:name="page50"/>
    <w:bookmarkEnd w:id="49"/>
    <w:p>
      <w:pPr>
        <w:jc w:val="both"/>
        <w:ind w:left="300" w:right="299"/>
        <w:spacing w:after="0" w:line="244" w:lineRule="auto"/>
        <w:rPr>
          <w:sz w:val="20"/>
          <w:szCs w:val="20"/>
          <w:color w:val="auto"/>
        </w:rPr>
      </w:pPr>
      <w:r>
        <w:rPr>
          <w:rFonts w:ascii="Times New Roman" w:cs="Times New Roman" w:eastAsia="Times New Roman" w:hAnsi="Times New Roman"/>
          <w:sz w:val="20"/>
          <w:szCs w:val="20"/>
          <w:b w:val="1"/>
          <w:bCs w:val="1"/>
          <w:color w:val="auto"/>
        </w:rPr>
        <w:t>TRANSFERS PURSUANT TO (C)(2) OR (D) ABOVE, A LEGAL OPINION FROM COUNSEL OF RECOGNIZED STANDING IN FORM AND SUBSTANCE SATISFACTORY TO THE CORPORATION MUST FIRST BE PROVIDED TO ODYSSEY TRUST COMPANY AND TO THE ISSUER TO THE EFFECT THAT SUCH TRANSFER IS EXEMPT FROM REGISTRATION UNDER THE U.S. SECURITIES ACT AND APPLICABLE STATE SECURITIES LAWS. DELIVERY OF THIS CERTIFICATE MAY NOT CONSTITUTE “GOOD DELIVERY” IN SETTLEMENT OF TRANSACTIONS ON STOCK EXCHANGES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CUSIP</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ISIN</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US$</w:t>
      </w:r>
    </w:p>
    <w:p>
      <w:pPr>
        <w:spacing w:after="0" w:line="200" w:lineRule="exact"/>
        <w:rPr>
          <w:sz w:val="20"/>
          <w:szCs w:val="20"/>
          <w:color w:val="auto"/>
        </w:rPr>
      </w:pPr>
    </w:p>
    <w:p>
      <w:pPr>
        <w:sectPr>
          <w:pgSz w:w="11900" w:h="16838" w:orient="portrait"/>
          <w:cols w:equalWidth="0" w:num="2">
            <w:col w:w="7840" w:space="720"/>
            <w:col w:w="560"/>
          </w:cols>
          <w:pgMar w:left="1440" w:top="1440" w:right="1339" w:bottom="1440" w:gutter="0" w:footer="0" w:header="0"/>
        </w:sectPr>
      </w:pP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THE CANNABIST COMPANY HOLDINGS INC.</w:t>
      </w:r>
    </w:p>
    <w:p>
      <w:pPr>
        <w:spacing w:after="0" w:line="216" w:lineRule="exact"/>
        <w:rPr>
          <w:sz w:val="20"/>
          <w:szCs w:val="20"/>
          <w:color w:val="auto"/>
        </w:rPr>
      </w:pPr>
    </w:p>
    <w:p>
      <w:pPr>
        <w:jc w:val="center"/>
        <w:ind w:left="60" w:right="20"/>
        <w:spacing w:after="0" w:line="273" w:lineRule="auto"/>
        <w:rPr>
          <w:sz w:val="20"/>
          <w:szCs w:val="20"/>
          <w:color w:val="auto"/>
        </w:rPr>
      </w:pPr>
      <w:r>
        <w:rPr>
          <w:rFonts w:ascii="Times New Roman" w:cs="Times New Roman" w:eastAsia="Times New Roman" w:hAnsi="Times New Roman"/>
          <w:sz w:val="20"/>
          <w:szCs w:val="20"/>
          <w:color w:val="auto"/>
        </w:rPr>
        <w:t xml:space="preserve">(a corporation formed under the laws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6.00% Senior Secured 2025 Convertible Note</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Due June 29, 2025</w:t>
      </w:r>
    </w:p>
    <w:p>
      <w:pPr>
        <w:spacing w:after="0" w:line="212" w:lineRule="exact"/>
        <w:rPr>
          <w:sz w:val="20"/>
          <w:szCs w:val="20"/>
          <w:color w:val="auto"/>
        </w:rPr>
      </w:pPr>
    </w:p>
    <w:p>
      <w:pPr>
        <w:ind w:left="60"/>
        <w:spacing w:after="0" w:line="242" w:lineRule="auto"/>
        <w:rPr>
          <w:sz w:val="20"/>
          <w:szCs w:val="20"/>
          <w:color w:val="auto"/>
        </w:rPr>
      </w:pPr>
      <w:r>
        <w:rPr>
          <w:rFonts w:ascii="Times New Roman" w:cs="Times New Roman" w:eastAsia="Times New Roman" w:hAnsi="Times New Roman"/>
          <w:sz w:val="20"/>
          <w:szCs w:val="20"/>
          <w:color w:val="auto"/>
        </w:rPr>
        <w:t>THE CANNABIST COMPANY HOLDINGS INC. (the “</w:t>
      </w:r>
      <w:r>
        <w:rPr>
          <w:rFonts w:ascii="Times New Roman" w:cs="Times New Roman" w:eastAsia="Times New Roman" w:hAnsi="Times New Roman"/>
          <w:sz w:val="20"/>
          <w:szCs w:val="20"/>
          <w:b w:val="1"/>
          <w:bCs w:val="1"/>
          <w:color w:val="auto"/>
        </w:rPr>
        <w:t>Issuer</w:t>
      </w:r>
      <w:r>
        <w:rPr>
          <w:rFonts w:ascii="Times New Roman" w:cs="Times New Roman" w:eastAsia="Times New Roman" w:hAnsi="Times New Roman"/>
          <w:sz w:val="20"/>
          <w:szCs w:val="20"/>
          <w:color w:val="auto"/>
        </w:rPr>
        <w:t>”) for value received hereby acknowledges itself indebted and, subject to the provisions of the trust indenture dated as of May 14, 2020 (the “</w:t>
      </w:r>
      <w:r>
        <w:rPr>
          <w:rFonts w:ascii="Times New Roman" w:cs="Times New Roman" w:eastAsia="Times New Roman" w:hAnsi="Times New Roman"/>
          <w:sz w:val="20"/>
          <w:szCs w:val="20"/>
          <w:b w:val="1"/>
          <w:bCs w:val="1"/>
          <w:color w:val="auto"/>
        </w:rPr>
        <w:t>Master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as supplemented by the second supplemental indenture dated as of June 29, 2021 (the “</w:t>
      </w:r>
      <w:r>
        <w:rPr>
          <w:rFonts w:ascii="Times New Roman" w:cs="Times New Roman" w:eastAsia="Times New Roman" w:hAnsi="Times New Roman"/>
          <w:sz w:val="20"/>
          <w:szCs w:val="20"/>
          <w:b w:val="1"/>
          <w:bCs w:val="1"/>
          <w:color w:val="auto"/>
        </w:rPr>
        <w:t>Second Supplemental Indenture</w:t>
      </w:r>
      <w:r>
        <w:rPr>
          <w:rFonts w:ascii="Times New Roman" w:cs="Times New Roman" w:eastAsia="Times New Roman" w:hAnsi="Times New Roman"/>
          <w:sz w:val="20"/>
          <w:szCs w:val="20"/>
          <w:color w:val="auto"/>
        </w:rPr>
        <w:t>” and collectively with the Master Trust Indenture,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Odyssey Trust Company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promises to pay on June 29, 2025 (the “</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or on such earlier date as the principal amount hereof may become due in accordance with the provisions of the Indenture, the principal sum of Dollars (US$ ) in lawful money of the United States of America on presentation and surrender of this 2025 Convertible Note at the main branch of the Trustee in Vancouver, British Columbia in accordance with the terms of the Indenture and, subject as hereinafter provided, to pay interest on the principal amount hereof from the date hereof, at the rate of 6.00% per annum (based on a year of 365 days), in like money, in arrears in equal installments on the six month anniversary of the Issue Date and the Maturity Date, and, should the Issuer at any time make default in the payment of any principal, or interest, to pay interest on the amount in default at the same rate, in like money and on the same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-1193800</wp:posOffset>
            </wp:positionV>
            <wp:extent cx="104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104775" cy="8890"/>
                    </a:xfrm>
                    <a:prstGeom prst="rect">
                      <a:avLst/>
                    </a:prstGeom>
                    <a:noFill/>
                  </pic:spPr>
                </pic:pic>
              </a:graphicData>
            </a:graphic>
          </wp:anchor>
        </w:drawing>
      </w:r>
    </w:p>
    <w:p>
      <w:pPr>
        <w:spacing w:after="0" w:line="169" w:lineRule="exact"/>
        <w:rPr>
          <w:sz w:val="20"/>
          <w:szCs w:val="20"/>
          <w:color w:val="auto"/>
        </w:rPr>
      </w:pPr>
    </w:p>
    <w:p>
      <w:pPr>
        <w:ind w:left="60" w:right="100"/>
        <w:spacing w:after="0" w:line="249" w:lineRule="auto"/>
        <w:rPr>
          <w:sz w:val="20"/>
          <w:szCs w:val="20"/>
          <w:color w:val="auto"/>
        </w:rPr>
      </w:pPr>
      <w:r>
        <w:rPr>
          <w:rFonts w:ascii="Times New Roman" w:cs="Times New Roman" w:eastAsia="Times New Roman" w:hAnsi="Times New Roman"/>
          <w:sz w:val="20"/>
          <w:szCs w:val="20"/>
          <w:color w:val="auto"/>
        </w:rPr>
        <w:t>Interest on this 2025 Convertible Note will be computed on the basis of a 365-day or 366-day year, as applicable, and will be payable in equal semi-annual amounts; provided that for any Interest Period that is shorter than a full semi-annual interest period, interest shall be calculated on the basis of a year of 365 days or 366 days, as applicable, and the actual number of days elapsed in that period.</w:t>
      </w:r>
    </w:p>
    <w:p>
      <w:pPr>
        <w:spacing w:after="0" w:line="180" w:lineRule="exact"/>
        <w:rPr>
          <w:sz w:val="20"/>
          <w:szCs w:val="20"/>
          <w:color w:val="auto"/>
        </w:rPr>
      </w:pPr>
    </w:p>
    <w:p>
      <w:pPr>
        <w:ind w:left="60" w:right="260"/>
        <w:spacing w:after="0" w:line="249" w:lineRule="auto"/>
        <w:rPr>
          <w:sz w:val="20"/>
          <w:szCs w:val="20"/>
          <w:color w:val="auto"/>
        </w:rPr>
      </w:pPr>
      <w:r>
        <w:rPr>
          <w:rFonts w:ascii="Times New Roman" w:cs="Times New Roman" w:eastAsia="Times New Roman" w:hAnsi="Times New Roman"/>
          <w:sz w:val="20"/>
          <w:szCs w:val="20"/>
          <w:color w:val="auto"/>
        </w:rPr>
        <w:t>If the date for payment of any amount of principal, premium or interest is not a Business Day at the place of payment, then payment will be made on the next Business Day and the holder hereof will not be entitled to any further interest on such principal, or to any interest on such interest, premium or other amount so payable, in respect of the period from the date for payment to such next Business Day.</w:t>
      </w:r>
    </w:p>
    <w:p>
      <w:pPr>
        <w:spacing w:after="0" w:line="180" w:lineRule="exact"/>
        <w:rPr>
          <w:sz w:val="20"/>
          <w:szCs w:val="20"/>
          <w:color w:val="auto"/>
        </w:rPr>
      </w:pPr>
    </w:p>
    <w:p>
      <w:pPr>
        <w:ind w:left="60" w:right="80"/>
        <w:spacing w:after="0" w:line="249" w:lineRule="auto"/>
        <w:rPr>
          <w:sz w:val="20"/>
          <w:szCs w:val="20"/>
          <w:color w:val="auto"/>
        </w:rPr>
      </w:pPr>
      <w:r>
        <w:rPr>
          <w:rFonts w:ascii="Times New Roman" w:cs="Times New Roman" w:eastAsia="Times New Roman" w:hAnsi="Times New Roman"/>
          <w:sz w:val="20"/>
          <w:szCs w:val="20"/>
          <w:color w:val="auto"/>
        </w:rPr>
        <w:t>Interest hereon shall be payable by cheque mailed by prepaid ordinary mail or by electronic transfer of funds to the registered holder hereof and, subject to the provisions of this Indenture, the mailing of such cheque or the electronic transfer of such funds shall, to the extent of the sum represented thereby (plus the amount of any Taxes deducted or withheld), satisfy and discharge all liability for interest on this 2025 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3</w:t>
      </w:r>
    </w:p>
    <w:p>
      <w:pPr>
        <w:spacing w:after="0" w:line="4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120"/>
          </w:cols>
          <w:pgMar w:left="1440" w:top="1440" w:right="1339" w:bottom="1440" w:gutter="0" w:footer="0" w:header="0"/>
          <w:type w:val="continuous"/>
        </w:sectPr>
      </w:pPr>
    </w:p>
    <w:bookmarkStart w:id="51" w:name="page52"/>
    <w:bookmarkEnd w:id="51"/>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5857240</wp:posOffset>
            </wp:positionH>
            <wp:positionV relativeFrom="page">
              <wp:posOffset>423545</wp:posOffset>
            </wp:positionV>
            <wp:extent cx="19685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96850" cy="146050"/>
                    </a:xfrm>
                    <a:prstGeom prst="rect">
                      <a:avLst/>
                    </a:prstGeom>
                    <a:noFill/>
                  </pic:spPr>
                </pic:pic>
              </a:graphicData>
            </a:graphic>
          </wp:anchor>
        </w:drawing>
        <w:t>This Note is one of the 6.00% Senior Secured 2025 Convertible Notes (referred to herein as the “</w:t>
      </w:r>
      <w:r>
        <w:rPr>
          <w:rFonts w:ascii="Times New Roman" w:cs="Times New Roman" w:eastAsia="Times New Roman" w:hAnsi="Times New Roman"/>
          <w:sz w:val="20"/>
          <w:szCs w:val="20"/>
          <w:b w:val="1"/>
          <w:bCs w:val="1"/>
          <w:color w:val="auto"/>
        </w:rPr>
        <w:t>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Convertible Notes</w:t>
      </w:r>
      <w:r>
        <w:rPr>
          <w:rFonts w:ascii="Times New Roman" w:cs="Times New Roman" w:eastAsia="Times New Roman" w:hAnsi="Times New Roman"/>
          <w:sz w:val="20"/>
          <w:szCs w:val="20"/>
          <w:color w:val="auto"/>
        </w:rPr>
        <w:t>”) of the Issuer issued under the provisions of the Indenture. The 2025 Convertible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Notes authorized for issue immediately are limited to an aggregate principal amount of US$ in lawful money of the United States. Reference is hereby expressly made to the Indenture for a description of the terms and conditions upon which the 2025 Convertible Notes are or are to be issued and held and the rights and remedies of the holders of the 2025 Convertible Notes and of the Issuer and of the Trustee, all to the same effect as if the provisions of the Indenture were herein set forth to all of which provisions the holder of this Note by acceptance hereof assents.</w:t>
      </w:r>
    </w:p>
    <w:p>
      <w:pPr>
        <w:spacing w:after="0" w:line="172"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The 2025 Convertible Notes are issuable at a price of US$1,000 per US$1,000 of principal amount and only in denominations of US$1,000 and integral multiples of US$1,000. Upon compliance with the provisions of the Indenture, 2025 Convertible Notes of any denomination may be exchanged for an equal aggregate principal amount of 2025 Convertible Notes in any other authorized denomination or denominations.</w:t>
      </w:r>
    </w:p>
    <w:p>
      <w:pPr>
        <w:spacing w:after="0" w:line="171"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Any part, being US$1,000 or an integral multiple thereof, of the principal of this 2025 Convertible Note, provided that the principal amount of this 2025 Convertible Note is in a denomination in excess of US$1,000, is convertible, at the option of the holder hereof, upon surrender of this 2025 Convertible Note at the principal office of the Trustee in Vancouver, British Columbia, at any time prior to the close of business on the date which falls 10 days prior to the Maturity Date, into Common Shares (without adjustment for interest accrued hereon or for dividends or distributions on Common Shares issuable upon conversion) at a conversion price per Common Share equal to US$6.49 payable on the Business Day prior to the date of conversion (the “</w:t>
      </w:r>
      <w:r>
        <w:rPr>
          <w:rFonts w:ascii="Times New Roman" w:cs="Times New Roman" w:eastAsia="Times New Roman" w:hAnsi="Times New Roman"/>
          <w:sz w:val="20"/>
          <w:szCs w:val="20"/>
          <w:b w:val="1"/>
          <w:bCs w:val="1"/>
          <w:color w:val="auto"/>
        </w:rPr>
        <w:t>Conversion Price</w:t>
      </w:r>
      <w:r>
        <w:rPr>
          <w:rFonts w:ascii="Times New Roman" w:cs="Times New Roman" w:eastAsia="Times New Roman" w:hAnsi="Times New Roman"/>
          <w:sz w:val="20"/>
          <w:szCs w:val="20"/>
          <w:color w:val="auto"/>
        </w:rPr>
        <w:t>”), adjusted downwards for any cash dividends paid to holders of the common shares of the Issuer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all subject to the terms and conditions and in the manner set forth herein.</w:t>
      </w:r>
    </w:p>
    <w:p>
      <w:pPr>
        <w:spacing w:after="0" w:line="1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The Indenture makes provision for the adjustment of the Conversion Price in the events therein specified. No fractional Common Shares will be issued on any conversion and holders will receive a cash payment in satisfaction of any fractional interest.</w:t>
      </w:r>
    </w:p>
    <w:p>
      <w:pPr>
        <w:spacing w:after="0" w:line="16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Upon the occurrence of a Change of Control of the Issuer, the Issuer is required to make an offer, at the option of each Holder, to purchase all of the 2025 Convertible Notes at a cash price equal to 101% principal amount of such 2025 Convertible Notes in accordance with the terms of the Indenture.</w:t>
      </w:r>
    </w:p>
    <w:p>
      <w:pPr>
        <w:spacing w:after="0" w:line="161"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indebtedness evidenced by this 2025 Convertible Note, and by all other 2025 Convertible Notes now or hereafter certified and delivered under the Indenture, is a direct secured obligation of the Issuer.</w:t>
      </w:r>
    </w:p>
    <w:p>
      <w:pPr>
        <w:spacing w:after="0" w:line="13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principal hereof may become or be declared due and payable before the stated maturity in the events, in the manner, with the effect and at the times provided in the Indenture.</w:t>
      </w:r>
    </w:p>
    <w:p>
      <w:pPr>
        <w:spacing w:after="0" w:line="146"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The 2025 Convertible Notes and Common Shares issuable upon conversion hereof have not and will not be registered under the United States Securities Act of 1933, as amended (the “</w:t>
      </w:r>
      <w:r>
        <w:rPr>
          <w:rFonts w:ascii="Times New Roman" w:cs="Times New Roman" w:eastAsia="Times New Roman" w:hAnsi="Times New Roman"/>
          <w:sz w:val="20"/>
          <w:szCs w:val="20"/>
          <w:b w:val="1"/>
          <w:bCs w:val="1"/>
          <w:color w:val="auto"/>
        </w:rPr>
        <w:t>U.S. Securities Act</w:t>
      </w:r>
      <w:r>
        <w:rPr>
          <w:rFonts w:ascii="Times New Roman" w:cs="Times New Roman" w:eastAsia="Times New Roman" w:hAnsi="Times New Roman"/>
          <w:sz w:val="20"/>
          <w:szCs w:val="20"/>
          <w:color w:val="auto"/>
        </w:rPr>
        <w:t>”), or the securities laws of any state of the United States. The 2025 Convertible Notes and the Common Shares may only be offered, sold, pledged or otherwise transferred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52" w:name="page53"/>
    <w:bookmarkEnd w:id="52"/>
    <w:p>
      <w:pPr>
        <w:jc w:val="both"/>
        <w:ind w:left="300" w:right="299" w:hanging="7"/>
        <w:spacing w:after="0" w:line="256" w:lineRule="auto"/>
        <w:tabs>
          <w:tab w:leader="none" w:pos="56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(ii) outside the United States to a person who is not a “</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(as defined by Regulation S under the U.S. Securities Act) in accordance with an applicable exemption under the U.S. Securities Act and applicable local securities laws and regulations.</w:t>
      </w:r>
    </w:p>
    <w:p>
      <w:pPr>
        <w:spacing w:after="0" w:line="159"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The Indenture contains provisions making binding upon all holders of 2025 Convertible Notes outstanding thereunder resolutions passed at meetings of such holders held in accordance with such provisions and instruments signed by the holders of a specified majority of 2025 Convertible Notes outstanding, which resolutions or instruments may have the effect of amending the terms of this 2025 Convertible Note or the Indenture.</w:t>
      </w:r>
    </w:p>
    <w:p>
      <w:pPr>
        <w:spacing w:after="0" w:line="17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The Indenture contains provisions disclaiming any personal liability on the part of holders of Common Shares, officers, directors and employees of the Issuer in respect of any obligation or claim arising out of the Indenture or this 2025 Convertible Note.</w:t>
      </w:r>
    </w:p>
    <w:p>
      <w:pPr>
        <w:spacing w:after="0" w:line="161"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This 2025 Convertible Note may only be transferred, upon compliance with the conditions prescribed in the Indenture, in one of the registers to be kept at the principal office of the Trustee in the City of Vancouver and in such other place or places and/or by such other registrars (if any) as the Issuer with the approval of the Trustee may designate. No transfer of this 2025 Convertible Note shall be valid unless made on the register by the registered holder hereof or his executors or administrators or other legal representatives, or his or their attorney duly appointed by an instrument in form and substance satisfactory to the Trustee or other registrar, and upon compliance with such reasonable requirements as the Trustee or other registrar may prescribe and upon surrender of this 2025 Convertible Note for cancellation. Thereupon a new 2025 Convertible Note or 2025 Convertible Notes in the same aggregate principal amount shall be issued to the transferee in exchange hereof.</w:t>
      </w:r>
    </w:p>
    <w:p>
      <w:pPr>
        <w:spacing w:after="0" w:line="17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This 2025 Convertible Note shall not become obligatory for any purpose until it shall have been certified by the Trustee under the Indenture.</w:t>
      </w:r>
    </w:p>
    <w:p>
      <w:pPr>
        <w:spacing w:after="0" w:line="146"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Capitalized words or expressions used in this 2025 Convertible Note shall, unless otherwise defined herein, have the meaning ascribed thereto in the Indenture.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[Reminder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5</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53" w:name="page54"/>
    <w:bookmarkEnd w:id="53"/>
    <w:p>
      <w:pPr>
        <w:jc w:val="both"/>
        <w:ind w:left="300" w:right="1199"/>
        <w:spacing w:after="0" w:line="295" w:lineRule="auto"/>
        <w:rPr>
          <w:sz w:val="20"/>
          <w:szCs w:val="20"/>
          <w:color w:val="auto"/>
        </w:rPr>
      </w:pPr>
      <w:r>
        <w:rPr>
          <w:rFonts w:ascii="Times New Roman" w:cs="Times New Roman" w:eastAsia="Times New Roman" w:hAnsi="Times New Roman"/>
          <w:sz w:val="19"/>
          <w:szCs w:val="19"/>
          <w:color w:val="auto"/>
        </w:rPr>
        <w:t>IN WITNESS WHEREOF THE CANNABIST COMPANY HOLDINGS INC. has caused this 2025 Convertible Note to be signed by its authorized representatives as of the day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4117975</wp:posOffset>
            </wp:positionH>
            <wp:positionV relativeFrom="paragraph">
              <wp:posOffset>-60325</wp:posOffset>
            </wp:positionV>
            <wp:extent cx="882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-60325</wp:posOffset>
            </wp:positionV>
            <wp:extent cx="1536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-60325</wp:posOffset>
            </wp:positionV>
            <wp:extent cx="311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THE CANNABIST COMPANY</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HOLDINGS INC.</w:t>
      </w:r>
    </w:p>
    <w:p>
      <w:pPr>
        <w:spacing w:after="0" w:line="19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u w:val="single" w:color="auto"/>
          <w:color w:val="auto"/>
        </w:rPr>
        <w:t>ARTICLE 4</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59" w:lineRule="exact"/>
        <w:rPr>
          <w:sz w:val="20"/>
          <w:szCs w:val="20"/>
          <w:color w:val="auto"/>
        </w:rPr>
      </w:pPr>
    </w:p>
    <w:p>
      <w:pPr>
        <w:ind w:left="300" w:right="779"/>
        <w:spacing w:after="0" w:line="269" w:lineRule="auto"/>
        <w:rPr>
          <w:sz w:val="20"/>
          <w:szCs w:val="20"/>
          <w:color w:val="auto"/>
        </w:rPr>
      </w:pPr>
      <w:r>
        <w:rPr>
          <w:rFonts w:ascii="Times New Roman" w:cs="Times New Roman" w:eastAsia="Times New Roman" w:hAnsi="Times New Roman"/>
          <w:sz w:val="20"/>
          <w:szCs w:val="20"/>
          <w:color w:val="auto"/>
        </w:rPr>
        <w:t>This 2025 Convertible Note is one of the 6.00% Senior Secured 2025 Convertible Note due June 29, 2025 referred to in the Indenture within mentioned.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ODYSSEY TRUST COMPANY</w:t>
      </w:r>
    </w:p>
    <w:p>
      <w:pPr>
        <w:spacing w:after="0" w:line="274" w:lineRule="exact"/>
        <w:rPr>
          <w:sz w:val="20"/>
          <w:szCs w:val="20"/>
          <w:color w:val="auto"/>
        </w:rPr>
      </w:pPr>
    </w:p>
    <w:p>
      <w:pPr>
        <w:ind w:left="200"/>
        <w:spacing w:after="0"/>
        <w:tabs>
          <w:tab w:leader="none" w:pos="1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-10795</wp:posOffset>
            </wp:positionV>
            <wp:extent cx="5022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-10795</wp:posOffset>
            </wp:positionV>
            <wp:extent cx="1987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6</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FORM OF TRANSFER</w:t>
      </w: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ODYSSEY TRUST COMPANY FOR VALUE RECEIVED the undersigned hereby sells, assigns and</w:t>
      </w:r>
    </w:p>
    <w:tbl>
      <w:tblPr>
        <w:tblLayout w:type="fixed"/>
        <w:tblInd w:w="300" w:type="dxa"/>
        <w:tblCellMar>
          <w:top w:w="0" w:type="dxa"/>
          <w:left w:w="0" w:type="dxa"/>
          <w:bottom w:w="0" w:type="dxa"/>
          <w:right w:w="0" w:type="dxa"/>
        </w:tblCellMar>
      </w:tblPr>
      <w:tr>
        <w:trPr>
          <w:trHeight w:val="211"/>
        </w:trPr>
        <w:tc>
          <w:tcPr>
            <w:tcW w:w="104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transfers to</w:t>
            </w: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w w:val="98"/>
              </w:rPr>
              <w:t>(print</w:t>
            </w:r>
          </w:p>
        </w:tc>
        <w:tc>
          <w:tcPr>
            <w:tcW w:w="8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name and</w:t>
            </w:r>
          </w:p>
        </w:tc>
        <w:tc>
          <w:tcPr>
            <w:tcW w:w="164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color w:val="auto"/>
              </w:rPr>
              <w:t>address) the 2025</w:t>
            </w:r>
          </w:p>
        </w:tc>
        <w:tc>
          <w:tcPr>
            <w:tcW w:w="3760" w:type="dxa"/>
            <w:vAlign w:val="bottom"/>
          </w:tcPr>
          <w:p>
            <w:pPr>
              <w:ind w:left="60"/>
              <w:spacing w:after="0" w:line="211" w:lineRule="exact"/>
              <w:rPr>
                <w:sz w:val="20"/>
                <w:szCs w:val="20"/>
                <w:color w:val="auto"/>
              </w:rPr>
            </w:pPr>
            <w:r>
              <w:rPr>
                <w:rFonts w:ascii="Times New Roman" w:cs="Times New Roman" w:eastAsia="Times New Roman" w:hAnsi="Times New Roman"/>
                <w:sz w:val="20"/>
                <w:szCs w:val="20"/>
                <w:color w:val="auto"/>
              </w:rPr>
              <w:t>Convertible Notes represented by this 2025</w:t>
            </w:r>
          </w:p>
        </w:tc>
      </w:tr>
      <w:tr>
        <w:trPr>
          <w:trHeight w:val="227"/>
        </w:trPr>
        <w:tc>
          <w:tcPr>
            <w:tcW w:w="282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auto"/>
              </w:rPr>
              <w:t>Convertible Note Certificate  and</w:t>
            </w:r>
          </w:p>
        </w:tc>
        <w:tc>
          <w:tcPr>
            <w:tcW w:w="16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hereby  irrevocable</w:t>
            </w:r>
          </w:p>
        </w:tc>
        <w:tc>
          <w:tcPr>
            <w:tcW w:w="376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constitutes  and  appoints</w:t>
            </w:r>
          </w:p>
        </w:tc>
      </w:tr>
      <w:tr>
        <w:trPr>
          <w:trHeight w:val="212"/>
        </w:trPr>
        <w:tc>
          <w:tcPr>
            <w:tcW w:w="400" w:type="dxa"/>
            <w:vAlign w:val="bottom"/>
            <w:tcBorders>
              <w:bottom w:val="single" w:sz="8" w:color="auto"/>
            </w:tcBorders>
          </w:tcPr>
          <w:p>
            <w:pPr>
              <w:spacing w:after="0"/>
              <w:rPr>
                <w:sz w:val="18"/>
                <w:szCs w:val="18"/>
                <w:color w:val="auto"/>
              </w:rPr>
            </w:pPr>
          </w:p>
        </w:tc>
        <w:tc>
          <w:tcPr>
            <w:tcW w:w="7820" w:type="dxa"/>
            <w:vAlign w:val="bottom"/>
            <w:gridSpan w:val="9"/>
          </w:tcPr>
          <w:p>
            <w:pPr>
              <w:spacing w:after="0" w:line="212" w:lineRule="exact"/>
              <w:rPr>
                <w:sz w:val="20"/>
                <w:szCs w:val="20"/>
                <w:color w:val="auto"/>
              </w:rPr>
            </w:pPr>
            <w:r>
              <w:rPr>
                <w:rFonts w:ascii="Times New Roman" w:cs="Times New Roman" w:eastAsia="Times New Roman" w:hAnsi="Times New Roman"/>
                <w:sz w:val="20"/>
                <w:szCs w:val="20"/>
                <w:color w:val="auto"/>
              </w:rPr>
              <w:t>a s its attorney with full power of substitution to transfer the said securities on the appropriate</w:t>
            </w:r>
          </w:p>
        </w:tc>
      </w:tr>
      <w:tr>
        <w:trPr>
          <w:trHeight w:val="256"/>
        </w:trPr>
        <w:tc>
          <w:tcPr>
            <w:tcW w:w="19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register of the Trustee.</w:t>
            </w: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386"/>
        </w:trPr>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DATED this day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of</w:t>
            </w:r>
          </w:p>
        </w:tc>
        <w:tc>
          <w:tcPr>
            <w:tcW w:w="2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20</w:t>
            </w:r>
          </w:p>
        </w:tc>
        <w:tc>
          <w:tcPr>
            <w:tcW w:w="16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00" w:right="519"/>
        <w:spacing w:after="0" w:line="254" w:lineRule="auto"/>
        <w:rPr>
          <w:sz w:val="20"/>
          <w:szCs w:val="20"/>
          <w:color w:val="auto"/>
        </w:rPr>
      </w:pPr>
      <w:r>
        <w:rPr>
          <w:rFonts w:ascii="Times New Roman" w:cs="Times New Roman" w:eastAsia="Times New Roman" w:hAnsi="Times New Roman"/>
          <w:sz w:val="20"/>
          <w:szCs w:val="20"/>
          <w:color w:val="auto"/>
        </w:rPr>
        <w:t>In the case of a 2025 Convertible Note Certificate bearing the restrictive U.S. legend described in Section 3.3(b) of the Indenture, the undersigned hereby represents, warrants and certifies that (one (only) of the following must be checked):</w:t>
      </w:r>
    </w:p>
    <w:p>
      <w:pPr>
        <w:spacing w:after="0" w:line="170" w:lineRule="exact"/>
        <w:rPr>
          <w:sz w:val="20"/>
          <w:szCs w:val="20"/>
          <w:color w:val="auto"/>
        </w:rPr>
      </w:pPr>
    </w:p>
    <w:p>
      <w:pPr>
        <w:ind w:left="940" w:hanging="648"/>
        <w:spacing w:after="0"/>
        <w:tabs>
          <w:tab w:leader="none" w:pos="9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the transfer is being made to the Issuer; or</w:t>
      </w:r>
    </w:p>
    <w:p>
      <w:pPr>
        <w:spacing w:after="0" w:line="229" w:lineRule="exact"/>
        <w:rPr>
          <w:rFonts w:ascii="Times New Roman" w:cs="Times New Roman" w:eastAsia="Times New Roman" w:hAnsi="Times New Roman"/>
          <w:sz w:val="19"/>
          <w:szCs w:val="19"/>
          <w:color w:val="auto"/>
        </w:rPr>
      </w:pPr>
    </w:p>
    <w:p>
      <w:pPr>
        <w:jc w:val="both"/>
        <w:ind w:left="900" w:right="519" w:hanging="608"/>
        <w:spacing w:after="0" w:line="250" w:lineRule="auto"/>
        <w:tabs>
          <w:tab w:leader="none" w:pos="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the transfer is being made outside the United States to a person who is not a “</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i w:val="1"/>
          <w:iCs w:val="1"/>
          <w:color w:val="auto"/>
        </w:rPr>
        <w:t>” (as defined by Regulation S under the United States Securities Act of 1933, as amended (the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i w:val="1"/>
          <w:iCs w:val="1"/>
          <w:color w:val="auto"/>
        </w:rPr>
        <w:t>”)) in accordance with an applicable exemption under the U.S. Securities Act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applicable local securities laws and regulations.</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SPACE FOR GUARANTEES</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OF SIGNATURES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600075</wp:posOffset>
            </wp:positionV>
            <wp:extent cx="26485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Signature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219710</wp:posOffset>
            </wp:positionV>
            <wp:extent cx="26485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7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Name of Transferor</w:t>
      </w:r>
    </w:p>
    <w:p>
      <w:pPr>
        <w:spacing w:after="0" w:line="3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Guarantor’s Signature/Stamp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7</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5" w:name="page56"/>
    <w:bookmarkEnd w:id="55"/>
    <w:p>
      <w:pPr>
        <w:ind w:left="1120"/>
        <w:spacing w:after="0"/>
        <w:rPr>
          <w:sz w:val="20"/>
          <w:szCs w:val="20"/>
          <w:color w:val="auto"/>
        </w:rPr>
      </w:pPr>
      <w:r>
        <w:rPr>
          <w:rFonts w:ascii="Times New Roman" w:cs="Times New Roman" w:eastAsia="Times New Roman" w:hAnsi="Times New Roman"/>
          <w:sz w:val="20"/>
          <w:szCs w:val="20"/>
          <w:b w:val="1"/>
          <w:bCs w:val="1"/>
          <w:color w:val="auto"/>
        </w:rPr>
        <w:t>CERTAIN REQUIREMENTS RELATING TO TRANSFERS – READ CAREFULLY</w:t>
      </w:r>
    </w:p>
    <w:p>
      <w:pPr>
        <w:spacing w:after="0" w:line="206" w:lineRule="exact"/>
        <w:rPr>
          <w:sz w:val="20"/>
          <w:szCs w:val="20"/>
          <w:color w:val="auto"/>
        </w:rPr>
      </w:pPr>
    </w:p>
    <w:p>
      <w:pPr>
        <w:jc w:val="both"/>
        <w:ind w:left="500" w:right="519" w:firstLine="647"/>
        <w:spacing w:after="0" w:line="260" w:lineRule="auto"/>
        <w:rPr>
          <w:sz w:val="20"/>
          <w:szCs w:val="20"/>
          <w:color w:val="auto"/>
        </w:rPr>
      </w:pPr>
      <w:r>
        <w:rPr>
          <w:rFonts w:ascii="Times New Roman" w:cs="Times New Roman" w:eastAsia="Times New Roman" w:hAnsi="Times New Roman"/>
          <w:sz w:val="19"/>
          <w:szCs w:val="19"/>
          <w:color w:val="auto"/>
        </w:rPr>
        <w:t>The signature(s) of the transferor(s) must correspond with the name(s) as written upon the face of this certificate(s), in every particular, without alteration or enlargement, or any change whatsoever. The signature(s) on this form must be guaranteed in accordance with the transfer agent’s then current guidelines and requirements at the time of transfer. Notarized or witnessed signatures are not acceptable as guaranteed signatures. As at the time of closing, you may choose one of the following methods (although subject to change in accordance with industry practice and standards):</w:t>
      </w:r>
    </w:p>
    <w:p>
      <w:pPr>
        <w:spacing w:after="0" w:line="155" w:lineRule="exact"/>
        <w:rPr>
          <w:sz w:val="20"/>
          <w:szCs w:val="20"/>
          <w:color w:val="auto"/>
        </w:rPr>
      </w:pPr>
    </w:p>
    <w:p>
      <w:pPr>
        <w:jc w:val="both"/>
        <w:ind w:left="1100" w:right="519" w:hanging="290"/>
        <w:spacing w:after="0" w:line="246" w:lineRule="auto"/>
        <w:tabs>
          <w:tab w:leader="none" w:pos="11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Canada and the USA: </w:t>
      </w:r>
      <w:r>
        <w:rPr>
          <w:rFonts w:ascii="Times New Roman" w:cs="Times New Roman" w:eastAsia="Times New Roman" w:hAnsi="Times New Roman"/>
          <w:sz w:val="20"/>
          <w:szCs w:val="20"/>
          <w:color w:val="auto"/>
        </w:rPr>
        <w:t>A Medallion Signature Guarantee obtained from a member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acceptable Medallion Signature Guarantee Program (STAMP, SEMP, NYSE MSP). Many commercial banks, savings banks, credit unions, and all broker dealers participate in a Medallion Signature Guarantee Program. The Guarantor must affix a stamp bearing the actual words “</w:t>
      </w:r>
      <w:r>
        <w:rPr>
          <w:rFonts w:ascii="Times New Roman" w:cs="Times New Roman" w:eastAsia="Times New Roman" w:hAnsi="Times New Roman"/>
          <w:sz w:val="20"/>
          <w:szCs w:val="20"/>
          <w:b w:val="1"/>
          <w:bCs w:val="1"/>
          <w:color w:val="auto"/>
        </w:rPr>
        <w:t>Medallion Guaranteed</w:t>
      </w:r>
      <w:r>
        <w:rPr>
          <w:rFonts w:ascii="Times New Roman" w:cs="Times New Roman" w:eastAsia="Times New Roman" w:hAnsi="Times New Roman"/>
          <w:sz w:val="20"/>
          <w:szCs w:val="20"/>
          <w:color w:val="auto"/>
        </w:rPr>
        <w:t>”, with the correct prefix covering the face value of the certificate.</w:t>
      </w:r>
    </w:p>
    <w:p>
      <w:pPr>
        <w:spacing w:after="0" w:line="151" w:lineRule="exact"/>
        <w:rPr>
          <w:rFonts w:ascii="Times New Roman" w:cs="Times New Roman" w:eastAsia="Times New Roman" w:hAnsi="Times New Roman"/>
          <w:sz w:val="20"/>
          <w:szCs w:val="20"/>
          <w:b w:val="1"/>
          <w:bCs w:val="1"/>
          <w:color w:val="auto"/>
        </w:rPr>
      </w:pPr>
    </w:p>
    <w:p>
      <w:pPr>
        <w:jc w:val="both"/>
        <w:ind w:left="1100" w:right="519" w:hanging="290"/>
        <w:spacing w:after="0" w:line="244" w:lineRule="auto"/>
        <w:tabs>
          <w:tab w:leader="none" w:pos="11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Canada</w:t>
      </w:r>
      <w:r>
        <w:rPr>
          <w:rFonts w:ascii="Times New Roman" w:cs="Times New Roman" w:eastAsia="Times New Roman" w:hAnsi="Times New Roman"/>
          <w:sz w:val="20"/>
          <w:szCs w:val="20"/>
          <w:color w:val="auto"/>
        </w:rPr>
        <w:t>: A Signature Guarantee obtained from the Guarantor must affix a stamp bearing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actual words “</w:t>
      </w:r>
      <w:r>
        <w:rPr>
          <w:rFonts w:ascii="Times New Roman" w:cs="Times New Roman" w:eastAsia="Times New Roman" w:hAnsi="Times New Roman"/>
          <w:sz w:val="20"/>
          <w:szCs w:val="20"/>
          <w:b w:val="1"/>
          <w:bCs w:val="1"/>
          <w:color w:val="auto"/>
        </w:rPr>
        <w:t>Signature Guaranteed</w:t>
      </w:r>
      <w:r>
        <w:rPr>
          <w:rFonts w:ascii="Times New Roman" w:cs="Times New Roman" w:eastAsia="Times New Roman" w:hAnsi="Times New Roman"/>
          <w:sz w:val="20"/>
          <w:szCs w:val="20"/>
          <w:color w:val="auto"/>
        </w:rPr>
        <w:t>”. Signature Guarantees are not accepted from Treasury Branches, Credit Unions or Caisse Populaires unless they are members of a Medallion Signature Guarantee Program. For corporate holders, corporate signing resolutions, including certificate of incumbency, are also required to accompany the transfer, unless there is a “</w:t>
      </w:r>
      <w:r>
        <w:rPr>
          <w:rFonts w:ascii="Times New Roman" w:cs="Times New Roman" w:eastAsia="Times New Roman" w:hAnsi="Times New Roman"/>
          <w:sz w:val="20"/>
          <w:szCs w:val="20"/>
          <w:b w:val="1"/>
          <w:bCs w:val="1"/>
          <w:color w:val="auto"/>
        </w:rPr>
        <w:t>Signature &amp; Authority to Sign Guarantee</w:t>
      </w:r>
      <w:r>
        <w:rPr>
          <w:rFonts w:ascii="Times New Roman" w:cs="Times New Roman" w:eastAsia="Times New Roman" w:hAnsi="Times New Roman"/>
          <w:sz w:val="20"/>
          <w:szCs w:val="20"/>
          <w:color w:val="auto"/>
        </w:rPr>
        <w:t>” Stamp affixed to the transfer (as opposed to a “</w:t>
      </w:r>
      <w:r>
        <w:rPr>
          <w:rFonts w:ascii="Times New Roman" w:cs="Times New Roman" w:eastAsia="Times New Roman" w:hAnsi="Times New Roman"/>
          <w:sz w:val="20"/>
          <w:szCs w:val="20"/>
          <w:b w:val="1"/>
          <w:bCs w:val="1"/>
          <w:color w:val="auto"/>
        </w:rPr>
        <w:t>Signature Guarantee</w:t>
      </w:r>
      <w:r>
        <w:rPr>
          <w:rFonts w:ascii="Times New Roman" w:cs="Times New Roman" w:eastAsia="Times New Roman" w:hAnsi="Times New Roman"/>
          <w:sz w:val="20"/>
          <w:szCs w:val="20"/>
          <w:color w:val="auto"/>
        </w:rPr>
        <w:t>” Stamp) obtained from an authorized officer of a major Canadian Schedule 1 chartered bank.</w:t>
      </w:r>
    </w:p>
    <w:p>
      <w:pPr>
        <w:spacing w:after="0" w:line="168" w:lineRule="exact"/>
        <w:rPr>
          <w:rFonts w:ascii="Times New Roman" w:cs="Times New Roman" w:eastAsia="Times New Roman" w:hAnsi="Times New Roman"/>
          <w:sz w:val="20"/>
          <w:szCs w:val="20"/>
          <w:b w:val="1"/>
          <w:bCs w:val="1"/>
          <w:color w:val="auto"/>
        </w:rPr>
      </w:pPr>
    </w:p>
    <w:p>
      <w:pPr>
        <w:jc w:val="both"/>
        <w:ind w:left="1100" w:right="519" w:hanging="290"/>
        <w:spacing w:after="0" w:line="247" w:lineRule="auto"/>
        <w:tabs>
          <w:tab w:leader="none" w:pos="11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Outside North America</w:t>
      </w:r>
      <w:r>
        <w:rPr>
          <w:rFonts w:ascii="Times New Roman" w:cs="Times New Roman" w:eastAsia="Times New Roman" w:hAnsi="Times New Roman"/>
          <w:sz w:val="20"/>
          <w:szCs w:val="20"/>
          <w:color w:val="auto"/>
        </w:rPr>
        <w:t>: For holders located outside North America, present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certificates(s) and/or document(s) that require a guarantee to a local financial institution that has a corresponding Canadian or American affiliate which is a member of an acceptable Medallion Signature Guarantee Program. The corresponding affiliate will arrange for the signature to be over-guaranteed.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8</w:t>
      </w:r>
    </w:p>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616585</wp:posOffset>
            </wp:positionV>
            <wp:extent cx="579437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6" w:name="page57"/>
    <w:bookmarkEnd w:id="56"/>
    <w:p>
      <w:pPr>
        <w:ind w:left="3920"/>
        <w:spacing w:after="0"/>
        <w:rPr>
          <w:sz w:val="20"/>
          <w:szCs w:val="20"/>
          <w:color w:val="auto"/>
        </w:rPr>
      </w:pPr>
      <w:r>
        <w:rPr>
          <w:rFonts w:ascii="Times New Roman" w:cs="Times New Roman" w:eastAsia="Times New Roman" w:hAnsi="Times New Roman"/>
          <w:sz w:val="20"/>
          <w:szCs w:val="20"/>
          <w:b w:val="1"/>
          <w:bCs w:val="1"/>
          <w:color w:val="auto"/>
        </w:rPr>
        <w:t xml:space="preserve">Appendix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Fourth Supplemental Indenture</w:t>
      </w:r>
    </w:p>
    <w:p>
      <w:pPr>
        <w:spacing w:after="0" w:line="6"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0"/>
          <w:szCs w:val="20"/>
          <w:b w:val="1"/>
          <w:bCs w:val="1"/>
          <w:color w:val="auto"/>
        </w:rPr>
        <w:t>FORM OF NOTE</w:t>
      </w:r>
    </w:p>
    <w:p>
      <w:pPr>
        <w:jc w:val="right"/>
        <w:ind w:right="3839"/>
        <w:spacing w:after="0"/>
        <w:rPr>
          <w:sz w:val="20"/>
          <w:szCs w:val="20"/>
          <w:color w:val="auto"/>
        </w:rPr>
      </w:pPr>
      <w:r>
        <w:rPr>
          <w:rFonts w:ascii="Times New Roman" w:cs="Times New Roman" w:eastAsia="Times New Roman" w:hAnsi="Times New Roman"/>
          <w:sz w:val="20"/>
          <w:szCs w:val="20"/>
          <w:b w:val="1"/>
          <w:bCs w:val="1"/>
          <w:color w:val="auto"/>
        </w:rPr>
        <w:t>CERTIFICATE</w:t>
      </w:r>
    </w:p>
    <w:p>
      <w:pPr>
        <w:ind w:left="300" w:right="319"/>
        <w:spacing w:after="0" w:line="242" w:lineRule="auto"/>
        <w:rPr>
          <w:sz w:val="20"/>
          <w:szCs w:val="20"/>
          <w:color w:val="auto"/>
        </w:rPr>
      </w:pPr>
      <w:r>
        <w:rPr>
          <w:rFonts w:ascii="Times New Roman" w:cs="Times New Roman" w:eastAsia="Times New Roman" w:hAnsi="Times New Roman"/>
          <w:sz w:val="20"/>
          <w:szCs w:val="20"/>
          <w:b w:val="1"/>
          <w:bCs w:val="1"/>
          <w:color w:val="auto"/>
        </w:rPr>
        <w:t>[UNLESS PERMITTED UNDER SECURITIES LEGISLATION, THE HOLDER OF THIS SECURITY MUST NOT TRADE THE SECURITY BEFORE [INSERT THE DATE THAT IS 4 MONTHS AND A DAY AFTER THE DISTRIBUTION DATE]].</w:t>
      </w:r>
    </w:p>
    <w:p>
      <w:pPr>
        <w:spacing w:after="0" w:line="156"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b w:val="1"/>
          <w:bCs w:val="1"/>
          <w:color w:val="auto"/>
        </w:rPr>
        <w:t>[THIS NOTE IS A GLOBAL NOTE WITHIN THE MEANING OF THE INDENTURE HEREIN REFERRED TO AND IS REGISTERED IN THE NAME OF A DEPOSITORY OR A NOMINEE THEREOF. THIS NOTE MAY NOT BE TRANSFERRED TO OR EXCHANGED FOR NOTES REGISTERED IN THE NAME OF ANY PERSON OTHER THAN THE DEPOSITORY OR A NOMINEE THEREOF AND NO SUCH TRANSFER MAY BE REGISTERED EXCEPT IN THE LIMITED CIRCUMSTANCES DESCRIBED IN THE INDENTURE. EVERY NOTE AUTHENTICATED AND DELIVERED UPON REGISTRATION OF, TRANSFER OF, OR IN EXCHANGE FOR, OR IN LIEU OF, THIS NOTE SHALL BE A GLOBAL NOTE SUBJECT TO THE FOREGOING, EXCEPT IN SUCH LIMITED CIRCUMSTANCES DESCRIBED IN THE INDENTURE.</w:t>
      </w:r>
    </w:p>
    <w:p>
      <w:pPr>
        <w:spacing w:after="0" w:line="182"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b w:val="1"/>
          <w:bCs w:val="1"/>
          <w:color w:val="auto"/>
        </w:rPr>
        <w:t>UNLESS THIS CERTIFICATE IS PRESENTED BY AN AUTHORIZED REPRESENTATIVE OF CDS CLEARING AND DEPOSITORY SERVICES INC. (“CDS”) TO THE CANNABIST COMPANY HOLDINGS INC. OR ITS AGENT FOR REGISTRATION OF TRANSFER, EXCHANGE OR PAYMENT, AND ANY CERTIFICATE ISSUED IN RESPECT THEREOF IS REGISTERED IN THE NAME 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HEREIN AND IT IS A VIOLATION OF ITS RIGHTS FOR ANOTHER PERSON TO HOLD, TRANSFER OR DEAL WITH THIS CERTIFICATE.]</w:t>
      </w:r>
      <w:r>
        <w:rPr>
          <w:rFonts w:ascii="Times New Roman" w:cs="Times New Roman" w:eastAsia="Times New Roman" w:hAnsi="Times New Roman"/>
          <w:sz w:val="12"/>
          <w:szCs w:val="12"/>
          <w:b w:val="1"/>
          <w:bCs w:val="1"/>
          <w:color w:val="auto"/>
        </w:rPr>
        <w:t>1</w:t>
      </w:r>
    </w:p>
    <w:p>
      <w:pPr>
        <w:spacing w:after="0" w:line="171"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b w:val="1"/>
          <w:bCs w:val="1"/>
          <w:color w:val="auto"/>
        </w:rPr>
        <w:t>[Regulation D Legend: THIS SECURITY HAS NOT BEEN AND WILL NOT BE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THE SECURITY EVIDENCED HEREBY AGREES FOR THE BENEFIT OF THE COMPANY THAT (A) SUCH SECURITY MAY BE OFFERED, RESOLD, PLEDGED OR OTHERWISE TRANSFERRED, ONLY (1)(a) IN THE UNITED STATES TO A PERSON WHO THE SELLER REASONABLY BELIEVES IS A QUALIFIED INSTITUTIONAL BUYER (AS DEFINED IN RULE 144A UNDER THE SECURITIES ACT) PURCHASING FOR ITS OWN ACCOUNT OR FOR THE ACCOUNT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 xml:space="preserve">1 </w:t>
      </w:r>
      <w:r>
        <w:rPr>
          <w:rFonts w:ascii="Times New Roman" w:cs="Times New Roman" w:eastAsia="Times New Roman" w:hAnsi="Times New Roman"/>
          <w:sz w:val="16"/>
          <w:szCs w:val="16"/>
          <w:color w:val="auto"/>
        </w:rPr>
        <w:t>Global Note Legend: Include legend on all Global Notes: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607695</wp:posOffset>
            </wp:positionV>
            <wp:extent cx="579437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57" w:name="page58"/>
    <w:bookmarkEnd w:id="57"/>
    <w:p>
      <w:pPr>
        <w:ind w:left="300" w:right="299"/>
        <w:spacing w:after="0" w:line="245" w:lineRule="auto"/>
        <w:rPr>
          <w:sz w:val="20"/>
          <w:szCs w:val="20"/>
          <w:color w:val="auto"/>
        </w:rPr>
      </w:pPr>
      <w:r>
        <w:rPr>
          <w:rFonts w:ascii="Times New Roman" w:cs="Times New Roman" w:eastAsia="Times New Roman" w:hAnsi="Times New Roman"/>
          <w:sz w:val="20"/>
          <w:szCs w:val="20"/>
          <w:b w:val="1"/>
          <w:bCs w:val="1"/>
          <w:color w:val="auto"/>
        </w:rPr>
        <w:t>OF A QUALIFIED INSTITUTIONAL BUYER IN A TRANSACTION MEETING THE REQUIREMENTS OF RULE 144A UNDER THE SECURITIES ACT, (b) OUTSIDE THE UNITED STATES IN A TRANSACTION MEETING THE REQUIREMENTS OF REGULATION S UNDER THE SECURITIES ACT, (c) PURSUANT TO AN EXEMPTION FROM REGISTRATION UNDER THE SECURITIES ACT PROVIDED BY RULE 144 THEREUNDER (IF APPLICABLE) (AND BASED UPON AN OPINION OF 1 Global Note Legend: Include legend on all Global Notes.</w:t>
      </w:r>
    </w:p>
    <w:p>
      <w:pPr>
        <w:spacing w:after="0" w:line="166" w:lineRule="exact"/>
        <w:rPr>
          <w:sz w:val="20"/>
          <w:szCs w:val="20"/>
          <w:color w:val="auto"/>
        </w:rPr>
      </w:pPr>
    </w:p>
    <w:p>
      <w:pPr>
        <w:jc w:val="both"/>
        <w:ind w:left="300" w:right="299" w:firstLine="49"/>
        <w:spacing w:after="0" w:line="242" w:lineRule="auto"/>
        <w:rPr>
          <w:sz w:val="20"/>
          <w:szCs w:val="20"/>
          <w:color w:val="auto"/>
        </w:rPr>
      </w:pPr>
      <w:r>
        <w:rPr>
          <w:rFonts w:ascii="Times New Roman" w:cs="Times New Roman" w:eastAsia="Times New Roman" w:hAnsi="Times New Roman"/>
          <w:sz w:val="20"/>
          <w:szCs w:val="20"/>
          <w:b w:val="1"/>
          <w:bCs w:val="1"/>
          <w:color w:val="auto"/>
        </w:rPr>
        <w:t>COUNSEL ACCEPTABLE TO THE COMPANY IF THE COMPANY SO REQUESTS) OR (d) IN ACCORDANCE WITH ANOTHER EXEMPTION FROM THE REGISTRATION REQUIREMENTS OF THE SECURITIES ACT (AND BASED UPON AN OPINION OF COUNSEL ACCEPTABLE TO THE COMPANY IF THE COMPANY SO REQUESTS), (2) TO THE COMPANY OR (3) PURSUANT TO AN EFFECTIVE REGISTRATION STATEMENT AND, IN EACH CASE, IN ACCORDANCE WITH ANY APPLICABLE SECURITIES LAWS OF ANY STATE OF THE UNITED STATES AND ANY OTHER APPLICABLE JURISDICTION AND (B) THE HOLDER WILL, AND EACH SUBSEQUENT HOLDER IS REQUIRED TO, NOTIFY ANY PURCHASER OF THE SECURITY EVIDENCED HEREBY OF THE RESALE RESTRICTIONS SET FORTH IN CLAUSE (A) ABOVE. NO REPRESENTATION IS MADE AS TO THE AVAILABILITY OF THE EXEMPTION PROVIDED BY RULE 144 FOR RESALE OF THE SECURITY EVIDENCED HEREBY.]</w:t>
      </w:r>
      <w:r>
        <w:rPr>
          <w:rFonts w:ascii="Times New Roman" w:cs="Times New Roman" w:eastAsia="Times New Roman" w:hAnsi="Times New Roman"/>
          <w:sz w:val="12"/>
          <w:szCs w:val="12"/>
          <w:b w:val="1"/>
          <w:bCs w:val="1"/>
          <w:color w:val="auto"/>
        </w:rPr>
        <w:t>2</w:t>
      </w:r>
    </w:p>
    <w:p>
      <w:pPr>
        <w:spacing w:after="0" w:line="174"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Regulation S Legend</w:t>
      </w:r>
      <w:r>
        <w:rPr>
          <w:rFonts w:ascii="Times New Roman" w:cs="Times New Roman" w:eastAsia="Times New Roman" w:hAnsi="Times New Roman"/>
          <w:sz w:val="20"/>
          <w:szCs w:val="20"/>
          <w:b w:val="1"/>
          <w:bCs w:val="1"/>
          <w:color w:val="auto"/>
        </w:rPr>
        <w:t>: THIS SECURITY HAS NOT BEEN AND WILL NOT BE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ORIGINAL ISSUE DATE HEREOF AND THE DATE ON WHICH THIS SECURITY (OR ANY PREDECESSOR OF SUCH SECURITY) WAS FIRST OFFERED TO PERSONS OTHER THAN DISTRIBUTORS (AS DEFINED IN RULE 902 OF REGULATION S) IN COMPLIANCE WITH REGULATION S, ONLY (A) TO THE COMPANY OR ANY SUBSIDIARY THEREOF, OR (B) PURSUANT TO OFFERS AND SALES TO NON-U.S. PERSONS THAT OCCUR OUTSIDE THE UNITED STATES WITHIN THE MEANING OF REGULATION S UNDER THE SECURITIES ACT, IN EACH CASE IN A MINIMUM PRINCIPAL AMOUNT OF SECURITIES, SUBJECT TO THE COMPANY’S AND THE TRUSTEE’S RIGHT PRIOR TO ANY SUCH OFFER, SALE OR TRANSFER PURSUANT TO CLAUSE (B) TO REQUIRE THE DELIVERY OF AN OPINION OF COUNSEL, CERTIFICATION AND/OR OTHER INFORMATION SATISFACTORY TO EACH OF THEM. BY ITS ACCEPTANCE HEREOF, THE HOLDER OF THIS NOTE FURTHER AGREES THAT IT WILL GIVE EACH PERSON TO WHOM THIS NOTE IS TRANSFERRED A NOTICE SUBSTANTIALLY TO THE EFFECT OF THIS LEGEND. THIS LEGEND WILL BE REMOVED UPON THE REQUEST OF THE HOLDER</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 xml:space="preserve">2 </w:t>
      </w:r>
      <w:r>
        <w:rPr>
          <w:rFonts w:ascii="Times New Roman" w:cs="Times New Roman" w:eastAsia="Times New Roman" w:hAnsi="Times New Roman"/>
          <w:sz w:val="16"/>
          <w:szCs w:val="16"/>
          <w:color w:val="auto"/>
        </w:rPr>
        <w:t>Include legend on all Regulation D Notes.</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607695</wp:posOffset>
            </wp:positionV>
            <wp:extent cx="579437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8" w:name="page59"/>
    <w:bookmarkEnd w:id="58"/>
    <w:p>
      <w:pPr>
        <w:jc w:val="both"/>
        <w:ind w:left="300" w:right="299"/>
        <w:spacing w:after="0" w:line="247" w:lineRule="auto"/>
        <w:rPr>
          <w:sz w:val="20"/>
          <w:szCs w:val="20"/>
          <w:color w:val="auto"/>
        </w:rPr>
      </w:pPr>
      <w:r>
        <w:rPr>
          <w:rFonts w:ascii="Times New Roman" w:cs="Times New Roman" w:eastAsia="Times New Roman" w:hAnsi="Times New Roman"/>
          <w:sz w:val="20"/>
          <w:szCs w:val="20"/>
          <w:b w:val="1"/>
          <w:bCs w:val="1"/>
          <w:color w:val="auto"/>
        </w:rPr>
        <w:t>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r>
        <w:rPr>
          <w:rFonts w:ascii="Times New Roman" w:cs="Times New Roman" w:eastAsia="Times New Roman" w:hAnsi="Times New Roman"/>
          <w:sz w:val="12"/>
          <w:szCs w:val="12"/>
          <w:b w:val="1"/>
          <w:bCs w:val="1"/>
          <w:color w:val="auto"/>
        </w:rPr>
        <w:t>3</w:t>
      </w:r>
    </w:p>
    <w:p>
      <w:pPr>
        <w:spacing w:after="0" w:line="167" w:lineRule="exact"/>
        <w:rPr>
          <w:sz w:val="20"/>
          <w:szCs w:val="20"/>
          <w:color w:val="auto"/>
        </w:rPr>
      </w:pPr>
    </w:p>
    <w:p>
      <w:pPr>
        <w:jc w:val="both"/>
        <w:ind w:left="300" w:right="319"/>
        <w:spacing w:after="0" w:line="273"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Canadian Securities Legend</w:t>
      </w:r>
      <w:r>
        <w:rPr>
          <w:rFonts w:ascii="Times New Roman" w:cs="Times New Roman" w:eastAsia="Times New Roman" w:hAnsi="Times New Roman"/>
          <w:sz w:val="20"/>
          <w:szCs w:val="20"/>
          <w:b w:val="1"/>
          <w:bCs w:val="1"/>
          <w:color w:val="auto"/>
        </w:rPr>
        <w:t>: UNLESS PERMITTED UNDER APPLICABLE SECURITIES LEGISLATION IN CANADA, THE HOLDER OF THIS SECURITY MUST NOT TRADE THIS</w:t>
      </w:r>
    </w:p>
    <w:p>
      <w:pPr>
        <w:spacing w:after="0" w:line="138" w:lineRule="exact"/>
        <w:rPr>
          <w:sz w:val="20"/>
          <w:szCs w:val="20"/>
          <w:color w:val="auto"/>
        </w:rPr>
      </w:pPr>
    </w:p>
    <w:p>
      <w:pPr>
        <w:jc w:val="both"/>
        <w:ind w:left="300" w:right="299"/>
        <w:spacing w:after="0" w:line="273" w:lineRule="auto"/>
        <w:rPr>
          <w:sz w:val="20"/>
          <w:szCs w:val="20"/>
          <w:color w:val="auto"/>
        </w:rPr>
      </w:pPr>
      <w:r>
        <w:rPr>
          <w:rFonts w:ascii="Times New Roman" w:cs="Times New Roman" w:eastAsia="Times New Roman" w:hAnsi="Times New Roman"/>
          <w:sz w:val="20"/>
          <w:szCs w:val="20"/>
          <w:b w:val="1"/>
          <w:bCs w:val="1"/>
          <w:color w:val="auto"/>
        </w:rPr>
        <w:t>SECURITY IN CANADA BEFORE [THE DATE THAT IS 4 MONTHS AND A DAY AFTER THE ORIGINAL DISTRIBUTION DATE OF THE SECURITY].]</w:t>
      </w:r>
      <w:r>
        <w:rPr>
          <w:rFonts w:ascii="Times New Roman" w:cs="Times New Roman" w:eastAsia="Times New Roman" w:hAnsi="Times New Roman"/>
          <w:sz w:val="12"/>
          <w:szCs w:val="12"/>
          <w:b w:val="1"/>
          <w:bCs w:val="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 xml:space="preserve">3 </w:t>
      </w:r>
      <w:r>
        <w:rPr>
          <w:rFonts w:ascii="Times New Roman" w:cs="Times New Roman" w:eastAsia="Times New Roman" w:hAnsi="Times New Roman"/>
          <w:sz w:val="16"/>
          <w:szCs w:val="16"/>
          <w:color w:val="auto"/>
        </w:rPr>
        <w:t>Include legend on all Regulation S Notes.</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 xml:space="preserve">4 </w:t>
      </w:r>
      <w:r>
        <w:rPr>
          <w:rFonts w:ascii="Times New Roman" w:cs="Times New Roman" w:eastAsia="Times New Roman" w:hAnsi="Times New Roman"/>
          <w:sz w:val="16"/>
          <w:szCs w:val="16"/>
          <w:color w:val="auto"/>
        </w:rPr>
        <w:t>Include legend on all Notes.</w:t>
      </w:r>
    </w:p>
    <w:p>
      <w:pPr>
        <w:ind w:left="60"/>
        <w:spacing w:after="0" w:line="213" w:lineRule="auto"/>
        <w:rPr>
          <w:sz w:val="20"/>
          <w:szCs w:val="20"/>
          <w:color w:val="auto"/>
        </w:rPr>
      </w:pPr>
      <w:r>
        <w:rPr>
          <w:rFonts w:ascii="Times New Roman" w:cs="Times New Roman" w:eastAsia="Times New Roman" w:hAnsi="Times New Roman"/>
          <w:sz w:val="16"/>
          <w:szCs w:val="16"/>
          <w:color w:val="auto"/>
        </w:rPr>
        <w:t>3</w:t>
      </w:r>
    </w:p>
    <w:p>
      <w:pPr>
        <w:jc w:val="center"/>
        <w:ind w:right="139"/>
        <w:spacing w:after="0"/>
        <w:rPr>
          <w:sz w:val="20"/>
          <w:szCs w:val="20"/>
          <w:color w:val="auto"/>
        </w:rPr>
      </w:pPr>
      <w:r>
        <w:rPr>
          <w:rFonts w:ascii="Times New Roman" w:cs="Times New Roman" w:eastAsia="Times New Roman" w:hAnsi="Times New Roman"/>
          <w:sz w:val="16"/>
          <w:szCs w:val="16"/>
          <w:color w:val="auto"/>
        </w:rPr>
        <w: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656590</wp:posOffset>
            </wp:positionV>
            <wp:extent cx="579437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9" w:name="page60"/>
    <w:bookmarkEnd w:id="59"/>
    <w:p>
      <w:pPr>
        <w:ind w:left="8020"/>
        <w:spacing w:after="0"/>
        <w:rPr>
          <w:sz w:val="20"/>
          <w:szCs w:val="20"/>
          <w:color w:val="auto"/>
        </w:rPr>
      </w:pPr>
      <w:r>
        <w:rPr>
          <w:rFonts w:ascii="Times New Roman" w:cs="Times New Roman" w:eastAsia="Times New Roman" w:hAnsi="Times New Roman"/>
          <w:sz w:val="20"/>
          <w:szCs w:val="20"/>
          <w:color w:val="auto"/>
        </w:rPr>
        <w:t>CUSIP</w:t>
      </w:r>
    </w:p>
    <w:p>
      <w:pPr>
        <w:spacing w:after="0" w:line="28"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9"/>
          <w:szCs w:val="19"/>
          <w:color w:val="auto"/>
        </w:rPr>
        <w:t>ISIN</w:t>
      </w:r>
    </w:p>
    <w:p>
      <w:pPr>
        <w:spacing w:after="0" w:line="38" w:lineRule="exact"/>
        <w:rPr>
          <w:sz w:val="20"/>
          <w:szCs w:val="20"/>
          <w:color w:val="auto"/>
        </w:rPr>
      </w:pPr>
    </w:p>
    <w:p>
      <w:pPr>
        <w:ind w:left="520"/>
        <w:spacing w:after="0"/>
        <w:tabs>
          <w:tab w:leader="none" w:pos="8260" w:val="left"/>
        </w:tabs>
        <w:rPr>
          <w:sz w:val="20"/>
          <w:szCs w:val="20"/>
          <w:color w:val="auto"/>
        </w:rPr>
      </w:pPr>
      <w:r>
        <w:rPr>
          <w:rFonts w:ascii="Times New Roman" w:cs="Times New Roman" w:eastAsia="Times New Roman" w:hAnsi="Times New Roman"/>
          <w:sz w:val="20"/>
          <w:szCs w:val="20"/>
          <w:color w:val="auto"/>
        </w:rPr>
        <w:t>No.</w:t>
      </w:r>
      <w:r>
        <w:rPr>
          <w:sz w:val="20"/>
          <w:szCs w:val="20"/>
          <w:color w:val="auto"/>
        </w:rPr>
        <w:tab/>
      </w:r>
      <w:r>
        <w:rPr>
          <w:rFonts w:ascii="Times New Roman" w:cs="Times New Roman" w:eastAsia="Times New Roman" w:hAnsi="Times New Roman"/>
          <w:sz w:val="20"/>
          <w:szCs w:val="20"/>
          <w:color w:val="auto"/>
        </w:rPr>
        <w:t>US$</w:t>
      </w:r>
    </w:p>
    <w:p>
      <w:pPr>
        <w:spacing w:after="0" w:line="200" w:lineRule="exact"/>
        <w:rPr>
          <w:sz w:val="20"/>
          <w:szCs w:val="20"/>
          <w:color w:val="auto"/>
        </w:rPr>
      </w:pPr>
    </w:p>
    <w:p>
      <w:pPr>
        <w:spacing w:after="0" w:line="26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THE CANNABIST COMPANY HOLDINGS INC.</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(a corporation formed under the laws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9.5% Senior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Secured First-Lien 2026 Note</w:t>
      </w:r>
    </w:p>
    <w:p>
      <w:pPr>
        <w:jc w:val="center"/>
        <w:spacing w:after="0"/>
        <w:rPr>
          <w:sz w:val="20"/>
          <w:szCs w:val="20"/>
          <w:color w:val="auto"/>
        </w:rPr>
      </w:pPr>
      <w:r>
        <w:rPr>
          <w:rFonts w:ascii="Times New Roman" w:cs="Times New Roman" w:eastAsia="Times New Roman" w:hAnsi="Times New Roman"/>
          <w:sz w:val="20"/>
          <w:szCs w:val="20"/>
          <w:color w:val="auto"/>
        </w:rPr>
        <w:t>Due 2026</w:t>
      </w:r>
    </w:p>
    <w:p>
      <w:pPr>
        <w:spacing w:after="0" w:line="16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9"/>
          <w:szCs w:val="19"/>
          <w:color w:val="auto"/>
        </w:rPr>
        <w:t>THE CANNABIST COMPANY HOLDINGS INC. (the “</w:t>
      </w:r>
      <w:r>
        <w:rPr>
          <w:rFonts w:ascii="Times New Roman" w:cs="Times New Roman" w:eastAsia="Times New Roman" w:hAnsi="Times New Roman"/>
          <w:sz w:val="19"/>
          <w:szCs w:val="19"/>
          <w:b w:val="1"/>
          <w:bCs w:val="1"/>
          <w:color w:val="auto"/>
        </w:rPr>
        <w:t>Issuer</w:t>
      </w:r>
      <w:r>
        <w:rPr>
          <w:rFonts w:ascii="Times New Roman" w:cs="Times New Roman" w:eastAsia="Times New Roman" w:hAnsi="Times New Roman"/>
          <w:sz w:val="19"/>
          <w:szCs w:val="19"/>
          <w:color w:val="auto"/>
        </w:rPr>
        <w:t>”) for value received hereby acknowledges itself indebted and, subject to the provisions of the trust indenture dated as of May 14, 2020 (the “</w:t>
      </w:r>
      <w:r>
        <w:rPr>
          <w:rFonts w:ascii="Times New Roman" w:cs="Times New Roman" w:eastAsia="Times New Roman" w:hAnsi="Times New Roman"/>
          <w:sz w:val="19"/>
          <w:szCs w:val="19"/>
          <w:b w:val="1"/>
          <w:bCs w:val="1"/>
          <w:color w:val="auto"/>
        </w:rPr>
        <w:t>Trust Indenture</w:t>
      </w:r>
      <w:r>
        <w:rPr>
          <w:rFonts w:ascii="Times New Roman" w:cs="Times New Roman" w:eastAsia="Times New Roman" w:hAnsi="Times New Roman"/>
          <w:sz w:val="19"/>
          <w:szCs w:val="19"/>
          <w:color w:val="auto"/>
        </w:rPr>
        <w:t>”), as supplemented and amended by the First Supplemental Indenture, Second Supplemental, Third Supplemental Indenture and Fourth Supplemental Indenture (each as defined in the fourth supplemental indenture dated as of February 3, 2021 and collectively with the Trust Indenture, the “</w:t>
      </w:r>
      <w:r>
        <w:rPr>
          <w:rFonts w:ascii="Times New Roman" w:cs="Times New Roman" w:eastAsia="Times New Roman" w:hAnsi="Times New Roman"/>
          <w:sz w:val="19"/>
          <w:szCs w:val="19"/>
          <w:b w:val="1"/>
          <w:bCs w:val="1"/>
          <w:color w:val="auto"/>
        </w:rPr>
        <w:t>Indenture</w:t>
      </w:r>
      <w:r>
        <w:rPr>
          <w:rFonts w:ascii="Times New Roman" w:cs="Times New Roman" w:eastAsia="Times New Roman" w:hAnsi="Times New Roman"/>
          <w:sz w:val="19"/>
          <w:szCs w:val="19"/>
          <w:color w:val="auto"/>
        </w:rPr>
        <w:t>”), between the Issuer and Odyssey Trust Company (the “</w:t>
      </w:r>
      <w:r>
        <w:rPr>
          <w:rFonts w:ascii="Times New Roman" w:cs="Times New Roman" w:eastAsia="Times New Roman" w:hAnsi="Times New Roman"/>
          <w:sz w:val="19"/>
          <w:szCs w:val="19"/>
          <w:b w:val="1"/>
          <w:bCs w:val="1"/>
          <w:color w:val="auto"/>
        </w:rPr>
        <w:t>Trustee</w:t>
      </w:r>
      <w:r>
        <w:rPr>
          <w:rFonts w:ascii="Times New Roman" w:cs="Times New Roman" w:eastAsia="Times New Roman" w:hAnsi="Times New Roman"/>
          <w:sz w:val="19"/>
          <w:szCs w:val="19"/>
          <w:color w:val="auto"/>
        </w:rPr>
        <w:t>”), promises to pay to</w:t>
      </w:r>
    </w:p>
    <w:p>
      <w:pPr>
        <w:spacing w:after="0" w:line="154"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on February 3, 2026 (the “</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or on such earlier date as the principal amount hereof may become due in accordance with the provisions of the Indenture, the principal sum of Dollars (US$ ) in lawful money of the United States of America on presentation and surrender of this 2026 Note at the main branch of the Trustee in Vancouver, British Columbia in accordance with the terms of the Indenture and, subject as hereinafter provided, to pay interest on the principal amount hereof from the date hereof, at the rate of 9.5% per annum (based on a year of 365 days), in like money, in arrears in equal installments on the six month anniversary of the Issue Date and the Maturity Date, and, should the Issuer at any time make default in the payment of any principal, or interest, to pay interest on the amount in default at the same rate, in like money and on the same date.</w:t>
      </w:r>
    </w:p>
    <w:p>
      <w:pPr>
        <w:spacing w:after="0" w:line="176"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Interest on this 2026 Note will be computed on the basis of a 365-day or 366-day year, as applicable, and will be payable in equal semi-annual amounts; provided that for any Interest Period that is shorter than a full semi-annual interest period, interest shall be calculated on the basis of a year of 365 days or 366 days, as applicable, and the actual number of days elapsed in that period.</w:t>
      </w:r>
    </w:p>
    <w:p>
      <w:pPr>
        <w:spacing w:after="0" w:line="166"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If the date for payment of any amount of principal, premium or interest is not a Business Day at the place of payment, then payment will be made on the next Business Day and the holder hereof will not be entitled to any further interest on such principal, or to any interest on such interest, premium or other amount so payable, in respect of the period from the date for payment to such next Business Day.</w:t>
      </w:r>
    </w:p>
    <w:p>
      <w:pPr>
        <w:spacing w:after="0" w:line="166"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Interest hereon shall be payable by cheque mailed by prepaid ordinary mail or by electronic transfer of funds to the registered holder hereof and, subject to the provisions of this Indenture, the mailing of such cheque or the electronic transfer of such funds shall, to the extent of the sum represented thereby (plus the amount of any Taxes deducted or withheld), satisfy and discharge all liability for interest on this 2026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607695</wp:posOffset>
            </wp:positionV>
            <wp:extent cx="579437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426" w:right="1440" w:bottom="1440" w:gutter="0" w:footer="0" w:header="0"/>
        </w:sectPr>
      </w:pPr>
    </w:p>
    <w:bookmarkStart w:id="60" w:name="page61"/>
    <w:bookmarkEnd w:id="60"/>
    <w:p>
      <w:pPr>
        <w:jc w:val="both"/>
        <w:ind w:left="300" w:right="299"/>
        <w:spacing w:after="0" w:line="25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4382770</wp:posOffset>
            </wp:positionH>
            <wp:positionV relativeFrom="page">
              <wp:posOffset>423545</wp:posOffset>
            </wp:positionV>
            <wp:extent cx="19685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196850" cy="146050"/>
                    </a:xfrm>
                    <a:prstGeom prst="rect">
                      <a:avLst/>
                    </a:prstGeom>
                    <a:noFill/>
                  </pic:spPr>
                </pic:pic>
              </a:graphicData>
            </a:graphic>
          </wp:anchor>
        </w:drawing>
        <w:t>This Note is one of the 9.5% Senior Secured First-Lien 2026 Notes (referred to herein as the “</w:t>
      </w:r>
      <w:r>
        <w:rPr>
          <w:rFonts w:ascii="Times New Roman" w:cs="Times New Roman" w:eastAsia="Times New Roman" w:hAnsi="Times New Roman"/>
          <w:sz w:val="20"/>
          <w:szCs w:val="20"/>
          <w:b w:val="1"/>
          <w:bCs w:val="1"/>
          <w:color w:val="auto"/>
        </w:rPr>
        <w:t>2026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of the Issuer issued under the provisions of the Indenture. The 2026 Notes authorized for issue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are limited to an aggregate principal amount of US$ in lawful money of the United States.</w:t>
      </w:r>
    </w:p>
    <w:p>
      <w:pPr>
        <w:spacing w:after="0" w:line="15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9"/>
          <w:szCs w:val="19"/>
          <w:color w:val="auto"/>
        </w:rPr>
        <w:t>Reference is hereby expressly made to the Indenture for a description of the terms and conditions upon which the 2026 Notes are or are to be issued and held and the rights and remedies of the holders of the 2026 Notes and of the Issuer and of the Trustee, all to the same effect as if the provisions of the Indenture were herein set forth to all of which provisions the holder of this Note by acceptance hereof assents.</w:t>
      </w:r>
    </w:p>
    <w:p>
      <w:pPr>
        <w:spacing w:after="0" w:line="152"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The 2026 Notes are issuable at a price of US$1,000 per US$1,000 of principal amount and only in denominations of US$1,000 and integral multiples of US$1,000. Upon compliance with the provisions of the Indenture, 2026 Notes of any denomination may be exchanged for an equal aggregate principal amount of 2026 Notes in any other authorized denomination or denominations.</w:t>
      </w:r>
    </w:p>
    <w:p>
      <w:pPr>
        <w:spacing w:after="0" w:line="16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Upon the occurrence of a Change of Control of the Issuer, the Issuer is required to make an offer, at the option of each Holder, to purchase all of the 2026 Notes at a cash price equal to 101% principal amount of such 2026 Notes in accordance with the terms of the Indenture.</w:t>
      </w:r>
    </w:p>
    <w:p>
      <w:pPr>
        <w:spacing w:after="0" w:line="161"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The indebtedness evidenced by this 2026 Note, and by all other 2026 Notes now or hereafter certified and delivered under the Indenture, is a direct secured obligation of the Issuer.</w:t>
      </w:r>
    </w:p>
    <w:p>
      <w:pPr>
        <w:spacing w:after="0" w:line="13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The principal hereof may become or be declared due and payable before the stated maturity in the events, in the manner, with the effect and at the times provided in the Indenture.</w:t>
      </w:r>
    </w:p>
    <w:p>
      <w:pPr>
        <w:spacing w:after="0" w:line="146"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The Indenture contains provisions making binding upon all holders of 2026 Notes outstanding thereunder resolutions passed at meetings of such holders held in accordance with such provisions and instruments signed by the holders of a specified majority of 2026 Notes outstanding, which resolutions or instruments may have the effect of amending the terms of this 2026 Note or the Indenture.</w:t>
      </w:r>
    </w:p>
    <w:p>
      <w:pPr>
        <w:spacing w:after="0" w:line="16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The Indenture contains provisions disclaiming any personal liability on the part of holders of the common shares in the capital of the Issuer, officers, directors and employees of the Issuer in respect of any obligation or claim arising out of the Indenture or this 2026 Note.</w:t>
      </w:r>
    </w:p>
    <w:p>
      <w:pPr>
        <w:spacing w:after="0" w:line="161"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This 2026 Note may only be transferred, upon compliance with the conditions prescribed in the Indenture, in one of the registers to be kept at the principal office of the Trustee in the City of Vancouver and in such other place or places and/or by such other registrars (if any) as the Issuer with the approval of the Trustee may designate. No transfer of this 2026 Note shall be valid unless made on the register by the registered holder hereof or his executors or administrators or other legal representatives, or his or their attorney duly appointed by an instrument in form and substance satisfactory to the Trustee or other registrar, and upon compliance with such reasonable requirements as the Trustee or other registrar may prescribe and upon surrender of this 2026 Note for cancellation. Thereupon a new 2026 Note or 2026 Notes in the same aggregate principal amount shall be issued to the transferee in exchange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5</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607695</wp:posOffset>
            </wp:positionV>
            <wp:extent cx="579437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5794375"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61" w:name="page62"/>
    <w:bookmarkEnd w:id="61"/>
    <w:p>
      <w:pPr>
        <w:spacing w:after="0" w:line="41" w:lineRule="exact"/>
        <w:rPr>
          <w:sz w:val="20"/>
          <w:szCs w:val="20"/>
          <w:color w:val="auto"/>
        </w:rPr>
      </w:pPr>
    </w:p>
    <w:p>
      <w:pPr>
        <w:ind w:left="520" w:right="919"/>
        <w:spacing w:after="0" w:line="269" w:lineRule="auto"/>
        <w:rPr>
          <w:sz w:val="20"/>
          <w:szCs w:val="20"/>
          <w:color w:val="auto"/>
        </w:rPr>
      </w:pPr>
      <w:r>
        <w:rPr>
          <w:rFonts w:ascii="Times New Roman" w:cs="Times New Roman" w:eastAsia="Times New Roman" w:hAnsi="Times New Roman"/>
          <w:sz w:val="20"/>
          <w:szCs w:val="20"/>
          <w:color w:val="auto"/>
        </w:rPr>
        <w:t>This 2026 Note shall not become obligatory for any purpose until it shall have been certified by the Trustee under the Indenture.</w:t>
      </w:r>
    </w:p>
    <w:p>
      <w:pPr>
        <w:spacing w:after="0" w:line="146" w:lineRule="exact"/>
        <w:rPr>
          <w:sz w:val="20"/>
          <w:szCs w:val="20"/>
          <w:color w:val="auto"/>
        </w:rPr>
      </w:pPr>
    </w:p>
    <w:p>
      <w:pPr>
        <w:ind w:left="520" w:right="539"/>
        <w:spacing w:after="0" w:line="269" w:lineRule="auto"/>
        <w:rPr>
          <w:sz w:val="20"/>
          <w:szCs w:val="20"/>
          <w:color w:val="auto"/>
        </w:rPr>
      </w:pPr>
      <w:r>
        <w:rPr>
          <w:rFonts w:ascii="Times New Roman" w:cs="Times New Roman" w:eastAsia="Times New Roman" w:hAnsi="Times New Roman"/>
          <w:sz w:val="20"/>
          <w:szCs w:val="20"/>
          <w:color w:val="auto"/>
        </w:rPr>
        <w:t>Capitalized words or expressions used in this 2026 Note shall, unless otherwise defined herein, have the meaning ascribed thereto in the Indenture.</w:t>
      </w:r>
    </w:p>
    <w:p>
      <w:pPr>
        <w:spacing w:after="0" w:line="1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i w:val="1"/>
          <w:iCs w:val="1"/>
          <w:color w:val="auto"/>
        </w:rPr>
        <w:t>[Reminder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895350</wp:posOffset>
            </wp:positionV>
            <wp:extent cx="537464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THE CANNABIST COMPANY HOLDINGS INC. </w:t>
      </w:r>
      <w:r>
        <w:rPr>
          <w:rFonts w:ascii="Times New Roman" w:cs="Times New Roman" w:eastAsia="Times New Roman" w:hAnsi="Times New Roman"/>
          <w:sz w:val="19"/>
          <w:szCs w:val="19"/>
          <w:color w:val="auto"/>
        </w:rPr>
        <w:t>has caused this</w:t>
      </w:r>
    </w:p>
    <w:tbl>
      <w:tblPr>
        <w:tblLayout w:type="fixed"/>
        <w:tblInd w:w="300" w:type="dxa"/>
        <w:tblCellMar>
          <w:top w:w="0" w:type="dxa"/>
          <w:left w:w="0" w:type="dxa"/>
          <w:bottom w:w="0" w:type="dxa"/>
          <w:right w:w="0" w:type="dxa"/>
        </w:tblCellMar>
      </w:tblPr>
      <w:tr>
        <w:trPr>
          <w:trHeight w:val="227"/>
        </w:trPr>
        <w:tc>
          <w:tcPr>
            <w:tcW w:w="52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w w:val="99"/>
              </w:rPr>
              <w:t>2026 Note to be signed by its authorized representatives as of the</w:t>
            </w:r>
          </w:p>
        </w:tc>
        <w:tc>
          <w:tcPr>
            <w:tcW w:w="340" w:type="dxa"/>
            <w:vAlign w:val="bottom"/>
          </w:tcPr>
          <w:p>
            <w:pPr>
              <w:spacing w:after="0"/>
              <w:rPr>
                <w:sz w:val="19"/>
                <w:szCs w:val="19"/>
                <w:color w:val="auto"/>
              </w:rPr>
            </w:pPr>
          </w:p>
        </w:tc>
        <w:tc>
          <w:tcPr>
            <w:tcW w:w="2320" w:type="dxa"/>
            <w:vAlign w:val="bottom"/>
            <w:gridSpan w:val="5"/>
          </w:tcPr>
          <w:p>
            <w:pPr>
              <w:spacing w:after="0" w:line="227" w:lineRule="exact"/>
              <w:rPr>
                <w:sz w:val="20"/>
                <w:szCs w:val="20"/>
                <w:color w:val="auto"/>
              </w:rPr>
            </w:pPr>
            <w:r>
              <w:rPr>
                <w:rFonts w:ascii="Times New Roman" w:cs="Times New Roman" w:eastAsia="Times New Roman" w:hAnsi="Times New Roman"/>
                <w:sz w:val="20"/>
                <w:szCs w:val="20"/>
                <w:color w:val="auto"/>
              </w:rPr>
              <w:t>day of   , 2022.</w:t>
            </w:r>
          </w:p>
        </w:tc>
      </w:tr>
      <w:tr>
        <w:trPr>
          <w:trHeight w:val="20"/>
        </w:trPr>
        <w:tc>
          <w:tcPr>
            <w:tcW w:w="4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66"/>
        </w:trPr>
        <w:tc>
          <w:tcPr>
            <w:tcW w:w="5200" w:type="dxa"/>
            <w:vAlign w:val="bottom"/>
            <w:gridSpan w:val="2"/>
          </w:tcPr>
          <w:p>
            <w:pPr>
              <w:ind w:left="4460"/>
              <w:spacing w:after="0"/>
              <w:rPr>
                <w:sz w:val="20"/>
                <w:szCs w:val="20"/>
                <w:color w:val="auto"/>
              </w:rPr>
            </w:pPr>
            <w:r>
              <w:rPr>
                <w:rFonts w:ascii="Times New Roman" w:cs="Times New Roman" w:eastAsia="Times New Roman" w:hAnsi="Times New Roman"/>
                <w:sz w:val="20"/>
                <w:szCs w:val="20"/>
                <w:b w:val="1"/>
                <w:bCs w:val="1"/>
                <w:color w:val="auto"/>
              </w:rPr>
              <w:t>THE</w:t>
            </w: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CANNABIST</w:t>
            </w:r>
          </w:p>
        </w:tc>
        <w:tc>
          <w:tcPr>
            <w:tcW w:w="12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w w:val="95"/>
              </w:rPr>
              <w:t>COMPANY</w:t>
            </w:r>
          </w:p>
        </w:tc>
      </w:tr>
      <w:tr>
        <w:trPr>
          <w:trHeight w:val="262"/>
        </w:trPr>
        <w:tc>
          <w:tcPr>
            <w:tcW w:w="6640" w:type="dxa"/>
            <w:vAlign w:val="bottom"/>
            <w:gridSpan w:val="7"/>
          </w:tcPr>
          <w:p>
            <w:pPr>
              <w:ind w:left="4460"/>
              <w:spacing w:after="0"/>
              <w:rPr>
                <w:sz w:val="20"/>
                <w:szCs w:val="20"/>
                <w:color w:val="auto"/>
              </w:rPr>
            </w:pPr>
            <w:r>
              <w:rPr>
                <w:rFonts w:ascii="Times New Roman" w:cs="Times New Roman" w:eastAsia="Times New Roman" w:hAnsi="Times New Roman"/>
                <w:sz w:val="20"/>
                <w:szCs w:val="20"/>
                <w:b w:val="1"/>
                <w:bCs w:val="1"/>
                <w:color w:val="auto"/>
              </w:rPr>
              <w:t>HOLDINGS INC.</w:t>
            </w:r>
          </w:p>
        </w:tc>
        <w:tc>
          <w:tcPr>
            <w:tcW w:w="1220" w:type="dxa"/>
            <w:vAlign w:val="bottom"/>
          </w:tcPr>
          <w:p>
            <w:pPr>
              <w:spacing w:after="0"/>
              <w:rPr>
                <w:sz w:val="22"/>
                <w:szCs w:val="22"/>
                <w:color w:val="auto"/>
              </w:rPr>
            </w:pPr>
          </w:p>
        </w:tc>
      </w:tr>
      <w:tr>
        <w:trPr>
          <w:trHeight w:val="480"/>
        </w:trPr>
        <w:tc>
          <w:tcPr>
            <w:tcW w:w="4760" w:type="dxa"/>
            <w:vAlign w:val="bottom"/>
          </w:tcPr>
          <w:p>
            <w:pPr>
              <w:ind w:left="4380"/>
              <w:spacing w:after="0"/>
              <w:rPr>
                <w:sz w:val="20"/>
                <w:szCs w:val="20"/>
                <w:color w:val="auto"/>
              </w:rPr>
            </w:pPr>
            <w:r>
              <w:rPr>
                <w:rFonts w:ascii="Times New Roman" w:cs="Times New Roman" w:eastAsia="Times New Roman" w:hAnsi="Times New Roman"/>
                <w:sz w:val="20"/>
                <w:szCs w:val="20"/>
                <w:color w:val="auto"/>
              </w:rPr>
              <w:t>By:</w:t>
            </w: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50" w:lineRule="exact"/>
        <w:rPr>
          <w:sz w:val="20"/>
          <w:szCs w:val="20"/>
          <w:color w:val="auto"/>
        </w:rPr>
      </w:pPr>
    </w:p>
    <w:p>
      <w:pPr>
        <w:ind w:left="300" w:right="1719"/>
        <w:spacing w:after="0" w:line="269" w:lineRule="auto"/>
        <w:rPr>
          <w:sz w:val="20"/>
          <w:szCs w:val="20"/>
          <w:color w:val="auto"/>
        </w:rPr>
      </w:pPr>
      <w:r>
        <w:rPr>
          <w:rFonts w:ascii="Times New Roman" w:cs="Times New Roman" w:eastAsia="Times New Roman" w:hAnsi="Times New Roman"/>
          <w:sz w:val="20"/>
          <w:szCs w:val="20"/>
          <w:color w:val="auto"/>
        </w:rPr>
        <w:t>This 2026 Note is one of the 9.5% Senior Secured 2026 Note due 2026 referred to in the Indenture within mentioned.</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ODYSSEY TRUST COMPANY</w:t>
      </w:r>
    </w:p>
    <w:p>
      <w:pPr>
        <w:spacing w:after="0" w:line="287" w:lineRule="exact"/>
        <w:rPr>
          <w:sz w:val="20"/>
          <w:szCs w:val="20"/>
          <w:color w:val="auto"/>
        </w:rPr>
      </w:pPr>
    </w:p>
    <w:p>
      <w:pPr>
        <w:ind w:left="200"/>
        <w:spacing w:after="0"/>
        <w:tabs>
          <w:tab w:leader="none" w:pos="1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-10795</wp:posOffset>
            </wp:positionV>
            <wp:extent cx="5022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747395</wp:posOffset>
            </wp:positionV>
            <wp:extent cx="579437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5794375" cy="4254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-10795</wp:posOffset>
            </wp:positionV>
            <wp:extent cx="1987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198755" cy="8890"/>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FORM OF TRANSFER</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ODYSSEY TRUST COMPANY FOR VALUE RECEIVED the undersigned hereby sells, assigns and</w:t>
      </w:r>
    </w:p>
    <w:p>
      <w:pPr>
        <w:spacing w:after="0" w:line="21" w:lineRule="exact"/>
        <w:rPr>
          <w:sz w:val="20"/>
          <w:szCs w:val="20"/>
          <w:color w:val="auto"/>
        </w:rPr>
      </w:pPr>
    </w:p>
    <w:p>
      <w:pPr>
        <w:ind w:left="300"/>
        <w:spacing w:after="0"/>
        <w:tabs>
          <w:tab w:leader="none" w:pos="1980" w:val="left"/>
        </w:tabs>
        <w:rPr>
          <w:sz w:val="20"/>
          <w:szCs w:val="20"/>
          <w:color w:val="auto"/>
        </w:rPr>
      </w:pPr>
      <w:r>
        <w:rPr>
          <w:rFonts w:ascii="Times New Roman" w:cs="Times New Roman" w:eastAsia="Times New Roman" w:hAnsi="Times New Roman"/>
          <w:sz w:val="20"/>
          <w:szCs w:val="20"/>
          <w:color w:val="auto"/>
        </w:rPr>
        <w:t>transfers to</w:t>
      </w:r>
      <w:r>
        <w:rPr>
          <w:sz w:val="20"/>
          <w:szCs w:val="20"/>
          <w:color w:val="auto"/>
        </w:rPr>
        <w:tab/>
      </w:r>
      <w:r>
        <w:rPr>
          <w:rFonts w:ascii="Times New Roman" w:cs="Times New Roman" w:eastAsia="Times New Roman" w:hAnsi="Times New Roman"/>
          <w:sz w:val="20"/>
          <w:szCs w:val="20"/>
          <w:color w:val="auto"/>
        </w:rPr>
        <w:t>(print name and address) the 2026 Notes represented by this 2026 Note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-24765</wp:posOffset>
            </wp:positionV>
            <wp:extent cx="4292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429260" cy="8255"/>
                    </a:xfrm>
                    <a:prstGeom prst="rect">
                      <a:avLst/>
                    </a:prstGeom>
                    <a:noFill/>
                  </pic:spPr>
                </pic:pic>
              </a:graphicData>
            </a:graphic>
          </wp:anchor>
        </w:drawing>
      </w:r>
    </w:p>
    <w:p>
      <w:pPr>
        <w:ind w:left="300" w:right="259"/>
        <w:spacing w:after="0" w:line="246" w:lineRule="auto"/>
        <w:rPr>
          <w:sz w:val="20"/>
          <w:szCs w:val="20"/>
          <w:color w:val="auto"/>
        </w:rPr>
      </w:pPr>
      <w:r>
        <w:rPr>
          <w:rFonts w:ascii="Times New Roman" w:cs="Times New Roman" w:eastAsia="Times New Roman" w:hAnsi="Times New Roman"/>
          <w:sz w:val="20"/>
          <w:szCs w:val="20"/>
          <w:color w:val="auto"/>
        </w:rPr>
        <w:t>and hereby irrevocable constitutes and appoints as its attorney with full power of substitution to transfer the said securities on the appropriate register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-178435</wp:posOffset>
            </wp:positionV>
            <wp:extent cx="1225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135" w:lineRule="exact"/>
        <w:rPr>
          <w:sz w:val="20"/>
          <w:szCs w:val="20"/>
          <w:color w:val="auto"/>
        </w:rPr>
      </w:pPr>
    </w:p>
    <w:p>
      <w:pPr>
        <w:ind w:left="300"/>
        <w:spacing w:after="0"/>
        <w:tabs>
          <w:tab w:leader="none" w:pos="1860" w:val="left"/>
          <w:tab w:leader="none" w:pos="2260" w:val="left"/>
        </w:tabs>
        <w:rPr>
          <w:sz w:val="20"/>
          <w:szCs w:val="20"/>
          <w:color w:val="auto"/>
        </w:rPr>
      </w:pPr>
      <w:r>
        <w:rPr>
          <w:rFonts w:ascii="Times New Roman" w:cs="Times New Roman" w:eastAsia="Times New Roman" w:hAnsi="Times New Roman"/>
          <w:sz w:val="20"/>
          <w:szCs w:val="20"/>
          <w:color w:val="auto"/>
        </w:rPr>
        <w:t>DATED this day</w:t>
        <w:tab/>
        <w:t>of</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747395</wp:posOffset>
            </wp:positionV>
            <wp:extent cx="579437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5794375" cy="4254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-10795</wp:posOffset>
            </wp:positionV>
            <wp:extent cx="135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135890" cy="8890"/>
                    </a:xfrm>
                    <a:prstGeom prst="rect">
                      <a:avLst/>
                    </a:prstGeom>
                    <a:noFill/>
                  </pic:spPr>
                </pic:pic>
              </a:graphicData>
            </a:graphic>
          </wp:anchor>
        </w:drawing>
        <w:drawing>
          <wp:anchor simplePos="0" relativeHeight="251657728" behindDoc="1" locked="0" layoutInCell="0" allowOverlap="1">
            <wp:simplePos x="0" y="0"/>
            <wp:positionH relativeFrom="column">
              <wp:posOffset>1326515</wp:posOffset>
            </wp:positionH>
            <wp:positionV relativeFrom="paragraph">
              <wp:posOffset>-10795</wp:posOffset>
            </wp:positionV>
            <wp:extent cx="1149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114935" cy="8890"/>
                    </a:xfrm>
                    <a:prstGeom prst="rect">
                      <a:avLst/>
                    </a:prstGeom>
                    <a:noFill/>
                  </pic:spPr>
                </pic:pic>
              </a:graphicData>
            </a:graphic>
          </wp:anchor>
        </w:drawing>
        <w:drawing>
          <wp:anchor simplePos="0" relativeHeight="251657728" behindDoc="1" locked="0" layoutInCell="0" allowOverlap="1">
            <wp:simplePos x="0" y="0"/>
            <wp:positionH relativeFrom="column">
              <wp:posOffset>1630680</wp:posOffset>
            </wp:positionH>
            <wp:positionV relativeFrom="paragraph">
              <wp:posOffset>-10795</wp:posOffset>
            </wp:positionV>
            <wp:extent cx="93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David Hart</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400" w:val="left"/>
          <w:tab w:leader="none" w:pos="80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Name: David Hart</w:t>
      </w:r>
    </w:p>
    <w:p>
      <w:pPr>
        <w:spacing w:after="0" w:line="3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Derek Watson</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400" w:val="left"/>
          <w:tab w:leader="none" w:pos="794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4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3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560" w:val="left"/>
          <w:tab w:leader="none" w:pos="80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David Hart</w:t>
      </w:r>
    </w:p>
    <w:p>
      <w:pPr>
        <w:spacing w:after="0" w:line="2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1042670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440" w:val="left"/>
          <w:tab w:leader="none" w:pos="79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2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1042670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9"/>
    </w:lvl>
    <w:lvl w:ilvl="1">
      <w:lvlJc w:val="left"/>
      <w:lvlText w:val="•"/>
      <w:numFmt w:val="bullet"/>
      <w:start w:val="1"/>
    </w:lvl>
  </w:abstractNum>
  <w:abstractNum w:abstractNumId="9">
    <w:nsid w:val="333AB105"/>
    <w:multiLevelType w:val="hybridMultilevel"/>
    <w:lvl w:ilvl="0">
      <w:lvlJc w:val="left"/>
      <w:lvlText w:val="%1."/>
      <w:numFmt w:val="decimal"/>
      <w:start w:val="13"/>
    </w:lvl>
  </w:abstractNum>
  <w:abstractNum w:abstractNumId="10">
    <w:nsid w:val="721DA317"/>
    <w:multiLevelType w:val="hybridMultilevel"/>
    <w:lvl w:ilvl="0">
      <w:lvlJc w:val="left"/>
      <w:lvlText w:val="%1."/>
      <w:numFmt w:val="decimal"/>
      <w:start w:val="14"/>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decimal"/>
      <w:start w:val="2"/>
    </w:lvl>
  </w:abstractNum>
  <w:abstractNum w:abstractNumId="18">
    <w:nsid w:val="B03E0C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19">
    <w:nsid w:val="189A769B"/>
    <w:multiLevelType w:val="hybridMultilevel"/>
    <w:lvl w:ilvl="0">
      <w:lvlJc w:val="left"/>
      <w:lvlText w:val="(%1)"/>
      <w:numFmt w:val="upperLetter"/>
      <w:start w:val="2"/>
    </w:lvl>
    <w:lvl w:ilvl="1">
      <w:lvlJc w:val="left"/>
      <w:lvlText w:val="(%2)"/>
      <w:numFmt w:val="upperLetter"/>
      <w:start w:val="3"/>
    </w:lvl>
    <w:lvl w:ilvl="2">
      <w:lvlJc w:val="left"/>
      <w:lvlText w:val="%3"/>
      <w:numFmt w:val="upperLetter"/>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1)"/>
      <w:numFmt w:val="decimal"/>
      <w:start w:val="2"/>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Roman"/>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jpe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jpe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jpe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jpe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169" Type="http://schemas.openxmlformats.org/officeDocument/2006/relationships/hyperlink" Target="https://www.sec.gov/Archives/edgar/data/1776738/000119312522088069/d292116dex21.htm" TargetMode="External"/><Relationship Id="rId170" Type="http://schemas.openxmlformats.org/officeDocument/2006/relationships/hyperlink" Target="https://www.sec.gov/Archives/edgar/data/1776738/000119312523054004/d469358dex21.htm" TargetMode="External"/><Relationship Id="rId171" Type="http://schemas.openxmlformats.org/officeDocument/2006/relationships/hyperlink" Target="https://www.sec.gov/Archives/edgar/data/1776738/000119312521356939/d252333dex31.htm" TargetMode="External"/><Relationship Id="rId172" Type="http://schemas.openxmlformats.org/officeDocument/2006/relationships/hyperlink" Target="https://www.sec.gov/Archives/edgar/data/1776738/000119312523239776/d471022dex32.htm" TargetMode="External"/><Relationship Id="rId173" Type="http://schemas.openxmlformats.org/officeDocument/2006/relationships/hyperlink" Target="https://www.sec.gov/Archives/edgar/data/1776738/000119312521356939/d252333dex41.htm" TargetMode="External"/><Relationship Id="rId174" Type="http://schemas.openxmlformats.org/officeDocument/2006/relationships/hyperlink" Target="https://www.sec.gov/Archives/edgar/data/1776738/000119312521356939/d252333dex42.htm" TargetMode="External"/><Relationship Id="rId175" Type="http://schemas.openxmlformats.org/officeDocument/2006/relationships/hyperlink" Target="https://www.sec.gov/Archives/edgar/data/1776738/000119312521356939/d252333dex43.htm" TargetMode="External"/><Relationship Id="rId178" Type="http://schemas.openxmlformats.org/officeDocument/2006/relationships/hyperlink" Target="https://www.sec.gov/Archives/edgar/data/1776738/000119312521356939/d252333dex44.htm" TargetMode="External"/><Relationship Id="rId179" Type="http://schemas.openxmlformats.org/officeDocument/2006/relationships/hyperlink" Target="https://www.sec.gov/Archives/edgar/data/1776738/000119312521356939/d252333dex45.htm" TargetMode="External"/><Relationship Id="rId180" Type="http://schemas.openxmlformats.org/officeDocument/2006/relationships/hyperlink" Target="https://www.sec.gov/Archives/edgar/data/1776738/000119312521356939/d252333dex46.htm" TargetMode="External"/><Relationship Id="rId181" Type="http://schemas.openxmlformats.org/officeDocument/2006/relationships/hyperlink" Target="https://www.sec.gov/Archives/edgar/data/1776738/000119312521356939/d252333dex47.htm" TargetMode="External"/><Relationship Id="rId182" Type="http://schemas.openxmlformats.org/officeDocument/2006/relationships/hyperlink" Target="https://www.sec.gov/Archives/edgar/data/1776738/000119312521356939/d252333dex48.htm" TargetMode="External"/><Relationship Id="rId183" Type="http://schemas.openxmlformats.org/officeDocument/2006/relationships/hyperlink" Target="https://www.sec.gov/Archives/edgar/data/1776738/000119312521356939/d252333dex49.htm" TargetMode="External"/><Relationship Id="rId184" Type="http://schemas.openxmlformats.org/officeDocument/2006/relationships/hyperlink" Target="https://www.sec.gov/Archives/edgar/data/1776738/000119312522021793/d252333dex410.htm" TargetMode="External"/><Relationship Id="rId185" Type="http://schemas.openxmlformats.org/officeDocument/2006/relationships/hyperlink" Target="https://www.sec.gov/Archives/edgar/data/1776738/000119312522043452/d252333dex411.htm" TargetMode="External"/><Relationship Id="rId186" Type="http://schemas.openxmlformats.org/officeDocument/2006/relationships/hyperlink" Target="https://www.sec.gov/Archives/edgar/data/1776738/000119312522043452/d252333dex412.htm" TargetMode="External"/><Relationship Id="rId187" Type="http://schemas.openxmlformats.org/officeDocument/2006/relationships/hyperlink" Target="https://www.sec.gov/Archives/edgar/data/1776738/000119312522147204/d315456dex41.htm" TargetMode="External"/><Relationship Id="rId188" Type="http://schemas.openxmlformats.org/officeDocument/2006/relationships/hyperlink" Target="https://www.sec.gov/Archives/edgar/data/1776738/000095017023010606/cchwf-ex4_14.htm" TargetMode="External"/><Relationship Id="rId189" Type="http://schemas.openxmlformats.org/officeDocument/2006/relationships/hyperlink" Target="https://www.sec.gov/Archives/edgar/data/1776738/000119312524072818/d54076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2024-05-09T14:40:26Z</dcterms:created>
  <dcterms:modified xsi:type="dcterms:W3CDTF">2024-05-09T14:40:26Z</dcterms:modified>
</cp:coreProperties>
</file>